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80" w:after="283"/>
        <w:jc w:val="center"/>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 xml:space="preserve">FORM 10-Q </w:t>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(Mark One)</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QUARTERLY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For The Quarterly Period Ended September 30, 2024</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TRANSITION REPORT PURSUANT TO SECTION 13 OR 15(d) OF THE SECURITIES EXCHANGE ACT OF 1934</w:t>
            </w:r>
          </w:p>
        </w:tc>
      </w:tr>
    </w:tbl>
    <w:tbl>
      <w:tblPr>
        <w:tblW w:w="3974" w:type="dxa"/>
        <w:jc w:val="center"/>
        <w:tblInd w:w="0" w:type="dxa"/>
        <w:tblLayout w:type="fixed"/>
        <w:tblCellMar>
          <w:top w:w="28" w:type="dxa"/>
          <w:left w:w="28" w:type="dxa"/>
          <w:bottom w:w="28" w:type="dxa"/>
          <w:right w:w="28" w:type="dxa"/>
        </w:tblCellMar>
      </w:tblPr>
      <w:tblGrid>
        <w:gridCol w:w="1271"/>
        <w:gridCol w:w="1117"/>
        <w:gridCol w:w="1586"/>
      </w:tblGrid>
      <w:tr>
        <w:trPr/>
        <w:tc>
          <w:tcPr>
            <w:tcW w:w="1271"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lineRule="auto" w:line="240" w:before="40" w:after="40"/>
              <w:jc w:val="center"/>
              <w:rPr/>
            </w:pPr>
            <w:r>
              <w:rPr>
                <w:rFonts w:ascii="Times New Roman;sans-serif" w:hAnsi="Times New Roman;sans-serif"/>
                <w:b/>
                <w:color w:val="000000"/>
                <w:sz w:val="18"/>
              </w:rPr>
              <w:t xml:space="preserve">For the transition period from </w:t>
            </w:r>
            <w:r>
              <w:rPr>
                <w:color w:val="000000"/>
                <w:u w:val="single"/>
              </w:rPr>
              <w:t>                    </w:t>
            </w:r>
            <w:r>
              <w:rPr>
                <w:color w:val="000000"/>
              </w:rPr>
              <w:t xml:space="preserve"> </w:t>
            </w:r>
            <w:r>
              <w:rPr>
                <w:rFonts w:ascii="Times New Roman;sans-serif" w:hAnsi="Times New Roman;sans-serif"/>
                <w:b/>
                <w:color w:val="000000"/>
                <w:sz w:val="18"/>
              </w:rPr>
              <w:t xml:space="preserve">to </w:t>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 xml:space="preserve">Commission File No. 001-38609 </w:t>
      </w:r>
    </w:p>
    <w:p>
      <w:pPr>
        <w:pStyle w:val="TextBody"/>
        <w:bidi w:val="0"/>
        <w:spacing w:lineRule="auto" w:line="288" w:before="0" w:after="0"/>
        <w:jc w:val="center"/>
        <w:rPr/>
      </w:pPr>
      <w:r>
        <w:rPr>
          <w:color w:val="000000"/>
        </w:rPr>
        <w:t> </w:t>
      </w:r>
      <w:r>
        <w:rPr>
          <w:rFonts w:ascii="Times New Roman;sans-serif" w:hAnsi="Times New Roman;sans-serif"/>
          <w:b/>
          <w:color w:val="000000"/>
          <w:sz w:val="40"/>
        </w:rPr>
        <w:t xml:space="preserve">KLX Energy Services Holdings, Inc. </w:t>
      </w:r>
    </w:p>
    <w:p>
      <w:pPr>
        <w:pStyle w:val="TextBody"/>
        <w:bidi w:val="0"/>
        <w:spacing w:lineRule="auto" w:line="288" w:before="60" w:after="283"/>
        <w:jc w:val="center"/>
        <w:rPr>
          <w:rFonts w:ascii="Times New Roman;sans-serif" w:hAnsi="Times New Roman;sans-serif"/>
          <w:b/>
          <w:color w:val="000000"/>
          <w:sz w:val="18"/>
        </w:rPr>
      </w:pPr>
      <w:r>
        <w:rPr>
          <w:rFonts w:ascii="Times New Roman;sans-serif" w:hAnsi="Times New Roman;sans-serif"/>
          <w:b/>
          <w:color w:val="000000"/>
          <w:sz w:val="18"/>
        </w:rPr>
        <w:t>(Exact name of registrant as specified in its charter)</w:t>
      </w:r>
    </w:p>
    <w:tbl>
      <w:tblPr>
        <w:tblW w:w="4500" w:type="dxa"/>
        <w:jc w:val="left"/>
        <w:tblInd w:w="0" w:type="dxa"/>
        <w:tblLayout w:type="fixed"/>
        <w:tblCellMar>
          <w:top w:w="28" w:type="dxa"/>
          <w:left w:w="28" w:type="dxa"/>
          <w:bottom w:w="28" w:type="dxa"/>
          <w:right w:w="28" w:type="dxa"/>
        </w:tblCellMar>
      </w:tblPr>
      <w:tblGrid>
        <w:gridCol w:w="646"/>
        <w:gridCol w:w="566"/>
        <w:gridCol w:w="573"/>
        <w:gridCol w:w="791"/>
        <w:gridCol w:w="791"/>
        <w:gridCol w:w="1133"/>
      </w:tblGrid>
      <w:tr>
        <w:trPr/>
        <w:tc>
          <w:tcPr>
            <w:tcW w:w="64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vAlign w:val="center"/>
          </w:tcPr>
          <w:p>
            <w:pPr>
              <w:pStyle w:val="TableContents"/>
              <w:bidi w:val="0"/>
              <w:spacing w:before="0" w:after="283"/>
              <w:jc w:val="left"/>
              <w:rPr>
                <w:sz w:val="4"/>
                <w:szCs w:val="4"/>
              </w:rPr>
            </w:pPr>
            <w:r>
              <w:rPr>
                <w:sz w:val="4"/>
                <w:szCs w:val="4"/>
              </w:rPr>
            </w:r>
          </w:p>
        </w:tc>
        <w:tc>
          <w:tcPr>
            <w:tcW w:w="2715" w:type="dxa"/>
            <w:gridSpan w:val="3"/>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Delaware</w:t>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36-4904146</w:t>
            </w:r>
          </w:p>
        </w:tc>
      </w:tr>
      <w:tr>
        <w:trPr/>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(State of Incorporation)</w:t>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(I.R.S. Employer Identification No.)</w:t>
            </w:r>
          </w:p>
        </w:tc>
      </w:tr>
    </w:tbl>
    <w:p>
      <w:pPr>
        <w:pStyle w:val="TextBody"/>
        <w:bidi w:val="0"/>
        <w:spacing w:before="0" w:after="0"/>
        <w:jc w:val="center"/>
        <w:rPr/>
      </w:pPr>
      <w:r>
        <w:rPr/>
      </w:r>
    </w:p>
    <w:p>
      <w:pPr>
        <w:pStyle w:val="TextBody"/>
        <w:bidi w:val="0"/>
        <w:spacing w:lineRule="auto" w:line="288" w:before="20" w:after="283"/>
        <w:jc w:val="center"/>
        <w:rPr>
          <w:rFonts w:ascii="Times New Roman;sans-serif" w:hAnsi="Times New Roman;sans-serif"/>
          <w:b/>
          <w:color w:val="000000"/>
          <w:sz w:val="18"/>
        </w:rPr>
      </w:pPr>
      <w:r>
        <w:rPr>
          <w:rFonts w:ascii="Times New Roman;sans-serif" w:hAnsi="Times New Roman;sans-serif"/>
          <w:b/>
          <w:color w:val="000000"/>
          <w:sz w:val="18"/>
        </w:rPr>
        <w:t xml:space="preserve">3040 Post Oak Boulevard, 15th Floor </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Houston, TX 77056</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(832) 844-1015</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 xml:space="preserve">(Address, including zip code, and telephone number, including area code, of principal executive offices of registrant) </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Securities registered pursuant to Section 12(b) of the Act:</w:t>
      </w:r>
    </w:p>
    <w:tbl>
      <w:tblPr>
        <w:tblW w:w="8362" w:type="dxa"/>
        <w:jc w:val="left"/>
        <w:tblInd w:w="0" w:type="dxa"/>
        <w:tblLayout w:type="fixed"/>
        <w:tblCellMar>
          <w:top w:w="28" w:type="dxa"/>
          <w:left w:w="28" w:type="dxa"/>
          <w:bottom w:w="28" w:type="dxa"/>
          <w:right w:w="28" w:type="dxa"/>
        </w:tblCellMar>
      </w:tblPr>
      <w:tblGrid>
        <w:gridCol w:w="896"/>
        <w:gridCol w:w="787"/>
        <w:gridCol w:w="792"/>
        <w:gridCol w:w="109"/>
        <w:gridCol w:w="109"/>
        <w:gridCol w:w="109"/>
        <w:gridCol w:w="519"/>
        <w:gridCol w:w="519"/>
        <w:gridCol w:w="521"/>
        <w:gridCol w:w="109"/>
        <w:gridCol w:w="109"/>
        <w:gridCol w:w="109"/>
        <w:gridCol w:w="1074"/>
        <w:gridCol w:w="1074"/>
        <w:gridCol w:w="1526"/>
      </w:tblGrid>
      <w:tr>
        <w:trPr/>
        <w:tc>
          <w:tcPr>
            <w:tcW w:w="89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Name of Each Exchange on Which Registered</w:t>
            </w:r>
          </w:p>
        </w:tc>
      </w:tr>
      <w:tr>
        <w:trPr/>
        <w:tc>
          <w:tcPr>
            <w:tcW w:w="2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KLXE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 Nasdaq Global Select Market</w:t>
            </w:r>
          </w:p>
        </w:tc>
      </w:tr>
    </w:tbl>
    <w:p>
      <w:pPr>
        <w:pStyle w:val="TextBody"/>
        <w:bidi w:val="0"/>
        <w:spacing w:before="0" w:after="0"/>
        <w:ind w:left="0" w:right="0" w:firstLine="270"/>
        <w:jc w:val="both"/>
        <w:rPr/>
      </w:pPr>
      <w:r>
        <w:rPr/>
      </w:r>
    </w:p>
    <w:p>
      <w:pPr>
        <w:pStyle w:val="TextBody"/>
        <w:bidi w:val="0"/>
        <w:spacing w:lineRule="auto" w:line="288" w:before="0" w:after="0"/>
        <w:jc w:val="both"/>
        <w:rPr/>
      </w:pPr>
      <w:r>
        <w:rPr>
          <w:rFonts w:ascii="Times New Roman;sans-serif" w:hAnsi="Times New Roman;sans-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ans-serif" w:hAnsi="Times New Roman;sans-serif"/>
          <w:b w:val="false"/>
          <w:color w:val="000000"/>
          <w:sz w:val="18"/>
        </w:rPr>
        <w:t xml:space="preserve">No </w:t>
      </w:r>
      <w:r>
        <w:rPr>
          <w:color w:val="000000"/>
        </w:rPr>
        <w:t xml:space="preserve">☐ </w:t>
      </w:r>
    </w:p>
    <w:p>
      <w:pPr>
        <w:pStyle w:val="TextBody"/>
        <w:bidi w:val="0"/>
        <w:spacing w:before="0" w:after="0"/>
        <w:ind w:left="0" w:right="0" w:firstLine="270"/>
        <w:jc w:val="both"/>
        <w:rPr/>
      </w:pPr>
      <w:r>
        <w:rPr/>
      </w:r>
    </w:p>
    <w:p>
      <w:pPr>
        <w:pStyle w:val="TextBody"/>
        <w:bidi w:val="0"/>
        <w:spacing w:lineRule="auto" w:line="288" w:before="0" w:after="0"/>
        <w:jc w:val="left"/>
        <w:rPr/>
      </w:pPr>
      <w:r>
        <w:rPr>
          <w:rFonts w:ascii="Times New Roman;sans-serif" w:hAnsi="Times New Roman;sans-serif"/>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ans-serif" w:hAnsi="Times New Roman;sans-serif"/>
          <w:b w:val="false"/>
          <w:color w:val="000000"/>
          <w:sz w:val="18"/>
        </w:rPr>
        <w:t xml:space="preserve">No </w:t>
      </w:r>
      <w:r>
        <w:rPr>
          <w:color w:val="000000"/>
        </w:rPr>
        <w:t>☐</w:t>
      </w:r>
    </w:p>
    <w:p>
      <w:pPr>
        <w:pStyle w:val="TextBody"/>
        <w:bidi w:val="0"/>
        <w:spacing w:before="0" w:after="0"/>
        <w:ind w:left="0" w:right="0" w:firstLine="27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387" w:type="dxa"/>
        <w:jc w:val="center"/>
        <w:tblInd w:w="0" w:type="dxa"/>
        <w:tblLayout w:type="fixed"/>
        <w:tblCellMar>
          <w:top w:w="28" w:type="dxa"/>
          <w:left w:w="28" w:type="dxa"/>
          <w:bottom w:w="28" w:type="dxa"/>
          <w:right w:w="28" w:type="dxa"/>
        </w:tblCellMar>
      </w:tblPr>
      <w:tblGrid>
        <w:gridCol w:w="604"/>
        <w:gridCol w:w="530"/>
        <w:gridCol w:w="532"/>
        <w:gridCol w:w="109"/>
        <w:gridCol w:w="109"/>
        <w:gridCol w:w="109"/>
        <w:gridCol w:w="109"/>
        <w:gridCol w:w="109"/>
        <w:gridCol w:w="109"/>
        <w:gridCol w:w="109"/>
        <w:gridCol w:w="109"/>
        <w:gridCol w:w="109"/>
        <w:gridCol w:w="678"/>
        <w:gridCol w:w="678"/>
        <w:gridCol w:w="685"/>
        <w:gridCol w:w="109"/>
        <w:gridCol w:w="109"/>
        <w:gridCol w:w="109"/>
        <w:gridCol w:w="109"/>
        <w:gridCol w:w="109"/>
        <w:gridCol w:w="154"/>
      </w:tblGrid>
      <w:tr>
        <w:trPr/>
        <w:tc>
          <w:tcPr>
            <w:tcW w:w="604"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r>
    </w:tbl>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pPr>
      <w:r>
        <w:rPr>
          <w:rFonts w:ascii="Times New Roman;sans-serif" w:hAnsi="Times New Roman;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pPr>
      <w:r>
        <w:rPr>
          <w:rFonts w:ascii="Times New Roman;sans-serif" w:hAnsi="Times New Roman;sans-serif"/>
          <w:b w:val="false"/>
          <w:color w:val="000000"/>
          <w:sz w:val="18"/>
        </w:rPr>
        <w:t xml:space="preserve">Indicate by check mark whether the registrant is a shell company (as defined in Rule 12b-2 of the Exchange Act). Yes </w:t>
      </w:r>
      <w:r>
        <w:rPr>
          <w:color w:val="000000"/>
        </w:rPr>
        <w:t xml:space="preserve">☐ </w:t>
      </w:r>
      <w:r>
        <w:rPr>
          <w:rFonts w:ascii="Times New Roman;sans-serif" w:hAnsi="Times New Roman;sans-serif"/>
          <w:b w:val="false"/>
          <w:color w:val="000000"/>
          <w:sz w:val="18"/>
        </w:rPr>
        <w:t xml:space="preserve">No </w:t>
      </w:r>
      <w:r>
        <w:rPr>
          <w:color w:val="000000"/>
        </w:rPr>
        <w:t>☒</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ans-serif" w:hAnsi="Times New Roman;sans-serif"/>
          <w:b w:val="false"/>
          <w:color w:val="000000"/>
          <w:sz w:val="18"/>
        </w:rPr>
      </w:pPr>
      <w:r>
        <w:rPr>
          <w:rFonts w:ascii="Times New Roman;sans-serif" w:hAnsi="Times New Roman;sans-serif"/>
          <w:b w:val="false"/>
          <w:color w:val="000000"/>
          <w:sz w:val="18"/>
        </w:rPr>
        <w:t>The registrant has one class of common stock, $0.01 par value, of which 16,860,336 shares were outstanding as of October 30, 2024.</w:t>
      </w:r>
    </w:p>
    <w:p>
      <w:pPr>
        <w:pStyle w:val="TextBody"/>
        <w:bidi w:val="0"/>
        <w:spacing w:before="0" w:after="0"/>
        <w:ind w:left="0" w:right="0" w:firstLine="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600"/>
        <w:jc w:val="left"/>
        <w:rPr/>
      </w:pPr>
      <w:hyperlink w:anchor="i3e0f5f4ea8104e0db5d6554c34082d82_7">
        <w:r>
          <w:rPr>
            <w:rStyle w:val="InternetLink"/>
            <w:rFonts w:ascii="Arial;sans-serif" w:hAnsi="Arial;sans-serif"/>
            <w:b w:val="false"/>
            <w:color w:val="0563C1"/>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KLX Energy Services Holdings, Inc.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Form 10-Q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609"/>
        <w:gridCol w:w="535"/>
        <w:gridCol w:w="535"/>
        <w:gridCol w:w="2718"/>
        <w:gridCol w:w="2703"/>
        <w:gridCol w:w="2731"/>
        <w:gridCol w:w="109"/>
        <w:gridCol w:w="109"/>
        <w:gridCol w:w="156"/>
      </w:tblGrid>
      <w:tr>
        <w:trPr/>
        <w:tc>
          <w:tcPr>
            <w:tcW w:w="60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2718" w:type="dxa"/>
            <w:tcBorders/>
            <w:vAlign w:val="center"/>
          </w:tcPr>
          <w:p>
            <w:pPr>
              <w:pStyle w:val="TableContents"/>
              <w:bidi w:val="0"/>
              <w:spacing w:before="0" w:after="283"/>
              <w:jc w:val="left"/>
              <w:rPr>
                <w:sz w:val="4"/>
                <w:szCs w:val="4"/>
              </w:rPr>
            </w:pPr>
            <w:r>
              <w:rPr>
                <w:sz w:val="4"/>
                <w:szCs w:val="4"/>
              </w:rPr>
            </w:r>
          </w:p>
        </w:tc>
        <w:tc>
          <w:tcPr>
            <w:tcW w:w="2703" w:type="dxa"/>
            <w:tcBorders/>
            <w:vAlign w:val="center"/>
          </w:tcPr>
          <w:p>
            <w:pPr>
              <w:pStyle w:val="TableContents"/>
              <w:bidi w:val="0"/>
              <w:spacing w:before="0" w:after="283"/>
              <w:jc w:val="left"/>
              <w:rPr>
                <w:sz w:val="4"/>
                <w:szCs w:val="4"/>
              </w:rPr>
            </w:pPr>
            <w:r>
              <w:rPr>
                <w:sz w:val="4"/>
                <w:szCs w:val="4"/>
              </w:rPr>
            </w:r>
          </w:p>
        </w:tc>
        <w:tc>
          <w:tcPr>
            <w:tcW w:w="27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831" w:type="dxa"/>
            <w:gridSpan w:val="6"/>
            <w:tcBorders/>
            <w:tcMar>
              <w:top w:w="0" w:type="dxa"/>
              <w:left w:w="0" w:type="dxa"/>
              <w:bottom w:w="0" w:type="dxa"/>
              <w:right w:w="0" w:type="dxa"/>
            </w:tcMar>
            <w:vAlign w:val="center"/>
          </w:tcPr>
          <w:p>
            <w:pPr>
              <w:pStyle w:val="TableContents"/>
              <w:bidi w:val="0"/>
              <w:spacing w:lineRule="auto" w:line="240" w:before="0" w:after="0"/>
              <w:ind w:left="0" w:right="0" w:hanging="90"/>
              <w:jc w:val="left"/>
              <w:rPr/>
            </w:pPr>
            <w:hyperlink w:anchor="i3e0f5f4ea8104e0db5d6554c34082d82_10">
              <w:r>
                <w:rPr>
                  <w:rStyle w:val="InternetLink"/>
                  <w:rFonts w:ascii="Arial;sans-serif" w:hAnsi="Arial;sans-serif"/>
                  <w:b/>
                  <w:color w:val="0000FF"/>
                  <w:sz w:val="20"/>
                  <w:u w:val="single"/>
                </w:rPr>
                <w:t>PART I - FINANCIAL INFORMATION</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e0f5f4ea8104e0db5d6554c34082d82_10">
              <w:r>
                <w:rPr>
                  <w:rStyle w:val="InternetLink"/>
                  <w:rFonts w:ascii="Arial;sans-serif" w:hAnsi="Arial;sans-serif"/>
                  <w:b w:val="false"/>
                  <w:color w:val="0000FF"/>
                  <w:sz w:val="20"/>
                  <w:u w:val="single"/>
                </w:rPr>
                <w:t>3</w:t>
              </w:r>
            </w:hyperlink>
          </w:p>
        </w:tc>
      </w:tr>
      <w:tr>
        <w:trPr/>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e0f5f4ea8104e0db5d6554c34082d82_31">
              <w:r>
                <w:rPr>
                  <w:rStyle w:val="InternetLink"/>
                  <w:color w:val="0000FF"/>
                  <w:u w:val="single"/>
                </w:rPr>
                <w:t> </w:t>
              </w:r>
            </w:hyperlink>
            <w:hyperlink w:anchor="i3e0f5f4ea8104e0db5d6554c34082d82_31">
              <w:r>
                <w:rPr>
                  <w:rStyle w:val="InternetLink"/>
                  <w:rFonts w:ascii="Arial;sans-serif" w:hAnsi="Arial;sans-serif"/>
                  <w:b w:val="false"/>
                  <w:color w:val="0000FF"/>
                  <w:sz w:val="20"/>
                  <w:u w:val="single"/>
                </w:rPr>
                <w:t>Item 1. Condensed Consolidated Financial Statements (Unaudited)</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e0f5f4ea8104e0db5d6554c34082d82_13">
              <w:r>
                <w:rPr>
                  <w:rStyle w:val="InternetLink"/>
                  <w:rFonts w:ascii="Arial;sans-serif" w:hAnsi="Arial;sans-serif"/>
                  <w:b w:val="false"/>
                  <w:color w:val="0000FF"/>
                  <w:sz w:val="20"/>
                  <w:u w:val="single"/>
                </w:rPr>
                <w:t>3</w:t>
              </w:r>
            </w:hyperlink>
          </w:p>
        </w:tc>
      </w:tr>
      <w:tr>
        <w:trPr/>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e0f5f4ea8104e0db5d6554c34082d82_13">
              <w:r>
                <w:rPr>
                  <w:rStyle w:val="InternetLink"/>
                  <w:rFonts w:ascii="Arial;sans-serif" w:hAnsi="Arial;sans-serif"/>
                  <w:b w:val="false"/>
                  <w:color w:val="000080"/>
                  <w:sz w:val="20"/>
                  <w:u w:val="single"/>
                </w:rPr>
                <w:t xml:space="preserve">Balance Sheets as of </w:t>
              </w:r>
            </w:hyperlink>
            <w:r>
              <w:rPr>
                <w:rFonts w:ascii="Arial;sans-serif" w:hAnsi="Arial;sans-serif"/>
                <w:b w:val="false"/>
                <w:color w:val="0000FF"/>
                <w:sz w:val="20"/>
                <w:u w:val="single"/>
              </w:rPr>
              <w:t xml:space="preserve">September 30, 2024 </w:t>
            </w:r>
            <w:hyperlink w:anchor="i3e0f5f4ea8104e0db5d6554c34082d82_13">
              <w:r>
                <w:rPr>
                  <w:rStyle w:val="InternetLink"/>
                  <w:rFonts w:ascii="Arial;sans-serif" w:hAnsi="Arial;sans-serif"/>
                  <w:b w:val="false"/>
                  <w:color w:val="000080"/>
                  <w:sz w:val="20"/>
                  <w:u w:val="single"/>
                </w:rPr>
                <w:t xml:space="preserve">and </w:t>
              </w:r>
            </w:hyperlink>
            <w:r>
              <w:rPr>
                <w:rFonts w:ascii="Arial;sans-serif" w:hAnsi="Arial;sans-serif"/>
                <w:b w:val="false"/>
                <w:color w:val="0000FF"/>
                <w:sz w:val="20"/>
                <w:u w:val="single"/>
              </w:rPr>
              <w:t>December 31, 2023</w:t>
            </w:r>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e0f5f4ea8104e0db5d6554c34082d82_13">
              <w:r>
                <w:rPr>
                  <w:rStyle w:val="InternetLink"/>
                  <w:rFonts w:ascii="Arial;sans-serif" w:hAnsi="Arial;sans-serif"/>
                  <w:b w:val="false"/>
                  <w:color w:val="0000FF"/>
                  <w:sz w:val="20"/>
                  <w:u w:val="single"/>
                </w:rPr>
                <w:t>3</w:t>
              </w:r>
            </w:hyperlink>
          </w:p>
        </w:tc>
      </w:tr>
      <w:tr>
        <w:trPr/>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e0f5f4ea8104e0db5d6554c34082d82_19">
              <w:r>
                <w:rPr>
                  <w:rStyle w:val="InternetLink"/>
                  <w:rFonts w:ascii="Arial;sans-serif" w:hAnsi="Arial;sans-serif"/>
                  <w:b w:val="false"/>
                  <w:color w:val="000080"/>
                  <w:sz w:val="20"/>
                  <w:u w:val="single"/>
                </w:rPr>
                <w:t xml:space="preserve">Statements of Operations for the Three and </w:t>
              </w:r>
            </w:hyperlink>
            <w:hyperlink w:anchor="i3e0f5f4ea8104e0db5d6554c34082d82_19">
              <w:r>
                <w:rPr>
                  <w:rStyle w:val="InternetLink"/>
                  <w:rFonts w:ascii="Arial;sans-serif" w:hAnsi="Arial;sans-serif"/>
                  <w:b w:val="false"/>
                  <w:color w:val="000080"/>
                  <w:sz w:val="20"/>
                  <w:u w:val="single"/>
                </w:rPr>
                <w:t>Nine</w:t>
              </w:r>
            </w:hyperlink>
            <w:hyperlink w:anchor="i3e0f5f4ea8104e0db5d6554c34082d82_19">
              <w:r>
                <w:rPr>
                  <w:rStyle w:val="InternetLink"/>
                  <w:rFonts w:ascii="Arial;sans-serif" w:hAnsi="Arial;sans-serif"/>
                  <w:b w:val="false"/>
                  <w:color w:val="000080"/>
                  <w:sz w:val="20"/>
                  <w:u w:val="single"/>
                </w:rPr>
                <w:t xml:space="preserve"> Months Ended </w:t>
              </w:r>
            </w:hyperlink>
            <w:r>
              <w:rPr>
                <w:rFonts w:ascii="Arial;sans-serif" w:hAnsi="Arial;sans-serif"/>
                <w:b w:val="false"/>
                <w:color w:val="0000FF"/>
                <w:sz w:val="20"/>
                <w:u w:val="single"/>
              </w:rPr>
              <w:t>September 30, 2024</w:t>
            </w:r>
            <w:hyperlink w:anchor="i3e0f5f4ea8104e0db5d6554c34082d82_19">
              <w:r>
                <w:rPr>
                  <w:rStyle w:val="InternetLink"/>
                  <w:rFonts w:ascii="Arial;sans-serif" w:hAnsi="Arial;sans-serif"/>
                  <w:b w:val="false"/>
                  <w:color w:val="000080"/>
                  <w:sz w:val="20"/>
                  <w:u w:val="single"/>
                </w:rPr>
                <w:t xml:space="preserve"> and</w:t>
              </w:r>
            </w:hyperlink>
            <w:r>
              <w:rPr>
                <w:rFonts w:ascii="Arial;sans-serif" w:hAnsi="Arial;sans-serif"/>
                <w:b w:val="false"/>
                <w:color w:val="0000FF"/>
                <w:sz w:val="20"/>
                <w:u w:val="single"/>
              </w:rPr>
              <w:t xml:space="preserve"> 2023</w:t>
            </w:r>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e0f5f4ea8104e0db5d6554c34082d82_19">
              <w:r>
                <w:rPr>
                  <w:rStyle w:val="InternetLink"/>
                  <w:rFonts w:ascii="Arial;sans-serif" w:hAnsi="Arial;sans-serif"/>
                  <w:b w:val="false"/>
                  <w:color w:val="0000FF"/>
                  <w:sz w:val="20"/>
                  <w:u w:val="single"/>
                </w:rPr>
                <w:t>4</w:t>
              </w:r>
            </w:hyperlink>
          </w:p>
        </w:tc>
      </w:tr>
      <w:tr>
        <w:trPr/>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3e0f5f4ea8104e0db5d6554c34082d82_22">
              <w:r>
                <w:rPr>
                  <w:rStyle w:val="InternetLink"/>
                  <w:rFonts w:ascii="Arial;sans-serif" w:hAnsi="Arial;sans-serif"/>
                  <w:b w:val="false"/>
                  <w:color w:val="000080"/>
                  <w:sz w:val="20"/>
                  <w:u w:val="single"/>
                </w:rPr>
                <w:t xml:space="preserve">Statements of Stockholders' Equity for the </w:t>
              </w:r>
            </w:hyperlink>
            <w:hyperlink w:anchor="i3e0f5f4ea8104e0db5d6554c34082d82_22">
              <w:r>
                <w:rPr>
                  <w:rStyle w:val="InternetLink"/>
                  <w:rFonts w:ascii="Arial;sans-serif" w:hAnsi="Arial;sans-serif"/>
                  <w:b w:val="false"/>
                  <w:color w:val="000080"/>
                  <w:sz w:val="20"/>
                  <w:u w:val="single"/>
                </w:rPr>
                <w:t>Nine</w:t>
              </w:r>
            </w:hyperlink>
            <w:hyperlink w:anchor="i3e0f5f4ea8104e0db5d6554c34082d82_22">
              <w:r>
                <w:rPr>
                  <w:rStyle w:val="InternetLink"/>
                  <w:rFonts w:ascii="Arial;sans-serif" w:hAnsi="Arial;sans-serif"/>
                  <w:b w:val="false"/>
                  <w:color w:val="000080"/>
                  <w:sz w:val="20"/>
                  <w:u w:val="single"/>
                </w:rPr>
                <w:t xml:space="preserve"> Months Ended </w:t>
              </w:r>
            </w:hyperlink>
            <w:r>
              <w:rPr>
                <w:rFonts w:ascii="Arial;sans-serif" w:hAnsi="Arial;sans-serif"/>
                <w:b w:val="false"/>
                <w:color w:val="0000FF"/>
                <w:sz w:val="20"/>
                <w:u w:val="single"/>
              </w:rPr>
              <w:t>September 30, 2024</w:t>
            </w:r>
            <w:hyperlink w:anchor="i3e0f5f4ea8104e0db5d6554c34082d82_19">
              <w:r>
                <w:rPr>
                  <w:rStyle w:val="InternetLink"/>
                  <w:rFonts w:ascii="Arial;sans-serif" w:hAnsi="Arial;sans-serif"/>
                  <w:b w:val="false"/>
                  <w:color w:val="000080"/>
                  <w:sz w:val="20"/>
                  <w:u w:val="single"/>
                </w:rPr>
                <w:t xml:space="preserve"> and </w:t>
              </w:r>
            </w:hyperlink>
            <w:r>
              <w:rPr>
                <w:rFonts w:ascii="Arial;sans-serif" w:hAnsi="Arial;sans-serif"/>
                <w:b w:val="false"/>
                <w:color w:val="0000FF"/>
                <w:sz w:val="20"/>
                <w:u w:val="single"/>
              </w:rPr>
              <w:t>2023</w:t>
            </w:r>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e0f5f4ea8104e0db5d6554c34082d82_22">
              <w:r>
                <w:rPr>
                  <w:rStyle w:val="InternetLink"/>
                  <w:rFonts w:ascii="Arial;sans-serif" w:hAnsi="Arial;sans-serif"/>
                  <w:b w:val="false"/>
                  <w:color w:val="0000FF"/>
                  <w:sz w:val="20"/>
                  <w:u w:val="single"/>
                </w:rPr>
                <w:t>5</w:t>
              </w:r>
            </w:hyperlink>
          </w:p>
        </w:tc>
      </w:tr>
      <w:tr>
        <w:trPr/>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3e0f5f4ea8104e0db5d6554c34082d82_25">
              <w:r>
                <w:rPr>
                  <w:rStyle w:val="InternetLink"/>
                  <w:rFonts w:ascii="Arial;sans-serif" w:hAnsi="Arial;sans-serif"/>
                  <w:b w:val="false"/>
                  <w:color w:val="000080"/>
                  <w:sz w:val="20"/>
                  <w:u w:val="single"/>
                </w:rPr>
                <w:t xml:space="preserve">Statements of Cash Flows for the </w:t>
              </w:r>
            </w:hyperlink>
            <w:hyperlink w:anchor="i3e0f5f4ea8104e0db5d6554c34082d82_25">
              <w:r>
                <w:rPr>
                  <w:rStyle w:val="InternetLink"/>
                  <w:rFonts w:ascii="Arial;sans-serif" w:hAnsi="Arial;sans-serif"/>
                  <w:b w:val="false"/>
                  <w:color w:val="000080"/>
                  <w:sz w:val="20"/>
                  <w:u w:val="single"/>
                </w:rPr>
                <w:t>Nine</w:t>
              </w:r>
            </w:hyperlink>
            <w:hyperlink w:anchor="i3e0f5f4ea8104e0db5d6554c34082d82_25">
              <w:r>
                <w:rPr>
                  <w:rStyle w:val="InternetLink"/>
                  <w:rFonts w:ascii="Arial;sans-serif" w:hAnsi="Arial;sans-serif"/>
                  <w:b w:val="false"/>
                  <w:color w:val="000080"/>
                  <w:sz w:val="20"/>
                  <w:u w:val="single"/>
                </w:rPr>
                <w:t xml:space="preserve"> Months Ended </w:t>
              </w:r>
            </w:hyperlink>
            <w:r>
              <w:rPr>
                <w:rFonts w:ascii="Arial;sans-serif" w:hAnsi="Arial;sans-serif"/>
                <w:b w:val="false"/>
                <w:color w:val="0000FF"/>
                <w:sz w:val="20"/>
                <w:u w:val="single"/>
              </w:rPr>
              <w:t>September 30, 2024</w:t>
            </w:r>
            <w:hyperlink w:anchor="i3e0f5f4ea8104e0db5d6554c34082d82_19">
              <w:r>
                <w:rPr>
                  <w:rStyle w:val="InternetLink"/>
                  <w:rFonts w:ascii="Arial;sans-serif" w:hAnsi="Arial;sans-serif"/>
                  <w:b w:val="false"/>
                  <w:color w:val="000080"/>
                  <w:sz w:val="20"/>
                  <w:u w:val="single"/>
                </w:rPr>
                <w:t xml:space="preserve"> and </w:t>
              </w:r>
            </w:hyperlink>
            <w:r>
              <w:rPr>
                <w:rFonts w:ascii="Arial;sans-serif" w:hAnsi="Arial;sans-serif"/>
                <w:b w:val="false"/>
                <w:color w:val="0000FF"/>
                <w:sz w:val="20"/>
                <w:u w:val="single"/>
              </w:rPr>
              <w:t>2023</w:t>
            </w:r>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e0f5f4ea8104e0db5d6554c34082d82_25">
              <w:r>
                <w:rPr>
                  <w:rStyle w:val="InternetLink"/>
                  <w:rFonts w:ascii="Arial;sans-serif" w:hAnsi="Arial;sans-serif"/>
                  <w:b w:val="false"/>
                  <w:color w:val="0000FF"/>
                  <w:sz w:val="20"/>
                  <w:u w:val="single"/>
                </w:rPr>
                <w:t>6</w:t>
              </w:r>
            </w:hyperlink>
          </w:p>
        </w:tc>
      </w:tr>
      <w:tr>
        <w:trPr/>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e0f5f4ea8104e0db5d6554c34082d82_31">
              <w:r>
                <w:rPr>
                  <w:rStyle w:val="InternetLink"/>
                  <w:rFonts w:ascii="Arial;sans-serif" w:hAnsi="Arial;sans-serif"/>
                  <w:b w:val="false"/>
                  <w:color w:val="0000FF"/>
                  <w:sz w:val="20"/>
                  <w:u w:val="single"/>
                </w:rPr>
                <w:t>Notes to Condensed Consolidated Financial Statements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e0f5f4ea8104e0db5d6554c34082d82_31">
              <w:r>
                <w:rPr>
                  <w:rStyle w:val="InternetLink"/>
                  <w:rFonts w:ascii="Arial;sans-serif" w:hAnsi="Arial;sans-serif"/>
                  <w:b w:val="false"/>
                  <w:color w:val="0000FF"/>
                  <w:sz w:val="20"/>
                  <w:u w:val="single"/>
                </w:rPr>
                <w:t>7</w:t>
              </w:r>
            </w:hyperlink>
          </w:p>
        </w:tc>
      </w:tr>
      <w:tr>
        <w:trPr/>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e0f5f4ea8104e0db5d6554c34082d82_76">
              <w:r>
                <w:rPr>
                  <w:rStyle w:val="InternetLink"/>
                  <w:rFonts w:ascii="Arial;sans-serif" w:hAnsi="Arial;sans-serif"/>
                  <w:b w:val="false"/>
                  <w:color w:val="0000FF"/>
                  <w:sz w:val="20"/>
                  <w:u w:val="single"/>
                </w:rPr>
                <w:t>Item 2. Management’s Discussion and Analysis of Financial Condition and Results of Operations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e0f5f4ea8104e0db5d6554c34082d82_76">
              <w:r>
                <w:rPr>
                  <w:rStyle w:val="InternetLink"/>
                  <w:rFonts w:ascii="Arial;sans-serif" w:hAnsi="Arial;sans-serif"/>
                  <w:b w:val="false"/>
                  <w:color w:val="0000FF"/>
                  <w:sz w:val="20"/>
                  <w:u w:val="single"/>
                </w:rPr>
                <w:t>19</w:t>
              </w:r>
            </w:hyperlink>
          </w:p>
        </w:tc>
      </w:tr>
      <w:tr>
        <w:trPr/>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e0f5f4ea8104e0db5d6554c34082d82_91">
              <w:r>
                <w:rPr>
                  <w:rStyle w:val="InternetLink"/>
                  <w:rFonts w:ascii="Arial;sans-serif" w:hAnsi="Arial;sans-serif"/>
                  <w:b w:val="false"/>
                  <w:color w:val="0000FF"/>
                  <w:sz w:val="20"/>
                  <w:u w:val="single"/>
                </w:rPr>
                <w:t>Item 3. Quantitative and Qualitative Disclosures About Market Risk</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e0f5f4ea8104e0db5d6554c34082d82_91">
              <w:r>
                <w:rPr>
                  <w:rStyle w:val="InternetLink"/>
                  <w:rFonts w:ascii="Arial;sans-serif" w:hAnsi="Arial;sans-serif"/>
                  <w:b w:val="false"/>
                  <w:color w:val="0000FF"/>
                  <w:sz w:val="20"/>
                  <w:u w:val="single"/>
                </w:rPr>
                <w:t>31</w:t>
              </w:r>
            </w:hyperlink>
          </w:p>
        </w:tc>
      </w:tr>
      <w:tr>
        <w:trPr/>
        <w:tc>
          <w:tcPr>
            <w:tcW w:w="1679" w:type="dxa"/>
            <w:gridSpan w:val="3"/>
            <w:tcBorders/>
            <w:vAlign w:val="center"/>
          </w:tcPr>
          <w:p>
            <w:pPr>
              <w:pStyle w:val="TableContents"/>
              <w:bidi w:val="0"/>
              <w:spacing w:before="0" w:after="283"/>
              <w:jc w:val="left"/>
              <w:rPr>
                <w:sz w:val="4"/>
                <w:szCs w:val="4"/>
              </w:rPr>
            </w:pPr>
            <w:r>
              <w:rPr>
                <w:sz w:val="4"/>
                <w:szCs w:val="4"/>
              </w:rPr>
            </w:r>
          </w:p>
        </w:tc>
        <w:tc>
          <w:tcPr>
            <w:tcW w:w="8152"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e0f5f4ea8104e0db5d6554c34082d82_94">
              <w:r>
                <w:rPr>
                  <w:rStyle w:val="InternetLink"/>
                  <w:rFonts w:ascii="Arial;sans-serif" w:hAnsi="Arial;sans-serif"/>
                  <w:b w:val="false"/>
                  <w:color w:val="0000FF"/>
                  <w:sz w:val="20"/>
                  <w:u w:val="single"/>
                </w:rPr>
                <w:t>Item 4. Controls and Procedures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e0f5f4ea8104e0db5d6554c34082d82_94">
              <w:r>
                <w:rPr>
                  <w:rStyle w:val="InternetLink"/>
                  <w:rFonts w:ascii="Arial;sans-serif" w:hAnsi="Arial;sans-serif"/>
                  <w:b w:val="false"/>
                  <w:color w:val="0000FF"/>
                  <w:sz w:val="20"/>
                  <w:u w:val="single"/>
                </w:rPr>
                <w:t>32</w:t>
              </w:r>
            </w:hyperlink>
          </w:p>
        </w:tc>
      </w:tr>
      <w:tr>
        <w:trPr/>
        <w:tc>
          <w:tcPr>
            <w:tcW w:w="983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3e0f5f4ea8104e0db5d6554c34082d82_97">
              <w:r>
                <w:rPr>
                  <w:rStyle w:val="InternetLink"/>
                  <w:rFonts w:ascii="Arial;sans-serif" w:hAnsi="Arial;sans-serif"/>
                  <w:b/>
                  <w:color w:val="0000FF"/>
                  <w:sz w:val="20"/>
                  <w:u w:val="single"/>
                </w:rPr>
                <w:t>PART II - OTHER INFORMATION</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e0f5f4ea8104e0db5d6554c34082d82_97">
              <w:r>
                <w:rPr>
                  <w:rStyle w:val="InternetLink"/>
                  <w:rFonts w:ascii="Arial;sans-serif" w:hAnsi="Arial;sans-serif"/>
                  <w:b w:val="false"/>
                  <w:color w:val="0000FF"/>
                  <w:sz w:val="20"/>
                  <w:u w:val="single"/>
                </w:rPr>
                <w:t>32</w:t>
              </w:r>
            </w:hyperlink>
          </w:p>
        </w:tc>
      </w:tr>
      <w:tr>
        <w:trPr/>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e0f5f4ea8104e0db5d6554c34082d82_100">
              <w:r>
                <w:rPr>
                  <w:rStyle w:val="InternetLink"/>
                  <w:rFonts w:ascii="Arial;sans-serif" w:hAnsi="Arial;sans-serif"/>
                  <w:b w:val="false"/>
                  <w:color w:val="0000FF"/>
                  <w:sz w:val="20"/>
                  <w:u w:val="single"/>
                </w:rPr>
                <w:t>Item 1. Legal Proceedings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e0f5f4ea8104e0db5d6554c34082d82_100">
              <w:r>
                <w:rPr>
                  <w:rStyle w:val="InternetLink"/>
                  <w:rFonts w:ascii="Arial;sans-serif" w:hAnsi="Arial;sans-serif"/>
                  <w:b w:val="false"/>
                  <w:color w:val="0000FF"/>
                  <w:sz w:val="20"/>
                  <w:u w:val="single"/>
                </w:rPr>
                <w:t>32</w:t>
              </w:r>
            </w:hyperlink>
          </w:p>
        </w:tc>
      </w:tr>
      <w:tr>
        <w:trPr/>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e0f5f4ea8104e0db5d6554c34082d82_103">
              <w:r>
                <w:rPr>
                  <w:rStyle w:val="InternetLink"/>
                  <w:rFonts w:ascii="Arial;sans-serif" w:hAnsi="Arial;sans-serif"/>
                  <w:b w:val="false"/>
                  <w:color w:val="0000FF"/>
                  <w:sz w:val="20"/>
                  <w:u w:val="single"/>
                </w:rPr>
                <w:t>Item 1A. Risk Factors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e0f5f4ea8104e0db5d6554c34082d82_103">
              <w:r>
                <w:rPr>
                  <w:rStyle w:val="InternetLink"/>
                  <w:rFonts w:ascii="Arial;sans-serif" w:hAnsi="Arial;sans-serif"/>
                  <w:b w:val="false"/>
                  <w:color w:val="0000FF"/>
                  <w:sz w:val="20"/>
                  <w:u w:val="single"/>
                </w:rPr>
                <w:t>32</w:t>
              </w:r>
            </w:hyperlink>
          </w:p>
        </w:tc>
      </w:tr>
      <w:tr>
        <w:trPr/>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e0f5f4ea8104e0db5d6554c34082d82_106">
              <w:r>
                <w:rPr>
                  <w:rStyle w:val="InternetLink"/>
                  <w:rFonts w:ascii="Arial;sans-serif" w:hAnsi="Arial;sans-serif"/>
                  <w:b w:val="false"/>
                  <w:color w:val="0000FF"/>
                  <w:sz w:val="20"/>
                  <w:u w:val="single"/>
                </w:rPr>
                <w:t>Item 2. Unregistered Sales of Equity Securities and Use of Proceeds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e0f5f4ea8104e0db5d6554c34082d82_106">
              <w:r>
                <w:rPr>
                  <w:rStyle w:val="InternetLink"/>
                  <w:rFonts w:ascii="Arial;sans-serif" w:hAnsi="Arial;sans-serif"/>
                  <w:b w:val="false"/>
                  <w:color w:val="0000FF"/>
                  <w:sz w:val="20"/>
                  <w:u w:val="single"/>
                </w:rPr>
                <w:t>32</w:t>
              </w:r>
            </w:hyperlink>
          </w:p>
        </w:tc>
      </w:tr>
      <w:tr>
        <w:trPr/>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e0f5f4ea8104e0db5d6554c34082d82_109">
              <w:r>
                <w:rPr>
                  <w:rStyle w:val="InternetLink"/>
                  <w:rFonts w:ascii="Arial;sans-serif" w:hAnsi="Arial;sans-serif"/>
                  <w:b w:val="false"/>
                  <w:color w:val="0000FF"/>
                  <w:sz w:val="20"/>
                  <w:u w:val="single"/>
                </w:rPr>
                <w:t>Item 3. Defaults Upon Senior Securities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e0f5f4ea8104e0db5d6554c34082d82_109">
              <w:r>
                <w:rPr>
                  <w:rStyle w:val="InternetLink"/>
                  <w:rFonts w:ascii="Arial;sans-serif" w:hAnsi="Arial;sans-serif"/>
                  <w:b w:val="false"/>
                  <w:color w:val="0000FF"/>
                  <w:sz w:val="20"/>
                  <w:u w:val="single"/>
                </w:rPr>
                <w:t>33</w:t>
              </w:r>
            </w:hyperlink>
          </w:p>
        </w:tc>
      </w:tr>
      <w:tr>
        <w:trPr/>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e0f5f4ea8104e0db5d6554c34082d82_112">
              <w:r>
                <w:rPr>
                  <w:rStyle w:val="InternetLink"/>
                  <w:rFonts w:ascii="Arial;sans-serif" w:hAnsi="Arial;sans-serif"/>
                  <w:b w:val="false"/>
                  <w:color w:val="0000FF"/>
                  <w:sz w:val="20"/>
                  <w:u w:val="single"/>
                </w:rPr>
                <w:t>Item 4. Mine Safety Disclosures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e0f5f4ea8104e0db5d6554c34082d82_112">
              <w:r>
                <w:rPr>
                  <w:rStyle w:val="InternetLink"/>
                  <w:rFonts w:ascii="Arial;sans-serif" w:hAnsi="Arial;sans-serif"/>
                  <w:b w:val="false"/>
                  <w:color w:val="0000FF"/>
                  <w:sz w:val="20"/>
                  <w:u w:val="single"/>
                </w:rPr>
                <w:t>33</w:t>
              </w:r>
            </w:hyperlink>
          </w:p>
        </w:tc>
      </w:tr>
      <w:tr>
        <w:trPr/>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e0f5f4ea8104e0db5d6554c34082d82_115">
              <w:r>
                <w:rPr>
                  <w:rStyle w:val="InternetLink"/>
                  <w:rFonts w:ascii="Arial;sans-serif" w:hAnsi="Arial;sans-serif"/>
                  <w:b w:val="false"/>
                  <w:color w:val="0000FF"/>
                  <w:sz w:val="20"/>
                  <w:u w:val="single"/>
                </w:rPr>
                <w:t>Item 5. Other Information</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e0f5f4ea8104e0db5d6554c34082d82_118">
              <w:r>
                <w:rPr>
                  <w:rStyle w:val="InternetLink"/>
                  <w:rFonts w:ascii="Arial;sans-serif" w:hAnsi="Arial;sans-serif"/>
                  <w:b w:val="false"/>
                  <w:color w:val="0000FF"/>
                  <w:sz w:val="20"/>
                  <w:u w:val="single"/>
                </w:rPr>
                <w:t>34</w:t>
              </w:r>
            </w:hyperlink>
          </w:p>
        </w:tc>
      </w:tr>
      <w:tr>
        <w:trPr/>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e0f5f4ea8104e0db5d6554c34082d82_118">
              <w:r>
                <w:rPr>
                  <w:rStyle w:val="InternetLink"/>
                  <w:rFonts w:ascii="Arial;sans-serif" w:hAnsi="Arial;sans-serif"/>
                  <w:b w:val="false"/>
                  <w:color w:val="0000FF"/>
                  <w:sz w:val="20"/>
                  <w:u w:val="single"/>
                </w:rPr>
                <w:t>Item 6. Exhibits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e0f5f4ea8104e0db5d6554c34082d82_118">
              <w:r>
                <w:rPr>
                  <w:rStyle w:val="InternetLink"/>
                  <w:rFonts w:ascii="Arial;sans-serif" w:hAnsi="Arial;sans-serif"/>
                  <w:b w:val="false"/>
                  <w:color w:val="0000FF"/>
                  <w:sz w:val="20"/>
                  <w:u w:val="single"/>
                </w:rPr>
                <w:t>34</w:t>
              </w:r>
            </w:hyperlink>
          </w:p>
        </w:tc>
      </w:tr>
      <w:tr>
        <w:trPr/>
        <w:tc>
          <w:tcPr>
            <w:tcW w:w="9831" w:type="dxa"/>
            <w:gridSpan w:val="6"/>
            <w:tcBorders/>
            <w:tcMar>
              <w:top w:w="0" w:type="dxa"/>
              <w:left w:w="0" w:type="dxa"/>
              <w:bottom w:w="0" w:type="dxa"/>
              <w:right w:w="0" w:type="dxa"/>
            </w:tcMar>
            <w:vAlign w:val="center"/>
          </w:tcPr>
          <w:p>
            <w:pPr>
              <w:pStyle w:val="TableContents"/>
              <w:bidi w:val="0"/>
              <w:spacing w:lineRule="auto" w:line="240" w:before="0" w:after="0"/>
              <w:ind w:left="0" w:right="0" w:hanging="90"/>
              <w:jc w:val="left"/>
              <w:rPr/>
            </w:pPr>
            <w:hyperlink w:anchor="i3e0f5f4ea8104e0db5d6554c34082d82_121">
              <w:r>
                <w:rPr>
                  <w:rStyle w:val="InternetLink"/>
                  <w:rFonts w:ascii="Arial;sans-serif" w:hAnsi="Arial;sans-serif"/>
                  <w:b/>
                  <w:color w:val="0000FF"/>
                  <w:sz w:val="20"/>
                  <w:u w:val="single"/>
                </w:rPr>
                <w:t>SIGNATURES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e0f5f4ea8104e0db5d6554c34082d82_121">
              <w:r>
                <w:rPr>
                  <w:rStyle w:val="InternetLink"/>
                  <w:rFonts w:ascii="Arial;sans-serif" w:hAnsi="Arial;sans-serif"/>
                  <w:b w:val="false"/>
                  <w:color w:val="0000FF"/>
                  <w:sz w:val="20"/>
                  <w:u w:val="single"/>
                </w:rPr>
                <w:t>35</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450850"/>
                <wp:effectExtent l="0" t="0" r="0" b="0"/>
                <wp:wrapNone/>
                <wp:docPr id="2" name="Frame2"/>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lineRule="auto" w:line="288" w:before="0" w:after="600"/>
        <w:jc w:val="left"/>
        <w:rPr/>
      </w:pPr>
      <w:hyperlink w:anchor="i3e0f5f4ea8104e0db5d6554c34082d82_7">
        <w:r>
          <w:rPr>
            <w:rStyle w:val="InternetLink"/>
            <w:rFonts w:ascii="Arial;sans-serif" w:hAnsi="Arial;sans-serif"/>
            <w:b w:val="false"/>
            <w:color w:val="0563C1"/>
            <w:sz w:val="20"/>
            <w:u w:val="single"/>
          </w:rPr>
          <w:t>Table of Contents</w:t>
        </w:r>
      </w:hyperlink>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PART 1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1. CONDENSED CONSOLIDATED FINANCIAL STATEMENTS</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KLX Energy Services Holdings,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Balance Sheets</w:t>
      </w:r>
    </w:p>
    <w:p>
      <w:pPr>
        <w:pStyle w:val="TextBody"/>
        <w:bidi w:val="0"/>
        <w:spacing w:lineRule="auto" w:line="288" w:before="0" w:after="0"/>
        <w:jc w:val="center"/>
        <w:rPr>
          <w:rFonts w:ascii="Arial;sans-serif" w:hAnsi="Arial;sans-serif"/>
          <w:b/>
          <w:i/>
          <w:color w:val="000000"/>
          <w:sz w:val="20"/>
        </w:rPr>
      </w:pPr>
      <w:r>
        <w:rPr>
          <w:rFonts w:ascii="Arial;sans-serif" w:hAnsi="Arial;sans-serif"/>
          <w:b/>
          <w:i/>
          <w:color w:val="000000"/>
          <w:sz w:val="20"/>
        </w:rPr>
        <w:t>(In millions of U.S. dollars and shares, except per share data)</w:t>
      </w:r>
    </w:p>
    <w:tbl>
      <w:tblPr>
        <w:tblW w:w="10134" w:type="dxa"/>
        <w:jc w:val="center"/>
        <w:tblInd w:w="0" w:type="dxa"/>
        <w:tblLayout w:type="fixed"/>
        <w:tblCellMar>
          <w:top w:w="28" w:type="dxa"/>
          <w:left w:w="28" w:type="dxa"/>
          <w:bottom w:w="28" w:type="dxa"/>
          <w:right w:w="28" w:type="dxa"/>
        </w:tblCellMar>
      </w:tblPr>
      <w:tblGrid>
        <w:gridCol w:w="2235"/>
        <w:gridCol w:w="1963"/>
        <w:gridCol w:w="1981"/>
        <w:gridCol w:w="407"/>
        <w:gridCol w:w="1193"/>
        <w:gridCol w:w="214"/>
        <w:gridCol w:w="109"/>
        <w:gridCol w:w="109"/>
        <w:gridCol w:w="109"/>
        <w:gridCol w:w="390"/>
        <w:gridCol w:w="1138"/>
        <w:gridCol w:w="286"/>
      </w:tblGrid>
      <w:tr>
        <w:trPr/>
        <w:tc>
          <w:tcPr>
            <w:tcW w:w="2235" w:type="dxa"/>
            <w:tcBorders/>
            <w:vAlign w:val="center"/>
          </w:tcPr>
          <w:p>
            <w:pPr>
              <w:pStyle w:val="TableContents"/>
              <w:bidi w:val="0"/>
              <w:spacing w:before="0" w:after="283"/>
              <w:jc w:val="left"/>
              <w:rPr>
                <w:sz w:val="4"/>
                <w:szCs w:val="4"/>
              </w:rPr>
            </w:pPr>
            <w:r>
              <w:rPr>
                <w:sz w:val="4"/>
                <w:szCs w:val="4"/>
              </w:rPr>
            </w:r>
          </w:p>
        </w:tc>
        <w:tc>
          <w:tcPr>
            <w:tcW w:w="1963" w:type="dxa"/>
            <w:tcBorders/>
            <w:vAlign w:val="center"/>
          </w:tcPr>
          <w:p>
            <w:pPr>
              <w:pStyle w:val="TableContents"/>
              <w:bidi w:val="0"/>
              <w:spacing w:before="0" w:after="283"/>
              <w:jc w:val="left"/>
              <w:rPr>
                <w:sz w:val="4"/>
                <w:szCs w:val="4"/>
              </w:rPr>
            </w:pPr>
            <w:r>
              <w:rPr>
                <w:sz w:val="4"/>
                <w:szCs w:val="4"/>
              </w:rPr>
            </w:r>
          </w:p>
        </w:tc>
        <w:tc>
          <w:tcPr>
            <w:tcW w:w="1981"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2023</w:t>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i/>
                <w:color w:val="000000"/>
                <w:sz w:val="18"/>
              </w:rPr>
            </w:pPr>
            <w:r>
              <w:rPr>
                <w:rFonts w:ascii="Arial;sans-serif" w:hAnsi="Arial;sans-serif"/>
                <w:b/>
                <w:i/>
                <w:color w:val="000000"/>
                <w:sz w:val="18"/>
              </w:rPr>
              <w:t>(Unaudited)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34"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ASSETS</w:t>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assets:</w:t>
            </w:r>
          </w:p>
        </w:tc>
        <w:tc>
          <w:tcPr>
            <w:tcW w:w="1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4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82.7 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Accounts receivable–trade, net of allowance of $4.6 and $5.5</w:t>
            </w:r>
          </w:p>
        </w:tc>
        <w:tc>
          <w:tcPr>
            <w:tcW w:w="1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124.8 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Inventories, net</w:t>
            </w:r>
          </w:p>
        </w:tc>
        <w:tc>
          <w:tcPr>
            <w:tcW w:w="1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32.7 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Prepaid expenses and other current assets</w:t>
            </w:r>
          </w:p>
        </w:tc>
        <w:tc>
          <w:tcPr>
            <w:tcW w:w="1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assets</w:t>
            </w:r>
          </w:p>
        </w:tc>
        <w:tc>
          <w:tcPr>
            <w:tcW w:w="16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254.8 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290.3 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Property and equipment, net </w:t>
            </w:r>
          </w:p>
        </w:tc>
        <w:tc>
          <w:tcPr>
            <w:tcW w:w="1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207.1 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assets</w:t>
            </w:r>
          </w:p>
        </w:tc>
        <w:tc>
          <w:tcPr>
            <w:tcW w:w="1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Intangible assets, net</w:t>
            </w:r>
          </w:p>
        </w:tc>
        <w:tc>
          <w:tcPr>
            <w:tcW w:w="1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assets</w:t>
            </w:r>
          </w:p>
        </w:tc>
        <w:tc>
          <w:tcPr>
            <w:tcW w:w="1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4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486.8 </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539.8 </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134"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LIABILITIES AND STOCKHOLDERS’ EQUITY</w:t>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liabilities:</w:t>
            </w:r>
          </w:p>
        </w:tc>
        <w:tc>
          <w:tcPr>
            <w:tcW w:w="1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w:t>
            </w:r>
          </w:p>
        </w:tc>
        <w:tc>
          <w:tcPr>
            <w:tcW w:w="4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78.5 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interest</w:t>
            </w:r>
          </w:p>
        </w:tc>
        <w:tc>
          <w:tcPr>
            <w:tcW w:w="1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liabilities</w:t>
            </w:r>
          </w:p>
        </w:tc>
        <w:tc>
          <w:tcPr>
            <w:tcW w:w="1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42.6 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portion of long-term debt</w:t>
            </w:r>
          </w:p>
        </w:tc>
        <w:tc>
          <w:tcPr>
            <w:tcW w:w="1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portion of operating lease obligations</w:t>
            </w:r>
          </w:p>
        </w:tc>
        <w:tc>
          <w:tcPr>
            <w:tcW w:w="1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portion of finance lease obligations</w:t>
            </w:r>
          </w:p>
        </w:tc>
        <w:tc>
          <w:tcPr>
            <w:tcW w:w="1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liabilities</w:t>
            </w:r>
          </w:p>
        </w:tc>
        <w:tc>
          <w:tcPr>
            <w:tcW w:w="16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205.1 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164.1</w:t>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debt</w:t>
            </w:r>
          </w:p>
        </w:tc>
        <w:tc>
          <w:tcPr>
            <w:tcW w:w="1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235.2 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284.3 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operating lease obligations</w:t>
            </w:r>
          </w:p>
        </w:tc>
        <w:tc>
          <w:tcPr>
            <w:tcW w:w="1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finance lease obligations</w:t>
            </w:r>
          </w:p>
        </w:tc>
        <w:tc>
          <w:tcPr>
            <w:tcW w:w="1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29.2 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non-current liabilities</w:t>
            </w:r>
          </w:p>
        </w:tc>
        <w:tc>
          <w:tcPr>
            <w:tcW w:w="1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Commitments, contingencies and off-balance sheet arrangements (Note 8)</w:t>
            </w:r>
          </w:p>
        </w:tc>
        <w:tc>
          <w:tcPr>
            <w:tcW w:w="1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Stockholders’ equity:</w:t>
            </w:r>
          </w:p>
        </w:tc>
        <w:tc>
          <w:tcPr>
            <w:tcW w:w="18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 xml:space="preserve">Common stock, $0.01 par value; 110.0 authorized; 17.3 and 16.9 issued </w:t>
            </w:r>
          </w:p>
        </w:tc>
        <w:tc>
          <w:tcPr>
            <w:tcW w:w="1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Additional paid-in capital</w:t>
            </w:r>
          </w:p>
        </w:tc>
        <w:tc>
          <w:tcPr>
            <w:tcW w:w="1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555.9 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553.4 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 xml:space="preserve">Treasury stock, at cost, 0.5 shares and 0.4 shares </w:t>
            </w:r>
          </w:p>
        </w:tc>
        <w:tc>
          <w:tcPr>
            <w:tcW w:w="1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Accumulated deficit</w:t>
            </w:r>
          </w:p>
        </w:tc>
        <w:tc>
          <w:tcPr>
            <w:tcW w:w="1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(547.8)</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(509.4)</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stockholders’ equity</w:t>
            </w:r>
          </w:p>
        </w:tc>
        <w:tc>
          <w:tcPr>
            <w:tcW w:w="16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38.8 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 and stockholders’ equity</w:t>
            </w:r>
          </w:p>
        </w:tc>
        <w:tc>
          <w:tcPr>
            <w:tcW w:w="4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486.8 </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539.8 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 w:after="283"/>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See accompanying notes to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450850"/>
                <wp:effectExtent l="0" t="0" r="0" b="0"/>
                <wp:wrapNone/>
                <wp:docPr id="3" name="Frame3"/>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288" w:before="0" w:after="600"/>
        <w:jc w:val="left"/>
        <w:rPr/>
      </w:pPr>
      <w:hyperlink w:anchor="i3e0f5f4ea8104e0db5d6554c34082d82_7">
        <w:r>
          <w:rPr>
            <w:rStyle w:val="InternetLink"/>
            <w:rFonts w:ascii="Arial;sans-serif" w:hAnsi="Arial;sans-serif"/>
            <w:b w:val="false"/>
            <w:color w:val="0563C1"/>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KLX Energy Services Holdings,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Operations</w:t>
      </w:r>
    </w:p>
    <w:p>
      <w:pPr>
        <w:pStyle w:val="TextBody"/>
        <w:bidi w:val="0"/>
        <w:spacing w:lineRule="auto" w:line="288" w:before="0" w:after="0"/>
        <w:jc w:val="center"/>
        <w:rPr>
          <w:rFonts w:ascii="Arial;sans-serif" w:hAnsi="Arial;sans-serif"/>
          <w:b/>
          <w:i/>
          <w:color w:val="000000"/>
          <w:sz w:val="20"/>
        </w:rPr>
      </w:pPr>
      <w:r>
        <w:rPr>
          <w:rFonts w:ascii="Arial;sans-serif" w:hAnsi="Arial;sans-serif"/>
          <w:b/>
          <w:i/>
          <w:color w:val="000000"/>
          <w:sz w:val="20"/>
        </w:rPr>
        <w:t>(In millions of U.S. dollars, except per share data)</w:t>
      </w:r>
    </w:p>
    <w:p>
      <w:pPr>
        <w:pStyle w:val="TextBody"/>
        <w:bidi w:val="0"/>
        <w:spacing w:lineRule="auto" w:line="288" w:before="0" w:after="0"/>
        <w:jc w:val="center"/>
        <w:rPr>
          <w:rFonts w:ascii="Arial;sans-serif" w:hAnsi="Arial;sans-serif"/>
          <w:b/>
          <w:i/>
          <w:color w:val="000000"/>
          <w:sz w:val="20"/>
        </w:rPr>
      </w:pPr>
      <w:r>
        <w:rPr>
          <w:rFonts w:ascii="Arial;sans-serif" w:hAnsi="Arial;sans-serif"/>
          <w:b/>
          <w:i/>
          <w:color w:val="000000"/>
          <w:sz w:val="20"/>
        </w:rPr>
        <w:t>(Unaudited)</w:t>
      </w:r>
    </w:p>
    <w:tbl>
      <w:tblPr>
        <w:tblW w:w="10205" w:type="dxa"/>
        <w:jc w:val="left"/>
        <w:tblInd w:w="0" w:type="dxa"/>
        <w:tblLayout w:type="fixed"/>
        <w:tblCellMar>
          <w:top w:w="28" w:type="dxa"/>
          <w:left w:w="28" w:type="dxa"/>
          <w:bottom w:w="28" w:type="dxa"/>
          <w:right w:w="28" w:type="dxa"/>
        </w:tblCellMar>
      </w:tblPr>
      <w:tblGrid>
        <w:gridCol w:w="987"/>
        <w:gridCol w:w="770"/>
        <w:gridCol w:w="769"/>
        <w:gridCol w:w="348"/>
        <w:gridCol w:w="1021"/>
        <w:gridCol w:w="183"/>
        <w:gridCol w:w="109"/>
        <w:gridCol w:w="109"/>
        <w:gridCol w:w="109"/>
        <w:gridCol w:w="348"/>
        <w:gridCol w:w="1021"/>
        <w:gridCol w:w="183"/>
        <w:gridCol w:w="109"/>
        <w:gridCol w:w="109"/>
        <w:gridCol w:w="109"/>
        <w:gridCol w:w="348"/>
        <w:gridCol w:w="1021"/>
        <w:gridCol w:w="183"/>
        <w:gridCol w:w="109"/>
        <w:gridCol w:w="109"/>
        <w:gridCol w:w="109"/>
        <w:gridCol w:w="348"/>
        <w:gridCol w:w="1021"/>
        <w:gridCol w:w="183"/>
        <w:gridCol w:w="109"/>
        <w:gridCol w:w="109"/>
        <w:gridCol w:w="109"/>
        <w:gridCol w:w="163"/>
      </w:tblGrid>
      <w:tr>
        <w:trPr/>
        <w:tc>
          <w:tcPr>
            <w:tcW w:w="987"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gridSpan w:val="2"/>
            <w:tcBorders/>
          </w:tcPr>
          <w:p>
            <w:pPr>
              <w:pStyle w:val="TableContents"/>
              <w:bidi w:val="0"/>
              <w:spacing w:before="0" w:after="283"/>
              <w:jc w:val="left"/>
              <w:rPr>
                <w:sz w:val="4"/>
                <w:szCs w:val="4"/>
              </w:rPr>
            </w:pPr>
            <w:r>
              <w:rPr>
                <w:sz w:val="4"/>
                <w:szCs w:val="4"/>
              </w:rPr>
            </w:r>
          </w:p>
        </w:tc>
      </w:tr>
      <w:tr>
        <w:trPr/>
        <w:tc>
          <w:tcPr>
            <w:tcW w:w="2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30,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Revenues</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188.9 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220.6 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543.8 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694.2 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Costs and expenses:</w:t>
            </w:r>
          </w:p>
        </w:tc>
        <w:tc>
          <w:tcPr>
            <w:tcW w:w="1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Cost of sales</w:t>
            </w:r>
          </w:p>
        </w:tc>
        <w:tc>
          <w:tcPr>
            <w:tcW w:w="1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166.2 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520.4 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Depreciation and amortization</w:t>
            </w:r>
          </w:p>
        </w:tc>
        <w:tc>
          <w:tcPr>
            <w:tcW w:w="1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Selling, general and administrative</w:t>
            </w:r>
          </w:p>
        </w:tc>
        <w:tc>
          <w:tcPr>
            <w:tcW w:w="1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66.8 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Research and development costs</w:t>
            </w:r>
          </w:p>
        </w:tc>
        <w:tc>
          <w:tcPr>
            <w:tcW w:w="1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Impairment and other charges</w:t>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Bargain purchase gain</w:t>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 (loss)</w:t>
            </w:r>
          </w:p>
        </w:tc>
        <w:tc>
          <w:tcPr>
            <w:tcW w:w="13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54.9 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Non-operating expense:</w:t>
            </w:r>
          </w:p>
        </w:tc>
        <w:tc>
          <w:tcPr>
            <w:tcW w:w="1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Interest income</w:t>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Interest expense</w:t>
            </w:r>
          </w:p>
        </w:tc>
        <w:tc>
          <w:tcPr>
            <w:tcW w:w="1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27.2 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 income before income tax</w:t>
            </w:r>
          </w:p>
        </w:tc>
        <w:tc>
          <w:tcPr>
            <w:tcW w:w="13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(37.8)</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28.6 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Income tax expense</w:t>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 income</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(38.4)</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28.4 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 income per share-basic</w:t>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(0.51)</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0.47 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 income per share-diluted</w:t>
            </w:r>
          </w:p>
        </w:tc>
        <w:tc>
          <w:tcPr>
            <w:tcW w:w="34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(0.51)</w:t>
            </w:r>
          </w:p>
        </w:tc>
        <w:tc>
          <w:tcPr>
            <w:tcW w:w="18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0.47 </w:t>
            </w:r>
          </w:p>
        </w:tc>
        <w:tc>
          <w:tcPr>
            <w:tcW w:w="18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w:t>
            </w:r>
          </w:p>
        </w:tc>
        <w:tc>
          <w:tcPr>
            <w:tcW w:w="18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1.82 </w:t>
            </w:r>
          </w:p>
        </w:tc>
        <w:tc>
          <w:tcPr>
            <w:tcW w:w="18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0" w:after="283"/>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450850"/>
                <wp:effectExtent l="0" t="0" r="0" b="0"/>
                <wp:wrapNone/>
                <wp:docPr id="4" name="Frame4"/>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288" w:before="0" w:after="600"/>
        <w:jc w:val="left"/>
        <w:rPr/>
      </w:pPr>
      <w:hyperlink w:anchor="i3e0f5f4ea8104e0db5d6554c34082d82_7">
        <w:r>
          <w:rPr>
            <w:rStyle w:val="InternetLink"/>
            <w:rFonts w:ascii="Arial;sans-serif" w:hAnsi="Arial;sans-serif"/>
            <w:b w:val="false"/>
            <w:color w:val="0563C1"/>
            <w:sz w:val="20"/>
            <w:u w:val="single"/>
          </w:rPr>
          <w:t>Table of Contents</w:t>
        </w:r>
      </w:hyperlink>
    </w:p>
    <w:p>
      <w:pPr>
        <w:pStyle w:val="TextBody"/>
        <w:bidi w:val="0"/>
        <w:spacing w:lineRule="auto" w:line="288" w:before="0" w:after="0"/>
        <w:ind w:left="0" w:right="0" w:firstLine="720"/>
        <w:jc w:val="center"/>
        <w:rPr>
          <w:rFonts w:ascii="Arial;sans-serif" w:hAnsi="Arial;sans-serif"/>
          <w:b/>
          <w:color w:val="000000"/>
          <w:sz w:val="20"/>
        </w:rPr>
      </w:pPr>
      <w:r>
        <w:rPr>
          <w:rFonts w:ascii="Arial;sans-serif" w:hAnsi="Arial;sans-serif"/>
          <w:b/>
          <w:color w:val="000000"/>
          <w:sz w:val="20"/>
        </w:rPr>
        <w:t>KLX Energy Services Holdings,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Stockholders' Equity</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Nine Months Ended September 30, 2024 and September 30, 2023</w:t>
      </w:r>
    </w:p>
    <w:p>
      <w:pPr>
        <w:pStyle w:val="TextBody"/>
        <w:bidi w:val="0"/>
        <w:spacing w:lineRule="auto" w:line="288" w:before="0" w:after="0"/>
        <w:jc w:val="center"/>
        <w:rPr/>
      </w:pPr>
      <w:r>
        <w:rPr>
          <w:rFonts w:ascii="Arial;sans-serif" w:hAnsi="Arial;sans-serif"/>
          <w:b/>
          <w:color w:val="000000"/>
          <w:sz w:val="20"/>
        </w:rPr>
        <w:t>(</w:t>
      </w:r>
      <w:r>
        <w:rPr>
          <w:rFonts w:ascii="Arial;sans-serif" w:hAnsi="Arial;sans-serif"/>
          <w:b/>
          <w:i/>
          <w:color w:val="000000"/>
          <w:sz w:val="20"/>
        </w:rPr>
        <w:t>In millions of U.S. dollars and shares</w:t>
      </w:r>
      <w:r>
        <w:rPr>
          <w:rFonts w:ascii="Arial;sans-serif" w:hAnsi="Arial;sans-serif"/>
          <w:b/>
          <w:color w:val="000000"/>
          <w:sz w:val="20"/>
        </w:rPr>
        <w:t>)</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608"/>
        <w:gridCol w:w="507"/>
        <w:gridCol w:w="509"/>
        <w:gridCol w:w="255"/>
        <w:gridCol w:w="256"/>
        <w:gridCol w:w="245"/>
        <w:gridCol w:w="112"/>
        <w:gridCol w:w="112"/>
        <w:gridCol w:w="112"/>
        <w:gridCol w:w="225"/>
        <w:gridCol w:w="434"/>
        <w:gridCol w:w="122"/>
        <w:gridCol w:w="109"/>
        <w:gridCol w:w="109"/>
        <w:gridCol w:w="109"/>
        <w:gridCol w:w="296"/>
        <w:gridCol w:w="866"/>
        <w:gridCol w:w="154"/>
        <w:gridCol w:w="109"/>
        <w:gridCol w:w="109"/>
        <w:gridCol w:w="109"/>
        <w:gridCol w:w="294"/>
        <w:gridCol w:w="588"/>
        <w:gridCol w:w="153"/>
        <w:gridCol w:w="109"/>
        <w:gridCol w:w="109"/>
        <w:gridCol w:w="109"/>
        <w:gridCol w:w="312"/>
        <w:gridCol w:w="937"/>
        <w:gridCol w:w="163"/>
        <w:gridCol w:w="109"/>
        <w:gridCol w:w="109"/>
        <w:gridCol w:w="109"/>
        <w:gridCol w:w="391"/>
        <w:gridCol w:w="950"/>
        <w:gridCol w:w="296"/>
      </w:tblGrid>
      <w:tr>
        <w:trPr/>
        <w:tc>
          <w:tcPr>
            <w:tcW w:w="608"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r>
      <w:tr>
        <w:trPr/>
        <w:tc>
          <w:tcPr>
            <w:tcW w:w="1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 Stockholders’ Equity</w:t>
            </w:r>
          </w:p>
        </w:tc>
      </w:tr>
      <w:tr>
        <w:trPr/>
        <w:tc>
          <w:tcPr>
            <w:tcW w:w="1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xml:space="preserve">Shares </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December 31, 2023</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(509.4)</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38.8 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Restricted stock, net of forfeitures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 of treasury stock</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 of common stock, net of cost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March 31, 2024</w:t>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554.1 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(531.6)</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16.9 </w:t>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Restricted stock, net of forfeitures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 of common stock, net of cost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June 30, 2024</w:t>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555.0 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(539.6)</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9.8 </w:t>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Restricted stock, net of forfeitures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September 30, 2024</w:t>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17.3 </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555.9 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(547.8)</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571"/>
        <w:gridCol w:w="473"/>
        <w:gridCol w:w="474"/>
        <w:gridCol w:w="260"/>
        <w:gridCol w:w="260"/>
        <w:gridCol w:w="261"/>
        <w:gridCol w:w="112"/>
        <w:gridCol w:w="112"/>
        <w:gridCol w:w="112"/>
        <w:gridCol w:w="225"/>
        <w:gridCol w:w="434"/>
        <w:gridCol w:w="122"/>
        <w:gridCol w:w="109"/>
        <w:gridCol w:w="109"/>
        <w:gridCol w:w="109"/>
        <w:gridCol w:w="282"/>
        <w:gridCol w:w="825"/>
        <w:gridCol w:w="147"/>
        <w:gridCol w:w="109"/>
        <w:gridCol w:w="109"/>
        <w:gridCol w:w="109"/>
        <w:gridCol w:w="252"/>
        <w:gridCol w:w="503"/>
        <w:gridCol w:w="131"/>
        <w:gridCol w:w="109"/>
        <w:gridCol w:w="109"/>
        <w:gridCol w:w="109"/>
        <w:gridCol w:w="276"/>
        <w:gridCol w:w="826"/>
        <w:gridCol w:w="144"/>
        <w:gridCol w:w="109"/>
        <w:gridCol w:w="109"/>
        <w:gridCol w:w="109"/>
        <w:gridCol w:w="482"/>
        <w:gridCol w:w="1204"/>
        <w:gridCol w:w="250"/>
        <w:gridCol w:w="159"/>
      </w:tblGrid>
      <w:tr>
        <w:trPr/>
        <w:tc>
          <w:tcPr>
            <w:tcW w:w="571"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 Stockholders’Equity</w:t>
            </w:r>
          </w:p>
        </w:tc>
        <w:tc>
          <w:tcPr>
            <w:tcW w:w="159" w:type="dxa"/>
            <w:tcBorders/>
            <w:vAlign w:val="center"/>
          </w:tcPr>
          <w:p>
            <w:pPr>
              <w:pStyle w:val="TableContents"/>
              <w:bidi w:val="0"/>
              <w:spacing w:before="0" w:after="283"/>
              <w:jc w:val="left"/>
              <w:rPr>
                <w:sz w:val="4"/>
                <w:szCs w:val="4"/>
              </w:rPr>
            </w:pPr>
            <w:r>
              <w:rPr>
                <w:sz w:val="4"/>
                <w:szCs w:val="4"/>
              </w:rPr>
            </w:r>
          </w:p>
        </w:tc>
      </w:tr>
      <w:tr>
        <w:trPr/>
        <w:tc>
          <w:tcPr>
            <w:tcW w:w="1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color w:val="000000"/>
                <w:sz w:val="18"/>
              </w:rPr>
              <w:t>Shares</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3"/>
            <w:vMerge w:val="continue"/>
            <w:tcBorders/>
            <w:tcMar>
              <w:top w:w="0" w:type="dxa"/>
              <w:left w:w="0" w:type="dxa"/>
              <w:bottom w:w="0" w:type="dxa"/>
              <w:right w:w="0" w:type="dxa"/>
            </w:tcMar>
            <w:vAlign w:val="center"/>
          </w:tcPr>
          <w:p>
            <w:pPr>
              <w:pStyle w:val="Normal"/>
              <w:bidi w:val="0"/>
              <w:jc w:val="left"/>
              <w:rPr/>
            </w:pPr>
            <w:r>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December 31, 2022</w:t>
            </w:r>
          </w:p>
        </w:tc>
        <w:tc>
          <w:tcPr>
            <w:tcW w:w="5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517.3 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(528.6)</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Restricted stock, net of forfeitures</w:t>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 of treasury stock</w:t>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Greene's Acquisition</w:t>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34.0 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 of common stock, net of cost</w:t>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March 31, 2023</w:t>
            </w:r>
          </w:p>
        </w:tc>
        <w:tc>
          <w:tcPr>
            <w:tcW w:w="5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551.9 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(519.2)</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27.5 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Restricted stock, net of forfeitures</w:t>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June 30, 2023</w:t>
            </w:r>
          </w:p>
        </w:tc>
        <w:tc>
          <w:tcPr>
            <w:tcW w:w="5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16.8 </w:t>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552.7 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(507.8)</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39.7 </w:t>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Restricted stock, net of forfeitures</w:t>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 of common stock, net of cost</w:t>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September 30, 2023</w:t>
            </w:r>
          </w:p>
        </w:tc>
        <w:tc>
          <w:tcPr>
            <w:tcW w:w="52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16.8 </w:t>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553.2 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(500.2)</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47.8 </w:t>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450850"/>
                <wp:effectExtent l="0" t="0" r="0" b="0"/>
                <wp:wrapNone/>
                <wp:docPr id="5" name="Frame5"/>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288" w:before="0" w:after="600"/>
        <w:jc w:val="left"/>
        <w:rPr/>
      </w:pPr>
      <w:hyperlink w:anchor="i3e0f5f4ea8104e0db5d6554c34082d82_7">
        <w:r>
          <w:rPr>
            <w:rStyle w:val="InternetLink"/>
            <w:rFonts w:ascii="Arial;sans-serif" w:hAnsi="Arial;sans-serif"/>
            <w:b w:val="false"/>
            <w:color w:val="0563C1"/>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KLX Energy Services Holdings,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Cash Flows</w:t>
      </w:r>
    </w:p>
    <w:p>
      <w:pPr>
        <w:pStyle w:val="TextBody"/>
        <w:bidi w:val="0"/>
        <w:spacing w:lineRule="auto" w:line="288" w:before="0" w:after="0"/>
        <w:jc w:val="center"/>
        <w:rPr>
          <w:rFonts w:ascii="Arial;sans-serif" w:hAnsi="Arial;sans-serif"/>
          <w:b/>
          <w:i/>
          <w:color w:val="000000"/>
          <w:sz w:val="20"/>
        </w:rPr>
      </w:pPr>
      <w:r>
        <w:rPr>
          <w:rFonts w:ascii="Arial;sans-serif" w:hAnsi="Arial;sans-serif"/>
          <w:b/>
          <w:i/>
          <w:color w:val="000000"/>
          <w:sz w:val="20"/>
        </w:rPr>
        <w:t>(In millions of U.S. dollars)</w:t>
      </w:r>
    </w:p>
    <w:p>
      <w:pPr>
        <w:pStyle w:val="TextBody"/>
        <w:bidi w:val="0"/>
        <w:spacing w:lineRule="auto" w:line="288" w:before="0" w:after="0"/>
        <w:jc w:val="center"/>
        <w:rPr>
          <w:rFonts w:ascii="Arial;sans-serif" w:hAnsi="Arial;sans-serif"/>
          <w:b/>
          <w:i/>
          <w:color w:val="000000"/>
          <w:sz w:val="20"/>
        </w:rPr>
      </w:pPr>
      <w:r>
        <w:rPr>
          <w:rFonts w:ascii="Arial;sans-serif" w:hAnsi="Arial;sans-serif"/>
          <w:b/>
          <w:i/>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378"/>
        <w:gridCol w:w="2036"/>
        <w:gridCol w:w="2049"/>
        <w:gridCol w:w="419"/>
        <w:gridCol w:w="1046"/>
        <w:gridCol w:w="217"/>
        <w:gridCol w:w="109"/>
        <w:gridCol w:w="109"/>
        <w:gridCol w:w="109"/>
        <w:gridCol w:w="414"/>
        <w:gridCol w:w="1008"/>
        <w:gridCol w:w="311"/>
      </w:tblGrid>
      <w:tr>
        <w:trPr/>
        <w:tc>
          <w:tcPr>
            <w:tcW w:w="2378" w:type="dxa"/>
            <w:tcBorders/>
            <w:vAlign w:val="center"/>
          </w:tcPr>
          <w:p>
            <w:pPr>
              <w:pStyle w:val="TableContents"/>
              <w:bidi w:val="0"/>
              <w:spacing w:before="0" w:after="283"/>
              <w:jc w:val="left"/>
              <w:rPr>
                <w:sz w:val="4"/>
                <w:szCs w:val="4"/>
              </w:rPr>
            </w:pPr>
            <w:r>
              <w:rPr>
                <w:sz w:val="4"/>
                <w:szCs w:val="4"/>
              </w:rPr>
            </w:r>
          </w:p>
        </w:tc>
        <w:tc>
          <w:tcPr>
            <w:tcW w:w="2036" w:type="dxa"/>
            <w:tcBorders/>
            <w:vAlign w:val="center"/>
          </w:tcPr>
          <w:p>
            <w:pPr>
              <w:pStyle w:val="TableContents"/>
              <w:bidi w:val="0"/>
              <w:spacing w:before="0" w:after="283"/>
              <w:jc w:val="left"/>
              <w:rPr>
                <w:sz w:val="4"/>
                <w:szCs w:val="4"/>
              </w:rPr>
            </w:pPr>
            <w:r>
              <w:rPr>
                <w:sz w:val="4"/>
                <w:szCs w:val="4"/>
              </w:rPr>
            </w:r>
          </w:p>
        </w:tc>
        <w:tc>
          <w:tcPr>
            <w:tcW w:w="204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6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w:t>
            </w:r>
          </w:p>
        </w:tc>
      </w:tr>
      <w:tr>
        <w:trPr/>
        <w:tc>
          <w:tcPr>
            <w:tcW w:w="6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30, 2023</w:t>
            </w:r>
          </w:p>
        </w:tc>
      </w:tr>
      <w:tr>
        <w:trPr/>
        <w:tc>
          <w:tcPr>
            <w:tcW w:w="6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flows from operating activities:</w:t>
            </w:r>
          </w:p>
        </w:tc>
        <w:tc>
          <w:tcPr>
            <w:tcW w:w="16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 income</w:t>
            </w:r>
          </w:p>
        </w:tc>
        <w:tc>
          <w:tcPr>
            <w:tcW w:w="4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(38.4)</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28.4 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Adjustments to reconcile net (loss) income to net cash flows provided by operating activities</w:t>
            </w:r>
          </w:p>
        </w:tc>
        <w:tc>
          <w:tcPr>
            <w:tcW w:w="16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1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53.0 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Impairment and other charges</w:t>
            </w:r>
          </w:p>
        </w:tc>
        <w:tc>
          <w:tcPr>
            <w:tcW w:w="14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Non-cash compensation</w:t>
            </w:r>
          </w:p>
        </w:tc>
        <w:tc>
          <w:tcPr>
            <w:tcW w:w="14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deferred financing fees</w:t>
            </w:r>
          </w:p>
        </w:tc>
        <w:tc>
          <w:tcPr>
            <w:tcW w:w="14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 for inventory reserve</w:t>
            </w:r>
          </w:p>
        </w:tc>
        <w:tc>
          <w:tcPr>
            <w:tcW w:w="14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allowance for doubtful accounts</w:t>
            </w:r>
          </w:p>
        </w:tc>
        <w:tc>
          <w:tcPr>
            <w:tcW w:w="14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on disposal of property, equipment and other</w:t>
            </w:r>
          </w:p>
        </w:tc>
        <w:tc>
          <w:tcPr>
            <w:tcW w:w="14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Bargain purchase gain</w:t>
            </w:r>
          </w:p>
        </w:tc>
        <w:tc>
          <w:tcPr>
            <w:tcW w:w="14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4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Changes in operating assets and liabilities:</w:t>
            </w:r>
          </w:p>
        </w:tc>
        <w:tc>
          <w:tcPr>
            <w:tcW w:w="16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Accounts receivable</w:t>
            </w:r>
          </w:p>
        </w:tc>
        <w:tc>
          <w:tcPr>
            <w:tcW w:w="14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Inventories</w:t>
            </w:r>
          </w:p>
        </w:tc>
        <w:tc>
          <w:tcPr>
            <w:tcW w:w="14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Prepaid expenses and other current and non-current assets</w:t>
            </w:r>
          </w:p>
        </w:tc>
        <w:tc>
          <w:tcPr>
            <w:tcW w:w="14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Accounts payable</w:t>
            </w:r>
          </w:p>
        </w:tc>
        <w:tc>
          <w:tcPr>
            <w:tcW w:w="14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Other current and non-current liabilities</w:t>
            </w:r>
          </w:p>
        </w:tc>
        <w:tc>
          <w:tcPr>
            <w:tcW w:w="14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Net cash flows provided by operating activities</w:t>
            </w:r>
          </w:p>
        </w:tc>
        <w:tc>
          <w:tcPr>
            <w:tcW w:w="14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28.2 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77.0 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flows from investing activities:</w:t>
            </w:r>
          </w:p>
        </w:tc>
        <w:tc>
          <w:tcPr>
            <w:tcW w:w="16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Purchases of property and equipment</w:t>
            </w:r>
          </w:p>
        </w:tc>
        <w:tc>
          <w:tcPr>
            <w:tcW w:w="14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(49.8)</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(44.3)</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sale of property and equipment</w:t>
            </w:r>
          </w:p>
        </w:tc>
        <w:tc>
          <w:tcPr>
            <w:tcW w:w="14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from acquisition</w:t>
            </w:r>
          </w:p>
        </w:tc>
        <w:tc>
          <w:tcPr>
            <w:tcW w:w="14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Net cash flows used in investing activities</w:t>
            </w:r>
          </w:p>
        </w:tc>
        <w:tc>
          <w:tcPr>
            <w:tcW w:w="14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(40.6)</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flows from financing activities:</w:t>
            </w:r>
          </w:p>
        </w:tc>
        <w:tc>
          <w:tcPr>
            <w:tcW w:w="16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 of treasury stock</w:t>
            </w:r>
          </w:p>
        </w:tc>
        <w:tc>
          <w:tcPr>
            <w:tcW w:w="14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3" w:type="dxa"/>
            <w:gridSpan w:val="3"/>
            <w:tcBorders/>
            <w:vAlign w:val="center"/>
          </w:tcPr>
          <w:p>
            <w:pPr>
              <w:pStyle w:val="TableContents"/>
              <w:bidi w:val="0"/>
              <w:spacing w:before="0" w:after="283"/>
              <w:jc w:val="left"/>
              <w:rPr>
                <w:sz w:val="4"/>
                <w:szCs w:val="4"/>
              </w:rPr>
            </w:pPr>
            <w:r>
              <w:rPr>
                <w:sz w:val="4"/>
                <w:szCs w:val="4"/>
              </w:rPr>
            </w:r>
          </w:p>
        </w:tc>
        <w:tc>
          <w:tcPr>
            <w:tcW w:w="1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3" w:type="dxa"/>
            <w:gridSpan w:val="3"/>
            <w:tcBorders/>
            <w:vAlign w:val="center"/>
          </w:tcPr>
          <w:p>
            <w:pPr>
              <w:pStyle w:val="TableContents"/>
              <w:bidi w:val="0"/>
              <w:spacing w:before="0" w:after="283"/>
              <w:jc w:val="left"/>
              <w:rPr>
                <w:sz w:val="4"/>
                <w:szCs w:val="4"/>
              </w:rPr>
            </w:pPr>
            <w:r>
              <w:rPr>
                <w:sz w:val="4"/>
                <w:szCs w:val="4"/>
              </w:rPr>
            </w:r>
          </w:p>
        </w:tc>
      </w:tr>
      <w:tr>
        <w:trPr/>
        <w:tc>
          <w:tcPr>
            <w:tcW w:w="6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stock issuance, net of costs</w:t>
            </w:r>
          </w:p>
        </w:tc>
        <w:tc>
          <w:tcPr>
            <w:tcW w:w="14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Payments on finance lease obligations</w:t>
            </w:r>
          </w:p>
        </w:tc>
        <w:tc>
          <w:tcPr>
            <w:tcW w:w="14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Payments of debt issuance costs</w:t>
            </w:r>
          </w:p>
        </w:tc>
        <w:tc>
          <w:tcPr>
            <w:tcW w:w="14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note payable</w:t>
            </w:r>
          </w:p>
        </w:tc>
        <w:tc>
          <w:tcPr>
            <w:tcW w:w="14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financed payables</w:t>
            </w:r>
          </w:p>
        </w:tc>
        <w:tc>
          <w:tcPr>
            <w:tcW w:w="14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Net cash flows used in financing activities</w:t>
            </w:r>
          </w:p>
        </w:tc>
        <w:tc>
          <w:tcPr>
            <w:tcW w:w="14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Net change in cash and cash equivalents</w:t>
            </w:r>
          </w:p>
        </w:tc>
        <w:tc>
          <w:tcPr>
            <w:tcW w:w="14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(29.8)</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33.0 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 beginning of period</w:t>
            </w:r>
          </w:p>
        </w:tc>
        <w:tc>
          <w:tcPr>
            <w:tcW w:w="1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57.4</w:t>
            </w:r>
          </w:p>
        </w:tc>
      </w:tr>
      <w:tr>
        <w:trPr/>
        <w:tc>
          <w:tcPr>
            <w:tcW w:w="6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and cash equivalents, end of period</w:t>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82.7 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90.4 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Supplemental disclosures of cash flow information:</w:t>
            </w:r>
          </w:p>
        </w:tc>
        <w:tc>
          <w:tcPr>
            <w:tcW w:w="16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paid during period for:</w:t>
            </w:r>
          </w:p>
        </w:tc>
        <w:tc>
          <w:tcPr>
            <w:tcW w:w="16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taxes paid, net of refunds</w:t>
            </w:r>
          </w:p>
        </w:tc>
        <w:tc>
          <w:tcPr>
            <w:tcW w:w="4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w:t>
            </w:r>
          </w:p>
        </w:tc>
        <w:tc>
          <w:tcPr>
            <w:tcW w:w="14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450850"/>
                <wp:effectExtent l="0" t="0" r="0" b="0"/>
                <wp:wrapNone/>
                <wp:docPr id="6" name="Frame6"/>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lineRule="auto" w:line="288" w:before="0" w:after="600"/>
        <w:jc w:val="left"/>
        <w:rPr/>
      </w:pPr>
      <w:hyperlink w:anchor="i3e0f5f4ea8104e0db5d6554c34082d82_7">
        <w:r>
          <w:rPr>
            <w:rStyle w:val="InternetLink"/>
            <w:rFonts w:ascii="Arial;sans-serif" w:hAnsi="Arial;sans-serif"/>
            <w:b w:val="false"/>
            <w:color w:val="0563C1"/>
            <w:sz w:val="20"/>
            <w:u w:val="single"/>
          </w:rPr>
          <w:t>Table of Contents</w:t>
        </w:r>
      </w:hyperlink>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KLX Energy Services Holdings,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 – U.S. dollars in millions, except per share data)</w:t>
      </w:r>
    </w:p>
    <w:p>
      <w:pPr>
        <w:pStyle w:val="TextBody"/>
        <w:bidi w:val="0"/>
        <w:spacing w:before="0" w:after="0"/>
        <w:jc w:val="center"/>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NOTE 1 - Description of Business and Basis of Presentation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Description of Business</w:t>
      </w:r>
    </w:p>
    <w:p>
      <w:pPr>
        <w:pStyle w:val="TextBody"/>
        <w:bidi w:val="0"/>
        <w:spacing w:before="0" w:after="0"/>
        <w:ind w:left="0" w:right="0" w:firstLine="72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KLX Energy Services Holdings, Inc. (the “Company”, “KLXE”, “KLX Energy Services”, “we”, “us” or “our”) is a growth-oriented provider of diversified oilfield services to leading onshore oil and natural gas exploration and production (“E&amp;P”) companies operating in both conventional and unconventional plays in major active basins throughout the United States. The Company delivers mission critical oilfield services focused on drilling, completion, production and intervention activities for technically demanding wells in over 50 service and support facilities located throughout the United States.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offers a complementary suite of proprietary products and specialized services that is supported by technically skilled personnel and a broad portfolio of innovative in-house manufacturing, repair and maintenance capabilities. KLXE’s primary services include coiled tubing, directional drilling, fishing, flowback, fluid pumping, hydraulic fracturing rentals, pressure control, pressure pumping, rig-assisted snubbing, special situation services, thru-tubing and wireline. KLXE’s primary rentals include accommodation units, blow out preventers, downhole tools, hydraulic fracturing stacks and tubulars. KLXE’s primary product offering includes a suite of proprietary dissolvable and composite plugs along with casing equipment, float equipment, inflatables, liner hangers and stage cementing tools.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March 8, 2023, KLXE acquired all of the equity interests of Greene’s Energy Group, LLC (“Greene’s”), in an all-stock transaction (the “Greene's Acquisition”), including $1.7 in cash, which was subsequently adjusted to $1.1 due to a $0.6 working capital adjustment. Greene’s is a leading provider of wellhead protection, flowback and well testing services. The Greene’s Acquisition augments the KLXE frac rental and flowback offering, providing KLXE with a broader presence in the Permian and Eagle Ford basins. See Note 3 - Business Combinations.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Basis of Presentation</w:t>
      </w:r>
    </w:p>
    <w:p>
      <w:pPr>
        <w:pStyle w:val="TextBody"/>
        <w:bidi w:val="0"/>
        <w:spacing w:before="0" w:after="0"/>
        <w:ind w:left="0" w:right="0" w:firstLine="72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accompanying unaudited condensed consolidated financial statements have been prepared in accordance with accounting principles generally accepted in the United States (“GAAP”) for interim financial information and pursuant to the rules and regulations of the Securities and Exchange Commission (the “SEC”). Accordingly, they do not include all of the information and footnotes required by GAAP for complete financial statements. All adjustments which, in the opinion of the Company’s management, are considered necessary for a fair presentation of the results of operations for the periods shown are of a normal recurring nature and have been reflected in the condensed consolidated financial statements. The results of operations for the periods presented are not necessarily indicative of the results expected for the full year 2024 or for any future period. The information included in these condensed consolidated financial statements should be read in conjunction with the condensed consolidated financial statements and accompanying notes included in the Company’s 2023 Annual Report on Form 10-K filed with the SEC on March 8, 2024.</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preparation of financial statements in conformity with GAAP requires management to make estimates and assumptions that affect the reported amounts and related disclosures. Actual results could differ from those estimates.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450850"/>
                <wp:effectExtent l="0" t="0" r="0" b="0"/>
                <wp:wrapNone/>
                <wp:docPr id="7" name="Frame7"/>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lineRule="auto" w:line="288" w:before="0" w:after="600"/>
        <w:jc w:val="left"/>
        <w:rPr/>
      </w:pPr>
      <w:hyperlink w:anchor="i3e0f5f4ea8104e0db5d6554c34082d82_7">
        <w:r>
          <w:rPr>
            <w:rStyle w:val="InternetLink"/>
            <w:rFonts w:ascii="Arial;sans-serif" w:hAnsi="Arial;sans-serif"/>
            <w:b w:val="false"/>
            <w:color w:val="0563C1"/>
            <w:sz w:val="20"/>
            <w:u w:val="single"/>
          </w:rPr>
          <w:t>Table of Contents</w:t>
        </w:r>
      </w:hyperlink>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NOTE 2 - Recent Accounting Pronouncements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November 2023, the Financial Accounting Standards Board (“FASB”) issued Accounting Standards Update (“ASU”) 2023-07, Segment Reporting (Topic 280). This ASU is intended to enhance reportable segment disclosures by adopting a number of provisions currently in Regulation S-X and Regulation S-K upon the provisions' removal from these regulations. The guidance is effective for the Company for the fiscal year beginning January 1, 2024 and is not expected to have a material impact on the Company’s consolidated financial statements.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December 2023, FASB issued ASU 2023-09, Income Taxes (Topic 740). This ASU includes specific requirements for the rate reconciliation, income taxes paid and other tax-related disclosures. The guidance is effective for the Company for the fiscal year beginning January 1, 2025 and is not expected to have a material impact on the Company’s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NOTE 3 - Business Combinations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March 8, 2023, KLXE consummated the Greene's Acquisition. The total consideration for the acquisition consisted of the issuance of approximately 2.4 million shares of our common stock, par value $0.01 per share (“Common Stock”) subject to customary post-closing adjustments, with an implied enterprise value of approximately $30.3 based on a 30-day volume weighted average price as of March 7, 2023 less acquired cash. Following the closing of the transaction, former shareholders of Greene’s held approximately 14.7% of the fully diluted Common Stock of the Company, as of March 8, 2023. The integration was complete in the third quarter of 2023.</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This transaction was accounted for as a purchase under FASB Accounting Standards Codification Topic 805, Business Combinations (“ASC 805”). The results of operations for the acquisition are included in the accompanying condensed consolidated statements of operations from the respective date of acquisition.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Under the acquisition method of accounting, we allocate the fair value of purchase consideration transferred to the tangible assets and intangible assets acquired, if any, and liabilities assumed based on their estimated fair values on the date of the acquisition. The fair values assigned, defined as the price that would be received to sell an asset or paid to transfer a liability in an orderly transaction between willing market participants, are based on estimates and assumptions determined by management. The estimated fair value of the assets acquired, net of liabilities assumed, exceeds the purchase consideration, resulting in a bargain purchase gain. This has been presented as a separate line item on the consolidated statements of operations for the three and nine months ended September 30, 2023.</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fair values assigned to certain assets acquired and liabilities assumed in relation to the Company’s acquisition have been prepared on a preliminary basis with information currently available and are subject to change. The Company has finalized its analysis in the first quarter of 2024. The following table summarizes the fair values of assets acquired and liabilities assumed in the acquisition in accordance with ASC 805:</w:t>
      </w:r>
    </w:p>
    <w:tbl>
      <w:tblPr>
        <w:tblW w:w="4260" w:type="dxa"/>
        <w:jc w:val="left"/>
        <w:tblInd w:w="0" w:type="dxa"/>
        <w:tblLayout w:type="fixed"/>
        <w:tblCellMar>
          <w:top w:w="28" w:type="dxa"/>
          <w:left w:w="28" w:type="dxa"/>
          <w:bottom w:w="28" w:type="dxa"/>
          <w:right w:w="28" w:type="dxa"/>
        </w:tblCellMar>
      </w:tblPr>
      <w:tblGrid>
        <w:gridCol w:w="1204"/>
        <w:gridCol w:w="1058"/>
        <w:gridCol w:w="1067"/>
        <w:gridCol w:w="224"/>
        <w:gridCol w:w="543"/>
        <w:gridCol w:w="164"/>
      </w:tblGrid>
      <w:tr>
        <w:trPr/>
        <w:tc>
          <w:tcPr>
            <w:tcW w:w="1204"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Greene's</w:t>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receivable-trade</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current and non-current assets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and equipment</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liabilities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current and non-current liabilities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Bargain purchase, net of deferred taxes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Total purchase price</w:t>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34.0 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ind w:left="0" w:right="0" w:hanging="27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450850"/>
                <wp:effectExtent l="0" t="0" r="0" b="0"/>
                <wp:wrapNone/>
                <wp:docPr id="8" name="Frame8"/>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lineRule="auto" w:line="288" w:before="0" w:after="600"/>
        <w:jc w:val="left"/>
        <w:rPr/>
      </w:pPr>
      <w:hyperlink w:anchor="i3e0f5f4ea8104e0db5d6554c34082d82_7">
        <w:r>
          <w:rPr>
            <w:rStyle w:val="InternetLink"/>
            <w:rFonts w:ascii="Arial;sans-serif" w:hAnsi="Arial;sans-serif"/>
            <w:b w:val="false"/>
            <w:color w:val="0563C1"/>
            <w:sz w:val="20"/>
            <w:u w:val="single"/>
          </w:rPr>
          <w:t>Table of Contents</w:t>
        </w:r>
      </w:hyperlink>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Unaudited Supplemental Pro Forma Information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unaudited supplemental pro forma financial information has been provided for illustrative purposes only and does not purport to be indicative of the actual results that would have been achieved by combining the companies for the periods presented, or of the results that may be achieved by the combined companies in the future. Further, actual results may vary significantly from the results reflected in the following unaudited supplemental pro forma financial information because of future events and transactions, as well as other factors. The unaudited supplemental pro forma financial information does not include adjustments to reflect the impact of other cost savings or synergies that may result from the acquisition.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a pro forma basis to give effect to the acquisition, as if it occurred on January 1, 2023, revenues and net (loss) income for the three and nine months ended September 30, 2024 and September 30, 2023 would have been as follows:</w:t>
      </w:r>
    </w:p>
    <w:tbl>
      <w:tblPr>
        <w:tblW w:w="9827" w:type="dxa"/>
        <w:jc w:val="center"/>
        <w:tblInd w:w="0" w:type="dxa"/>
        <w:tblLayout w:type="fixed"/>
        <w:tblCellMar>
          <w:top w:w="28" w:type="dxa"/>
          <w:left w:w="28" w:type="dxa"/>
          <w:bottom w:w="28" w:type="dxa"/>
          <w:right w:w="28" w:type="dxa"/>
        </w:tblCellMar>
      </w:tblPr>
      <w:tblGrid>
        <w:gridCol w:w="559"/>
        <w:gridCol w:w="492"/>
        <w:gridCol w:w="493"/>
        <w:gridCol w:w="407"/>
        <w:gridCol w:w="1193"/>
        <w:gridCol w:w="214"/>
        <w:gridCol w:w="109"/>
        <w:gridCol w:w="109"/>
        <w:gridCol w:w="109"/>
        <w:gridCol w:w="407"/>
        <w:gridCol w:w="1193"/>
        <w:gridCol w:w="214"/>
        <w:gridCol w:w="109"/>
        <w:gridCol w:w="109"/>
        <w:gridCol w:w="109"/>
        <w:gridCol w:w="407"/>
        <w:gridCol w:w="1193"/>
        <w:gridCol w:w="214"/>
        <w:gridCol w:w="109"/>
        <w:gridCol w:w="109"/>
        <w:gridCol w:w="109"/>
        <w:gridCol w:w="399"/>
        <w:gridCol w:w="1168"/>
        <w:gridCol w:w="293"/>
      </w:tblGrid>
      <w:tr>
        <w:trPr/>
        <w:tc>
          <w:tcPr>
            <w:tcW w:w="55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r>
      <w:tr>
        <w:trPr/>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3"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Unaudited Pro Forma</w:t>
            </w:r>
          </w:p>
        </w:tc>
      </w:tr>
      <w:tr>
        <w:trPr/>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w:t>
            </w:r>
          </w:p>
        </w:tc>
      </w:tr>
      <w:tr>
        <w:trPr/>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30, 2023</w:t>
            </w:r>
          </w:p>
        </w:tc>
      </w:tr>
      <w:tr>
        <w:trPr/>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Revenues</w:t>
            </w:r>
          </w:p>
        </w:tc>
        <w:tc>
          <w:tcPr>
            <w:tcW w:w="4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188.9 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220.6 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543.8 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706.5 </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 income</w:t>
            </w:r>
          </w:p>
        </w:tc>
        <w:tc>
          <w:tcPr>
            <w:tcW w:w="1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(38.4)</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28.4 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NOTE 4 - Inventories, Net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Inventories consisted of the following:</w:t>
      </w:r>
    </w:p>
    <w:tbl>
      <w:tblPr>
        <w:tblW w:w="6294" w:type="dxa"/>
        <w:jc w:val="left"/>
        <w:tblInd w:w="0" w:type="dxa"/>
        <w:tblLayout w:type="fixed"/>
        <w:tblCellMar>
          <w:top w:w="28" w:type="dxa"/>
          <w:left w:w="28" w:type="dxa"/>
          <w:bottom w:w="28" w:type="dxa"/>
          <w:right w:w="28" w:type="dxa"/>
        </w:tblCellMar>
      </w:tblPr>
      <w:tblGrid>
        <w:gridCol w:w="727"/>
        <w:gridCol w:w="639"/>
        <w:gridCol w:w="644"/>
        <w:gridCol w:w="109"/>
        <w:gridCol w:w="109"/>
        <w:gridCol w:w="109"/>
        <w:gridCol w:w="459"/>
        <w:gridCol w:w="1116"/>
        <w:gridCol w:w="240"/>
        <w:gridCol w:w="109"/>
        <w:gridCol w:w="109"/>
        <w:gridCol w:w="109"/>
        <w:gridCol w:w="437"/>
        <w:gridCol w:w="1059"/>
        <w:gridCol w:w="319"/>
      </w:tblGrid>
      <w:tr>
        <w:trPr/>
        <w:tc>
          <w:tcPr>
            <w:tcW w:w="727"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2023</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Spare parts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Plugs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Consumables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Subtotal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37.8 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38.0 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Inventory reserve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Total inventories,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32.7 </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33.5 </w:t>
            </w:r>
          </w:p>
        </w:tc>
        <w:tc>
          <w:tcPr>
            <w:tcW w:w="3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Inventories are made up of spare parts, composite and dissolvable plugs, consumables (including thru-tubing accessory tools, chemicals and cement) and other (including coiled tubing strings and wireline spools) used to perform services for customers. The Company values inventories at the lower of cost or net realizable value. Inventories are reported net of inventory reserve of $5.1 and $4.5 as of September 30, 2024 and December 31,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450850"/>
                <wp:effectExtent l="0" t="0" r="0" b="0"/>
                <wp:wrapNone/>
                <wp:docPr id="9" name="Frame9"/>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lineRule="auto" w:line="288" w:before="0" w:after="600"/>
        <w:jc w:val="left"/>
        <w:rPr/>
      </w:pPr>
      <w:hyperlink w:anchor="i3e0f5f4ea8104e0db5d6554c34082d82_7">
        <w:r>
          <w:rPr>
            <w:rStyle w:val="InternetLink"/>
            <w:rFonts w:ascii="Arial;sans-serif" w:hAnsi="Arial;sans-serif"/>
            <w:b w:val="false"/>
            <w:color w:val="0563C1"/>
            <w:sz w:val="20"/>
            <w:u w:val="single"/>
          </w:rPr>
          <w:t>Table of Contents</w:t>
        </w:r>
      </w:hyperlink>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NOTE 5 - Property and Equipment, Net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Property and equipment consisted of the following:</w:t>
      </w:r>
    </w:p>
    <w:tbl>
      <w:tblPr>
        <w:tblW w:w="9020" w:type="dxa"/>
        <w:jc w:val="left"/>
        <w:tblInd w:w="0" w:type="dxa"/>
        <w:tblLayout w:type="fixed"/>
        <w:tblCellMar>
          <w:top w:w="28" w:type="dxa"/>
          <w:left w:w="28" w:type="dxa"/>
          <w:bottom w:w="28" w:type="dxa"/>
          <w:right w:w="28" w:type="dxa"/>
        </w:tblCellMar>
      </w:tblPr>
      <w:tblGrid>
        <w:gridCol w:w="1102"/>
        <w:gridCol w:w="969"/>
        <w:gridCol w:w="974"/>
        <w:gridCol w:w="188"/>
        <w:gridCol w:w="188"/>
        <w:gridCol w:w="188"/>
        <w:gridCol w:w="188"/>
        <w:gridCol w:w="188"/>
        <w:gridCol w:w="188"/>
        <w:gridCol w:w="188"/>
        <w:gridCol w:w="188"/>
        <w:gridCol w:w="189"/>
        <w:gridCol w:w="109"/>
        <w:gridCol w:w="109"/>
        <w:gridCol w:w="109"/>
        <w:gridCol w:w="407"/>
        <w:gridCol w:w="1193"/>
        <w:gridCol w:w="214"/>
        <w:gridCol w:w="109"/>
        <w:gridCol w:w="109"/>
        <w:gridCol w:w="109"/>
        <w:gridCol w:w="390"/>
        <w:gridCol w:w="1138"/>
        <w:gridCol w:w="286"/>
      </w:tblGrid>
      <w:tr>
        <w:trPr/>
        <w:tc>
          <w:tcPr>
            <w:tcW w:w="110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Useful Life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2023</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Land, buildings and improvements</w:t>
            </w:r>
          </w:p>
        </w:tc>
        <w:tc>
          <w:tcPr>
            <w:tcW w:w="5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w:t>
            </w:r>
          </w:p>
        </w:tc>
        <w:tc>
          <w:tcPr>
            <w:tcW w:w="5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36.6 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36.0 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Machinery</w:t>
            </w:r>
          </w:p>
        </w:tc>
        <w:tc>
          <w:tcPr>
            <w:tcW w:w="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w:t>
            </w:r>
          </w:p>
        </w:tc>
        <w:tc>
          <w:tcPr>
            <w:tcW w:w="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259.4</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Equipment and furniture</w:t>
            </w:r>
          </w:p>
        </w:tc>
        <w:tc>
          <w:tcPr>
            <w:tcW w:w="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w:t>
            </w:r>
          </w:p>
        </w:tc>
        <w:tc>
          <w:tcPr>
            <w:tcW w:w="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215.2</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ROU assets - finance leases</w:t>
            </w:r>
          </w:p>
        </w:tc>
        <w:tc>
          <w:tcPr>
            <w:tcW w:w="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w:t>
            </w:r>
          </w:p>
        </w:tc>
        <w:tc>
          <w:tcPr>
            <w:tcW w:w="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84.2</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Total property and equipment</w:t>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594.8</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Accumulated depreciation</w:t>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(382.2)</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 Construction in progress</w:t>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Total property and equipment, net</w:t>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207.1 </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220.6 </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Depreciation expense related to non-leased fixed assets was $17.8 and $14.8 for the three months ended September 30, 2024 and 2023, respectively, and $50.7 and $42.3 for the nine months ended September 30, 2024 and 2023, respectively. Finance lease amortization expense was $5.9 and $3.9 for the three months ended September 30, 2024 and 2023, respectively, and $17.6 and $10.4 for the nine months ended September 30, 2024 and 2023, respectively.</w:t>
      </w:r>
    </w:p>
    <w:p>
      <w:pPr>
        <w:pStyle w:val="TextBody"/>
        <w:bidi w:val="0"/>
        <w:spacing w:before="0" w:after="0"/>
        <w:jc w:val="both"/>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Assets Held for Sale</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As of September 30, 2024, the Company’s condensed consolidated balance sheet included assets classified as held for sale of $2.3. The assets held for sale are reported within prepaid expenses and other current assets on the condensed consolidated balance sheet and represent the value of one operational facility and select equipment. These assets were being actively marketed for sale as of September 30, 2024 and are recorded at the lower of their carrying value or fair value less costs to sell.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NOTE 6 - Debt</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Outstanding long-term debt consisted of the following:</w:t>
      </w:r>
    </w:p>
    <w:tbl>
      <w:tblPr>
        <w:tblW w:w="7255" w:type="dxa"/>
        <w:jc w:val="left"/>
        <w:tblInd w:w="0" w:type="dxa"/>
        <w:tblLayout w:type="fixed"/>
        <w:tblCellMar>
          <w:top w:w="28" w:type="dxa"/>
          <w:left w:w="28" w:type="dxa"/>
          <w:bottom w:w="28" w:type="dxa"/>
          <w:right w:w="28" w:type="dxa"/>
        </w:tblCellMar>
      </w:tblPr>
      <w:tblGrid>
        <w:gridCol w:w="1196"/>
        <w:gridCol w:w="1050"/>
        <w:gridCol w:w="1054"/>
        <w:gridCol w:w="407"/>
        <w:gridCol w:w="1193"/>
        <w:gridCol w:w="214"/>
        <w:gridCol w:w="109"/>
        <w:gridCol w:w="109"/>
        <w:gridCol w:w="109"/>
        <w:gridCol w:w="390"/>
        <w:gridCol w:w="1138"/>
        <w:gridCol w:w="286"/>
      </w:tblGrid>
      <w:tr>
        <w:trPr/>
        <w:tc>
          <w:tcPr>
            <w:tcW w:w="1196"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2023</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Senior Secured Notes</w:t>
            </w:r>
          </w:p>
        </w:tc>
        <w:tc>
          <w:tcPr>
            <w:tcW w:w="4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237.3 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237.3 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ABL Facility</w:t>
            </w:r>
          </w:p>
        </w:tc>
        <w:tc>
          <w:tcPr>
            <w:tcW w:w="1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principal outstanding</w:t>
            </w:r>
          </w:p>
        </w:tc>
        <w:tc>
          <w:tcPr>
            <w:tcW w:w="16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287.3 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287.3 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Unamortized debt issuance costs</w:t>
            </w:r>
          </w:p>
        </w:tc>
        <w:tc>
          <w:tcPr>
            <w:tcW w:w="1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debt</w:t>
            </w:r>
          </w:p>
        </w:tc>
        <w:tc>
          <w:tcPr>
            <w:tcW w:w="16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285.2 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284.3 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Current portion of long-term debt</w:t>
            </w:r>
          </w:p>
        </w:tc>
        <w:tc>
          <w:tcPr>
            <w:tcW w:w="1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debt</w:t>
            </w:r>
          </w:p>
        </w:tc>
        <w:tc>
          <w:tcPr>
            <w:tcW w:w="4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235.2 </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284.3 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As of September 30, 2024, long-term debt consisted of $237.3 principal amount of 11.5% senior secured notes due 2025 (the “Senior Secured Notes”) offered pursuant to Rule 144A under the Securities Act of 1933 (as amended, the “Securities Act”) and to certain non-U.S. persons outside the United States in compliance with Regulation S under the Securities Act. On a net basis, after taking into consideration unamortized debt issuance costs for the Senior Secured Notes, total debt related to the Senior Secured Notes as of September 30, 2024 was $235.2. The Senior Secured Notes bear interest at an annual rate of 11.5%, payable semi-annually in arrears on May 1 and November 1. Accrued interest related to the Senior Secured Notes was $11.4 as of September 30, 2024.</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As of September 30, 2024, the Company also had a $120.0 asset-based revolving credit facility pursuant to a senior secured credit agreement dated August 10, 2018, as amended by the ABL Amendment (as defined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450850"/>
                <wp:effectExtent l="0" t="0" r="0" b="0"/>
                <wp:wrapNone/>
                <wp:docPr id="10" name="Frame10"/>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lineRule="auto" w:line="288" w:before="0" w:after="600"/>
        <w:jc w:val="left"/>
        <w:rPr/>
      </w:pPr>
      <w:hyperlink w:anchor="i3e0f5f4ea8104e0db5d6554c34082d82_7">
        <w:r>
          <w:rPr>
            <w:rStyle w:val="InternetLink"/>
            <w:rFonts w:ascii="Arial;sans-serif" w:hAnsi="Arial;sans-serif"/>
            <w:b w:val="false"/>
            <w:color w:val="0563C1"/>
            <w:sz w:val="20"/>
            <w:u w:val="single"/>
          </w:rPr>
          <w:t>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below) and other amendments (the “ABL Facility”). The ABL Facility matures on the ABL Maturity Date (as defined below) in 2025.</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June 20, 2023, the Company entered into a Fourth Amendment to the ABL Facility, with certain of its subsidiaries party thereto, as guarantors, with JPMorgan Chase Bank, N.A., as administrative agent, collateral agent and an issuing lender, and the other lenders and issuing lenders party thereto from time to time (the “ABL Amendment”).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ABL Amendment, among other things, (i) extended the maturity date of the ABL Facility from September 15, 2024 to the earlier of (A) September 15, 2025 or (B) August 1, 2025, if the Company's Senior Secured Notes are still outstanding as of such date (the earlier of the foregoing item (A) or item (B), the “ABL Maturity Date”) and (ii) increased the revolving credit commitment from $100.0 to $120.0. As of September 30, 2024, the balance outstanding under the ABL Facility has been classified as a current liability.</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ABL Facility is tied to a borrowing base formula and has no maintenance financial covenants as long as the minimum level of borrowing availability is maintained. The ABL Facility is secured by, among other things, a first priority lien on the Company’s accounts receivable and inventory and contains customary conditions precedent to borrowing and affirmative and negative covenants.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ABL Facility includes a springing financial covenant which requires the Company’s consolidated fixed charge coverage ratio (“FCCR”) to be at least 1.0 to 1.0 if availability falls below the greater of $15.0 or 20.0% of the line cap. At all times during the three months ended September 30, 2024, availability exceeded this threshold, and the Company was not subject to this financial covenant. As of September 30, 2024, the FCCR was below 1.0 to 1.0, and the Company was in full compliance with the ABL Facility.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Borrowings outstanding under the ABL Facility were $50.0 as of September 30, 2024 and bear interest at a rate equal to Term SOFR (as defined in the ABL Facility) plus the Applicable Margin (as defined in the ABL Facility). The effective interest rate under the ABL Facility was approximately 7.9% on September 30, 2024. Total letters of credit outstanding under the ABL Facility were $6.5 at September 30, 2024 and $6.4 at December 31, 2023. Accrued interest under the ABL Facility was $0.0 as of September 30, 2024.</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have funds available under the ABL Facility of $43.6 on the September 2024 ABL Facility Borrowing Base Certificate.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As of September 30, 2024, the Company had $2.7 of outstanding short-term indebtedness related to the financing of various insurance premiums.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NOTE 7 - Fair Value Information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All financial instruments are carried at amounts that approximate estimated fair value. The fair value is the price that would be received to sell an asset in an orderly transaction between market participants at the measurement date. Assets measured at fair value are categorized based upon the lowest level of significant input to the valuations.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Level 1 – quoted prices in active markets for identical assets and liabilities.</w:t>
      </w:r>
    </w:p>
    <w:p>
      <w:pPr>
        <w:pStyle w:val="TextBody"/>
        <w:bidi w:val="0"/>
        <w:spacing w:before="0" w:after="0"/>
        <w:ind w:left="0" w:right="0" w:firstLine="72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Level 2 – quoted prices for identical assets and liabilities in markets that are not active or observable inputs other than quoted prices in active markets for identical assets and liabilities.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Level 3 – unobservable inputs in which there is little or no market data available, which require the reporting entity to develop its own assumptions.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carrying amounts of cash and cash equivalents, accounts receivable-trade and accounts payable represent their respective fair values due to their short-term nature. There was $50.0 debt outstanding under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450850"/>
                <wp:effectExtent l="0" t="0" r="0" b="0"/>
                <wp:wrapNone/>
                <wp:docPr id="11" name="Frame11"/>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lineRule="auto" w:line="288" w:before="0" w:after="600"/>
        <w:jc w:val="left"/>
        <w:rPr/>
      </w:pPr>
      <w:hyperlink w:anchor="i3e0f5f4ea8104e0db5d6554c34082d82_7">
        <w:r>
          <w:rPr>
            <w:rStyle w:val="InternetLink"/>
            <w:rFonts w:ascii="Arial;sans-serif" w:hAnsi="Arial;sans-serif"/>
            <w:b w:val="false"/>
            <w:color w:val="0563C1"/>
            <w:sz w:val="20"/>
            <w:u w:val="single"/>
          </w:rPr>
          <w:t>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ABL Facility as of September 30, 2024. The fair value of the ABL Facility approximates its carrying value as of September 30, 2024.</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tables present the placement in the fair value hierarchy of the Senior Secured Notes, based on market prices for publicly traded debt, as of September 30, 2024 and December 31, 2023:</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383"/>
        <w:gridCol w:w="1214"/>
        <w:gridCol w:w="1217"/>
        <w:gridCol w:w="402"/>
        <w:gridCol w:w="1179"/>
        <w:gridCol w:w="211"/>
        <w:gridCol w:w="109"/>
        <w:gridCol w:w="109"/>
        <w:gridCol w:w="109"/>
        <w:gridCol w:w="291"/>
        <w:gridCol w:w="561"/>
        <w:gridCol w:w="150"/>
        <w:gridCol w:w="150"/>
        <w:gridCol w:w="150"/>
        <w:gridCol w:w="150"/>
        <w:gridCol w:w="291"/>
        <w:gridCol w:w="852"/>
        <w:gridCol w:w="150"/>
        <w:gridCol w:w="150"/>
        <w:gridCol w:w="150"/>
        <w:gridCol w:w="150"/>
        <w:gridCol w:w="291"/>
        <w:gridCol w:w="561"/>
        <w:gridCol w:w="225"/>
      </w:tblGrid>
      <w:tr>
        <w:trPr/>
        <w:tc>
          <w:tcPr>
            <w:tcW w:w="1383"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3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2"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 value measurements at reporting date using</w:t>
            </w:r>
          </w:p>
        </w:tc>
      </w:tr>
      <w:tr>
        <w:trPr/>
        <w:tc>
          <w:tcPr>
            <w:tcW w:w="3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1</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2</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3</w:t>
            </w:r>
          </w:p>
        </w:tc>
      </w:tr>
      <w:tr>
        <w:trPr/>
        <w:tc>
          <w:tcPr>
            <w:tcW w:w="38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Senior Secured Notes, 11.5 Percent Due 2025</w:t>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229.6 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229.6 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Senior Secured Notes</w:t>
            </w:r>
          </w:p>
        </w:tc>
        <w:tc>
          <w:tcPr>
            <w:tcW w:w="4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229.6 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229.6 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393"/>
        <w:gridCol w:w="1222"/>
        <w:gridCol w:w="1226"/>
        <w:gridCol w:w="393"/>
        <w:gridCol w:w="1155"/>
        <w:gridCol w:w="205"/>
        <w:gridCol w:w="109"/>
        <w:gridCol w:w="109"/>
        <w:gridCol w:w="109"/>
        <w:gridCol w:w="292"/>
        <w:gridCol w:w="563"/>
        <w:gridCol w:w="151"/>
        <w:gridCol w:w="151"/>
        <w:gridCol w:w="151"/>
        <w:gridCol w:w="151"/>
        <w:gridCol w:w="292"/>
        <w:gridCol w:w="854"/>
        <w:gridCol w:w="151"/>
        <w:gridCol w:w="151"/>
        <w:gridCol w:w="151"/>
        <w:gridCol w:w="151"/>
        <w:gridCol w:w="292"/>
        <w:gridCol w:w="563"/>
        <w:gridCol w:w="220"/>
      </w:tblGrid>
      <w:tr>
        <w:trPr/>
        <w:tc>
          <w:tcPr>
            <w:tcW w:w="1393"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3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4"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 value measurements at reporting date using</w:t>
            </w:r>
          </w:p>
        </w:tc>
      </w:tr>
      <w:tr>
        <w:trPr/>
        <w:tc>
          <w:tcPr>
            <w:tcW w:w="3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1</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2</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3</w:t>
            </w:r>
          </w:p>
        </w:tc>
      </w:tr>
      <w:tr>
        <w:trPr/>
        <w:tc>
          <w:tcPr>
            <w:tcW w:w="38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Senior Secured Notes, 11.5 Percent Due 2025</w:t>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233.7 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233.7 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Senior Secured Notes</w:t>
            </w:r>
          </w:p>
        </w:tc>
        <w:tc>
          <w:tcPr>
            <w:tcW w:w="3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233.7 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233.7 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tables present the placement in the fair value hierarchy of Assets Held for Sale, as disclosed in Note 5 - Property and Equipment, Net, based on sales contracts and comparative price quotes, as of September 30, 2024 and December 31, 2023:</w:t>
      </w:r>
    </w:p>
    <w:p>
      <w:pPr>
        <w:pStyle w:val="TextBody"/>
        <w:bidi w:val="0"/>
        <w:spacing w:before="0" w:after="0"/>
        <w:jc w:val="both"/>
        <w:rPr/>
      </w:pPr>
      <w:r>
        <w:rPr/>
      </w:r>
    </w:p>
    <w:tbl>
      <w:tblPr>
        <w:tblW w:w="8662" w:type="dxa"/>
        <w:jc w:val="left"/>
        <w:tblInd w:w="0" w:type="dxa"/>
        <w:tblLayout w:type="fixed"/>
        <w:tblCellMar>
          <w:top w:w="28" w:type="dxa"/>
          <w:left w:w="28" w:type="dxa"/>
          <w:bottom w:w="28" w:type="dxa"/>
          <w:right w:w="28" w:type="dxa"/>
        </w:tblCellMar>
      </w:tblPr>
      <w:tblGrid>
        <w:gridCol w:w="803"/>
        <w:gridCol w:w="705"/>
        <w:gridCol w:w="712"/>
        <w:gridCol w:w="527"/>
        <w:gridCol w:w="1014"/>
        <w:gridCol w:w="274"/>
        <w:gridCol w:w="109"/>
        <w:gridCol w:w="109"/>
        <w:gridCol w:w="109"/>
        <w:gridCol w:w="315"/>
        <w:gridCol w:w="607"/>
        <w:gridCol w:w="163"/>
        <w:gridCol w:w="163"/>
        <w:gridCol w:w="163"/>
        <w:gridCol w:w="163"/>
        <w:gridCol w:w="315"/>
        <w:gridCol w:w="607"/>
        <w:gridCol w:w="163"/>
        <w:gridCol w:w="163"/>
        <w:gridCol w:w="163"/>
        <w:gridCol w:w="163"/>
        <w:gridCol w:w="315"/>
        <w:gridCol w:w="607"/>
        <w:gridCol w:w="230"/>
      </w:tblGrid>
      <w:tr>
        <w:trPr/>
        <w:tc>
          <w:tcPr>
            <w:tcW w:w="803"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0"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 value measurements at reporting date using</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1</w:t>
            </w:r>
          </w:p>
        </w:tc>
        <w:tc>
          <w:tcPr>
            <w:tcW w:w="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2</w:t>
            </w:r>
          </w:p>
        </w:tc>
        <w:tc>
          <w:tcPr>
            <w:tcW w:w="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3</w:t>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Assets Held for Sale</w:t>
            </w:r>
          </w:p>
        </w:tc>
        <w:tc>
          <w:tcPr>
            <w:tcW w:w="5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 Held for Sale</w:t>
            </w:r>
          </w:p>
        </w:tc>
        <w:tc>
          <w:tcPr>
            <w:tcW w:w="5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8617" w:type="dxa"/>
        <w:jc w:val="left"/>
        <w:tblInd w:w="0" w:type="dxa"/>
        <w:tblLayout w:type="fixed"/>
        <w:tblCellMar>
          <w:top w:w="28" w:type="dxa"/>
          <w:left w:w="28" w:type="dxa"/>
          <w:bottom w:w="28" w:type="dxa"/>
          <w:right w:w="28" w:type="dxa"/>
        </w:tblCellMar>
      </w:tblPr>
      <w:tblGrid>
        <w:gridCol w:w="803"/>
        <w:gridCol w:w="705"/>
        <w:gridCol w:w="712"/>
        <w:gridCol w:w="514"/>
        <w:gridCol w:w="989"/>
        <w:gridCol w:w="267"/>
        <w:gridCol w:w="109"/>
        <w:gridCol w:w="109"/>
        <w:gridCol w:w="109"/>
        <w:gridCol w:w="315"/>
        <w:gridCol w:w="607"/>
        <w:gridCol w:w="163"/>
        <w:gridCol w:w="163"/>
        <w:gridCol w:w="163"/>
        <w:gridCol w:w="163"/>
        <w:gridCol w:w="315"/>
        <w:gridCol w:w="607"/>
        <w:gridCol w:w="163"/>
        <w:gridCol w:w="163"/>
        <w:gridCol w:w="163"/>
        <w:gridCol w:w="163"/>
        <w:gridCol w:w="315"/>
        <w:gridCol w:w="607"/>
        <w:gridCol w:w="230"/>
      </w:tblGrid>
      <w:tr>
        <w:trPr/>
        <w:tc>
          <w:tcPr>
            <w:tcW w:w="803"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0"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 value measurements at reporting date using</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1</w:t>
            </w:r>
          </w:p>
        </w:tc>
        <w:tc>
          <w:tcPr>
            <w:tcW w:w="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2</w:t>
            </w:r>
          </w:p>
        </w:tc>
        <w:tc>
          <w:tcPr>
            <w:tcW w:w="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3</w:t>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Assets Held for Sale</w:t>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 Held for Sale</w:t>
            </w:r>
          </w:p>
        </w:tc>
        <w:tc>
          <w:tcPr>
            <w:tcW w:w="5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During the three and nine months ended September 30, 2024 and 2023, there was no before-tax loss (gain) related to Assets Held for Sale.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NOTE 8 - Commitments, Contingencies and Off-Balance-Sheet Arrangements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Environmental Regulations &amp; Liabilities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Company is subject to various federal, state and local environmental laws and regulations that establish standards and requirements for the protection of the environment. The Company continues to monitor the status of these laws and regulations. However, the Company cannot predict the future impact of such laws and regulations, as well as standards and requirements, on our business, which are subject to change and can have retroactive effectiveness. Currently, the Company has not been fined, cited or notified of any environmental violations or liabilities that would have a material adverse effect on its condensed consolidated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450850"/>
                <wp:effectExtent l="0" t="0" r="0" b="0"/>
                <wp:wrapNone/>
                <wp:docPr id="12" name="Frame12"/>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lineRule="auto" w:line="288" w:before="0" w:after="600"/>
        <w:jc w:val="left"/>
        <w:rPr/>
      </w:pPr>
      <w:hyperlink w:anchor="i3e0f5f4ea8104e0db5d6554c34082d82_7">
        <w:r>
          <w:rPr>
            <w:rStyle w:val="InternetLink"/>
            <w:rFonts w:ascii="Arial;sans-serif" w:hAnsi="Arial;sans-serif"/>
            <w:b w:val="false"/>
            <w:color w:val="0563C1"/>
            <w:sz w:val="20"/>
            <w:u w:val="single"/>
          </w:rPr>
          <w:t>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financial statement position, results of operations, liquidity or capital resources. However, management does recognize that by the very nature of its business, material costs could be incurred in the future to maintain compliance. The amount of such future expenditures is not determinable due to several factors, including the unknown magnitude of possible regulation or liabilities, the unknown timing and extent of the corrective actions that may be required, the determination of the Company’s liability in proportion to other responsible parties and the extent to which such expenditures are recoverable from insurance or indemnification.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Litigation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is at times either a plaintiff or a defendant in various legal actions arising in the normal course of business, the outcomes of which, in the opinion of management, neither individually nor in the aggregate are likely to result in a material adverse effect on the Company’s condensed consolidated financial statements.</w:t>
      </w:r>
    </w:p>
    <w:p>
      <w:pPr>
        <w:pStyle w:val="TextBody"/>
        <w:bidi w:val="0"/>
        <w:spacing w:before="0" w:after="0"/>
        <w:jc w:val="both"/>
        <w:rPr/>
      </w:pPr>
      <w:r>
        <w:rPr/>
      </w:r>
    </w:p>
    <w:p>
      <w:pPr>
        <w:pStyle w:val="TextBody"/>
        <w:bidi w:val="0"/>
        <w:spacing w:lineRule="auto" w:line="288" w:before="0" w:after="60"/>
        <w:jc w:val="both"/>
        <w:rPr>
          <w:rFonts w:ascii="Arial;sans-serif" w:hAnsi="Arial;sans-serif"/>
          <w:b w:val="false"/>
          <w:i/>
          <w:color w:val="000000"/>
          <w:sz w:val="20"/>
        </w:rPr>
      </w:pPr>
      <w:r>
        <w:rPr>
          <w:rFonts w:ascii="Arial;sans-serif" w:hAnsi="Arial;sans-serif"/>
          <w:b w:val="false"/>
          <w:i/>
          <w:color w:val="000000"/>
          <w:sz w:val="20"/>
        </w:rPr>
        <w:t>Indemnities, Commitments and Guarantees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During its ordinary course of business, the Company has made certain indemnities, commitments and guarantees under which it may be required to make payments in relation to certain transactions. These indemnities include indemnities to various lessors in connection with facility leases for certain claims arising from such facility or lease, as well as indemnities to other parties to certain acquisition agreements. The duration of these indemnities, commitments and guarantees varies and, in certain cases, is indefinite. Many of these indemnities, commitments and guarantees provide for limitations on the maximum potential future payments the Company could be obligated to make. However, the Company is unable to estimate the maximum amount of liability related to its indemnities, commitments and guarantees because such liabilities are contingent upon the occurrence of events that are not reasonably determinable. Management believes that any liability for these indemnities, commitments and guarantees would not be material to the accompanying condensed consolidated financial statements. Accordingly, no significant amounts have been accrued for indemnities, commitments and guarantees.</w:t>
      </w:r>
    </w:p>
    <w:p>
      <w:pPr>
        <w:pStyle w:val="TextBody"/>
        <w:bidi w:val="0"/>
        <w:spacing w:before="0" w:after="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 9 - Stockholders' Equity</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 xml:space="preserve">Equity Distribution Agreement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June 14, 2021, the Company entered into an Equity Distribution Agreement (as amended from time to time, the “Equity Distribution Agreement”) with Piper Sandler &amp; Co. as sales agent (the “Agent”). Pursuant to the terms of the Equity Distribution Agreement, the Company may sell from time to time through the Agent (the “ATM Offering”) the Company’s Common Stock, having an aggregate offering price of up to $50.0. On November 16, 2022, the Company entered into Amendment No. 1 to the Equity Distribution Agreement (the “EDA Amendment”). Among other things, the EDA Amendment allows for debt-for-equity exchanges in accordance with Section 3(a)(9) of the Securities Act. Sales of Common Stock under the Equity Distribution Agreement may be made in any transactions that are deemed to be “at the market offerings” as defined in Rule 415 under the Securities Act.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Shares of Common Stock offered and sold in the ATM Offering were issued pursuant to the Company’s shelf registration statement on Form S-3 (Registration No. 333-256149) filed with the SEC on May 14, 2021 and declared effective on June 11, 2021 (the “Registration Statement”), the prospectus supplement relating to the ATM Offering filed with the SEC on June 14, 2021 and any applicable additional prospectus supplements related to the ATM Offering that form a part of the Registration Statement. The Registration Statement expired on June 11, 2024 pursuant to Rule 415(a)(5) under the Securities Act. Sales under the ATM Offering program may restart when and if the Company files a prospectus supplement under a successor registration statement.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Equity Distribution Agreement contains customary representations, warranties and agreements by the Company, indemnification obligations of the Company and the Agent, including for liabilities under the Securities Act, other obligations of the parties and termination provisions. Under the terms of the Equity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450850"/>
                <wp:effectExtent l="0" t="0" r="0" b="0"/>
                <wp:wrapNone/>
                <wp:docPr id="13" name="Frame13"/>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lineRule="auto" w:line="288" w:before="0" w:after="600"/>
        <w:jc w:val="left"/>
        <w:rPr/>
      </w:pPr>
      <w:hyperlink w:anchor="i3e0f5f4ea8104e0db5d6554c34082d82_7">
        <w:r>
          <w:rPr>
            <w:rStyle w:val="InternetLink"/>
            <w:rFonts w:ascii="Arial;sans-serif" w:hAnsi="Arial;sans-serif"/>
            <w:b w:val="false"/>
            <w:color w:val="0563C1"/>
            <w:sz w:val="20"/>
            <w:u w:val="single"/>
          </w:rPr>
          <w:t>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Distribution Agreement, the Company will pay the Agent a commission equal to 3.0% of the gross sales price of the Common Stock sold.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used the net proceeds from the ATM Offering, after deducting the Agent’s commissions and the Company’s offering expenses, for general corporate purposes, which included funding acquisitions, capital expenditures and working capital.</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During the three and nine months ended September 30, 2024, the Company did not sell any shares of Common Stock and incurred legal and administrative fees of $— and $0.2, respectively.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During the three and nine months ended September 30, 2023, the Company did not sell any shares of Common Stock and incurred legal and administrative fees of $0.3 and $0.4, respectively.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Stock-Based Compensation</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has a Long-Term Incentive Plan (“LTIP”) under which the compensation committee of the Board of Directors (the “Board”) of the Company (the “Compensation Committee”) has the authority to grant stock options, stock appreciation rights, restricted stock, restricted stock units or other forms of equity-based or equity-related awards. Compensation cost for the LTIP grants is generally recorded on a straight-line basis over the vesting term of the shares based on the grant date value using the closing trading price.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May 10, 2023, the stockholders of KLXE approved the Second Amended and Restated KLX Energy Services Holdings, Inc. Long-Term Incentive Plan, amended and restated as of March 8, 2023 (the “Amended and Restated LTIP”), which, among other things, increased the total number of shares of Company Common Stock, par value $0.01 per share, for issuance by 1,200,000 shares, resulting in an increase of the total number of shares of our Common Stock reserved for issuance to 1,256,289, and extended the expiration date to March 8, 2033. A description of the Amended and Restated LTIP is included in the Company’s proxy statement, filed with the SEC on March 28, 2023.</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Compensation cost recognized during the three and nine months ended September 30, 2024 and September 30, 2023 was related to grants of restricted stock as approved by the Compensation Committee. Stock-based compensation was $1.0 and $0.8 for the three months ended September 30, 2024 and 2023, respectively, and $2.9 and $2.3 for the nine months ended September 30, 2024 and 2023, respectively. Unrecognized compensation cost related to restricted stock awards made by the Company was $5.0 at September 30, 2024 and $4.2 at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NOTE 10 - Income Taxes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Income tax expense was $0.2 and $0.6 for the three and nine months ended September 30, 2024, respectively, and was comprised primarily of state and local taxes. Income tax benefit was $0.3 and $0.2 for the three and nine months ended September 30, 2023, respectively, and was comprised primarily of state and local taxes, offset by a deferred tax benefit recognized from a reduction in the valuation allowance related to the Greene's Acquisition. The Company has a valuation allowance against its deferred tax balances and, as a result, it was unable to recognize a federal tax benefit on its year-to-date losses.</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The Company continues to monitor additional guidance issued by the U.S. Treasury Department, the Internal Revenue Service and others.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NOTE 11 - Segment Reporting</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Company is organized on a geographic basis. The Company’s reportable segments, which are also its operating segments, are comprised of the Rocky Mountains Region (the Bakken, Williston, DJ, Uinta, Powder River, Piceance and Niobrara basins), the Southwest Region (the Permian Basin and the Eagle Ford Shale) and the Northeast/Mid-Con Region (the Marcellus and Utica Shale as well as the Mid-Continent STACK and SCOOP and Haynesville Shale). The segments regularly report their revenues and operating income (loss)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450850"/>
                <wp:effectExtent l="0" t="0" r="0" b="0"/>
                <wp:wrapNone/>
                <wp:docPr id="14" name="Frame14"/>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lineRule="auto" w:line="288" w:before="0" w:after="600"/>
        <w:jc w:val="left"/>
        <w:rPr/>
      </w:pPr>
      <w:hyperlink w:anchor="i3e0f5f4ea8104e0db5d6554c34082d82_7">
        <w:r>
          <w:rPr>
            <w:rStyle w:val="InternetLink"/>
            <w:rFonts w:ascii="Arial;sans-serif" w:hAnsi="Arial;sans-serif"/>
            <w:b w:val="false"/>
            <w:color w:val="0563C1"/>
            <w:sz w:val="20"/>
            <w:u w:val="single"/>
          </w:rPr>
          <w:t>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and make requests for capital expenditures and acquisition funding (all of which are used to measure segment performance) to the Company's chief operational decision-making group. As a result, the Company has three reportable segments.</w:t>
      </w:r>
    </w:p>
    <w:p>
      <w:pPr>
        <w:pStyle w:val="TextBody"/>
        <w:bidi w:val="0"/>
        <w:spacing w:before="0" w:after="0"/>
        <w:jc w:val="both"/>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table presents revenues and operating income (loss) by reportable segment:</w:t>
      </w:r>
    </w:p>
    <w:tbl>
      <w:tblPr>
        <w:tblW w:w="10205" w:type="dxa"/>
        <w:jc w:val="left"/>
        <w:tblInd w:w="0" w:type="dxa"/>
        <w:tblLayout w:type="fixed"/>
        <w:tblCellMar>
          <w:top w:w="28" w:type="dxa"/>
          <w:left w:w="28" w:type="dxa"/>
          <w:bottom w:w="28" w:type="dxa"/>
          <w:right w:w="28" w:type="dxa"/>
        </w:tblCellMar>
      </w:tblPr>
      <w:tblGrid>
        <w:gridCol w:w="937"/>
        <w:gridCol w:w="788"/>
        <w:gridCol w:w="758"/>
        <w:gridCol w:w="395"/>
        <w:gridCol w:w="962"/>
        <w:gridCol w:w="206"/>
        <w:gridCol w:w="109"/>
        <w:gridCol w:w="109"/>
        <w:gridCol w:w="109"/>
        <w:gridCol w:w="395"/>
        <w:gridCol w:w="962"/>
        <w:gridCol w:w="206"/>
        <w:gridCol w:w="109"/>
        <w:gridCol w:w="109"/>
        <w:gridCol w:w="109"/>
        <w:gridCol w:w="351"/>
        <w:gridCol w:w="1028"/>
        <w:gridCol w:w="184"/>
        <w:gridCol w:w="109"/>
        <w:gridCol w:w="109"/>
        <w:gridCol w:w="109"/>
        <w:gridCol w:w="351"/>
        <w:gridCol w:w="1028"/>
        <w:gridCol w:w="184"/>
        <w:gridCol w:w="109"/>
        <w:gridCol w:w="109"/>
        <w:gridCol w:w="109"/>
        <w:gridCol w:w="162"/>
      </w:tblGrid>
      <w:tr>
        <w:trPr/>
        <w:tc>
          <w:tcPr>
            <w:tcW w:w="937"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gridSpan w:val="2"/>
            <w:tcBorders/>
          </w:tcPr>
          <w:p>
            <w:pPr>
              <w:pStyle w:val="TableContents"/>
              <w:bidi w:val="0"/>
              <w:spacing w:before="0" w:after="283"/>
              <w:jc w:val="left"/>
              <w:rPr>
                <w:sz w:val="4"/>
                <w:szCs w:val="4"/>
              </w:rPr>
            </w:pPr>
            <w:r>
              <w:rPr>
                <w:sz w:val="4"/>
                <w:szCs w:val="4"/>
              </w:rPr>
            </w:r>
          </w:p>
        </w:tc>
      </w:tr>
      <w:tr>
        <w:trPr/>
        <w:tc>
          <w:tcPr>
            <w:tcW w:w="2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30,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Revenues</w:t>
            </w:r>
          </w:p>
        </w:tc>
        <w:tc>
          <w:tcPr>
            <w:tcW w:w="15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Rocky Mountains</w:t>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67.9 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77.0 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174.9 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211.3 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Southwest</w:t>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68.6 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77.8 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207.9 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237.5 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Northeast/Mid-Con</w:t>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52.4 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65.8 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161.0 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245.4 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revenues</w:t>
            </w:r>
          </w:p>
        </w:tc>
        <w:tc>
          <w:tcPr>
            <w:tcW w:w="13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188.9 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220.6 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543.8 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694.2 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4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Operating income (loss)</w:t>
            </w:r>
          </w:p>
        </w:tc>
        <w:tc>
          <w:tcPr>
            <w:tcW w:w="15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Rocky Mountains</w:t>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39.4 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Southwest</w:t>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Northeast/Mid-Con</w:t>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36.5 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and other</w:t>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(34.1)</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(38.7)</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Total operating income (loss) </w:t>
            </w:r>
          </w:p>
        </w:tc>
        <w:tc>
          <w:tcPr>
            <w:tcW w:w="13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54.9 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income</w:t>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29.2 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27.2 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 income before income tax</w:t>
            </w:r>
          </w:p>
        </w:tc>
        <w:tc>
          <w:tcPr>
            <w:tcW w:w="3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7.9 </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(37.8)</w:t>
            </w:r>
          </w:p>
        </w:tc>
        <w:tc>
          <w:tcPr>
            <w:tcW w:w="1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28.6 </w:t>
            </w:r>
          </w:p>
        </w:tc>
        <w:tc>
          <w:tcPr>
            <w:tcW w:w="1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The following table presents revenues by service offering by reportable segment:</w:t>
      </w:r>
    </w:p>
    <w:p>
      <w:pPr>
        <w:pStyle w:val="TextBody"/>
        <w:bidi w:val="0"/>
        <w:spacing w:before="0" w:after="0"/>
        <w:jc w:val="both"/>
        <w:rPr/>
      </w:pPr>
      <w:r>
        <w:rPr/>
      </w:r>
    </w:p>
    <w:tbl>
      <w:tblPr>
        <w:tblW w:w="10933" w:type="dxa"/>
        <w:jc w:val="left"/>
        <w:tblInd w:w="0" w:type="dxa"/>
        <w:tblLayout w:type="fixed"/>
        <w:tblCellMar>
          <w:top w:w="28" w:type="dxa"/>
          <w:left w:w="28" w:type="dxa"/>
          <w:bottom w:w="28" w:type="dxa"/>
          <w:right w:w="28" w:type="dxa"/>
        </w:tblCellMar>
      </w:tblPr>
      <w:tblGrid>
        <w:gridCol w:w="390"/>
        <w:gridCol w:w="343"/>
        <w:gridCol w:w="348"/>
        <w:gridCol w:w="244"/>
        <w:gridCol w:w="590"/>
        <w:gridCol w:w="127"/>
        <w:gridCol w:w="109"/>
        <w:gridCol w:w="109"/>
        <w:gridCol w:w="109"/>
        <w:gridCol w:w="244"/>
        <w:gridCol w:w="590"/>
        <w:gridCol w:w="127"/>
        <w:gridCol w:w="109"/>
        <w:gridCol w:w="109"/>
        <w:gridCol w:w="109"/>
        <w:gridCol w:w="228"/>
        <w:gridCol w:w="554"/>
        <w:gridCol w:w="119"/>
        <w:gridCol w:w="109"/>
        <w:gridCol w:w="109"/>
        <w:gridCol w:w="109"/>
        <w:gridCol w:w="211"/>
        <w:gridCol w:w="616"/>
        <w:gridCol w:w="109"/>
        <w:gridCol w:w="109"/>
        <w:gridCol w:w="109"/>
        <w:gridCol w:w="109"/>
        <w:gridCol w:w="244"/>
        <w:gridCol w:w="590"/>
        <w:gridCol w:w="127"/>
        <w:gridCol w:w="109"/>
        <w:gridCol w:w="109"/>
        <w:gridCol w:w="109"/>
        <w:gridCol w:w="244"/>
        <w:gridCol w:w="590"/>
        <w:gridCol w:w="127"/>
        <w:gridCol w:w="109"/>
        <w:gridCol w:w="109"/>
        <w:gridCol w:w="109"/>
        <w:gridCol w:w="228"/>
        <w:gridCol w:w="554"/>
        <w:gridCol w:w="119"/>
        <w:gridCol w:w="109"/>
        <w:gridCol w:w="109"/>
        <w:gridCol w:w="109"/>
        <w:gridCol w:w="211"/>
        <w:gridCol w:w="616"/>
        <w:gridCol w:w="154"/>
      </w:tblGrid>
      <w:tr>
        <w:trPr/>
        <w:tc>
          <w:tcPr>
            <w:tcW w:w="390"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2" w:type="dxa"/>
            <w:gridSpan w:val="4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2023</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Rocky</w:t>
              <w:br/>
              <w:t>Mountains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Southwest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Northeast</w:t>
              <w:br/>
              <w:t>/Mid-Con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Rocky</w:t>
              <w:br/>
              <w:t>Mountains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Southwest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Northeast</w:t>
              <w:br/>
              <w:t>/Mid-Con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Total</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Drilling</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Completion</w:t>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Production</w:t>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Intervention</w:t>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revenues</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67.9 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68.6 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52.4 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77.0 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77.8 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65.8 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1003" w:type="dxa"/>
        <w:jc w:val="left"/>
        <w:tblInd w:w="0" w:type="dxa"/>
        <w:tblLayout w:type="fixed"/>
        <w:tblCellMar>
          <w:top w:w="28" w:type="dxa"/>
          <w:left w:w="28" w:type="dxa"/>
          <w:bottom w:w="28" w:type="dxa"/>
          <w:right w:w="28" w:type="dxa"/>
        </w:tblCellMar>
      </w:tblPr>
      <w:tblGrid>
        <w:gridCol w:w="390"/>
        <w:gridCol w:w="343"/>
        <w:gridCol w:w="348"/>
        <w:gridCol w:w="216"/>
        <w:gridCol w:w="632"/>
        <w:gridCol w:w="113"/>
        <w:gridCol w:w="109"/>
        <w:gridCol w:w="109"/>
        <w:gridCol w:w="109"/>
        <w:gridCol w:w="216"/>
        <w:gridCol w:w="632"/>
        <w:gridCol w:w="113"/>
        <w:gridCol w:w="109"/>
        <w:gridCol w:w="109"/>
        <w:gridCol w:w="109"/>
        <w:gridCol w:w="211"/>
        <w:gridCol w:w="616"/>
        <w:gridCol w:w="109"/>
        <w:gridCol w:w="109"/>
        <w:gridCol w:w="109"/>
        <w:gridCol w:w="109"/>
        <w:gridCol w:w="211"/>
        <w:gridCol w:w="616"/>
        <w:gridCol w:w="109"/>
        <w:gridCol w:w="109"/>
        <w:gridCol w:w="109"/>
        <w:gridCol w:w="109"/>
        <w:gridCol w:w="216"/>
        <w:gridCol w:w="632"/>
        <w:gridCol w:w="113"/>
        <w:gridCol w:w="109"/>
        <w:gridCol w:w="109"/>
        <w:gridCol w:w="109"/>
        <w:gridCol w:w="216"/>
        <w:gridCol w:w="632"/>
        <w:gridCol w:w="113"/>
        <w:gridCol w:w="109"/>
        <w:gridCol w:w="109"/>
        <w:gridCol w:w="109"/>
        <w:gridCol w:w="211"/>
        <w:gridCol w:w="616"/>
        <w:gridCol w:w="109"/>
        <w:gridCol w:w="109"/>
        <w:gridCol w:w="109"/>
        <w:gridCol w:w="109"/>
        <w:gridCol w:w="211"/>
        <w:gridCol w:w="616"/>
        <w:gridCol w:w="154"/>
      </w:tblGrid>
      <w:tr>
        <w:trPr/>
        <w:tc>
          <w:tcPr>
            <w:tcW w:w="390"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2" w:type="dxa"/>
            <w:gridSpan w:val="4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Nine Months Ended</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2023</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Rocky</w:t>
              <w:br/>
              <w:t>Mountains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Southwest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Northeast</w:t>
              <w:br/>
              <w:t>/Mid-Con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Rocky</w:t>
              <w:br/>
              <w:t>Mountains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Southwest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Northeast</w:t>
              <w:br/>
              <w:t>/Mid-Con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Total</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Drilling</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58.5 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24.2 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77.2 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Completion</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Production</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Intervention</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revenues</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174.9 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207.9 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211.3 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237.5 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694.2 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 presents total assets by segment: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450850"/>
                <wp:effectExtent l="0" t="0" r="0" b="0"/>
                <wp:wrapNone/>
                <wp:docPr id="15" name="Frame15"/>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lineRule="auto" w:line="288" w:before="0" w:after="600"/>
        <w:jc w:val="left"/>
        <w:rPr/>
      </w:pPr>
      <w:hyperlink w:anchor="i3e0f5f4ea8104e0db5d6554c34082d82_7">
        <w:r>
          <w:rPr>
            <w:rStyle w:val="InternetLink"/>
            <w:rFonts w:ascii="Arial;sans-serif" w:hAnsi="Arial;sans-serif"/>
            <w:b w:val="false"/>
            <w:color w:val="0563C1"/>
            <w:sz w:val="20"/>
            <w:u w:val="single"/>
          </w:rPr>
          <w:t>Table of Contents</w:t>
        </w:r>
      </w:hyperlink>
    </w:p>
    <w:tbl>
      <w:tblPr>
        <w:tblW w:w="5906" w:type="dxa"/>
        <w:jc w:val="left"/>
        <w:tblInd w:w="0" w:type="dxa"/>
        <w:tblLayout w:type="fixed"/>
        <w:tblCellMar>
          <w:top w:w="28" w:type="dxa"/>
          <w:left w:w="28" w:type="dxa"/>
          <w:bottom w:w="28" w:type="dxa"/>
          <w:right w:w="28" w:type="dxa"/>
        </w:tblCellMar>
      </w:tblPr>
      <w:tblGrid>
        <w:gridCol w:w="640"/>
        <w:gridCol w:w="564"/>
        <w:gridCol w:w="566"/>
        <w:gridCol w:w="432"/>
        <w:gridCol w:w="1263"/>
        <w:gridCol w:w="224"/>
        <w:gridCol w:w="109"/>
        <w:gridCol w:w="109"/>
        <w:gridCol w:w="109"/>
        <w:gridCol w:w="405"/>
        <w:gridCol w:w="1186"/>
        <w:gridCol w:w="299"/>
      </w:tblGrid>
      <w:tr>
        <w:trPr/>
        <w:tc>
          <w:tcPr>
            <w:tcW w:w="64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 2023</w:t>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Rocky Mountains</w:t>
            </w:r>
          </w:p>
        </w:tc>
        <w:tc>
          <w:tcPr>
            <w:tcW w:w="4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131.0 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135.8 </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Southwest</w:t>
            </w:r>
          </w:p>
        </w:tc>
        <w:tc>
          <w:tcPr>
            <w:tcW w:w="1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167.1 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174.3 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Northeast/Mid-Con</w:t>
            </w:r>
          </w:p>
        </w:tc>
        <w:tc>
          <w:tcPr>
            <w:tcW w:w="1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106.0 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117.2 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Total</w:t>
            </w:r>
          </w:p>
        </w:tc>
        <w:tc>
          <w:tcPr>
            <w:tcW w:w="16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404.1 </w:t>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427.3 </w:t>
            </w:r>
          </w:p>
        </w:tc>
        <w:tc>
          <w:tcPr>
            <w:tcW w:w="2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and other</w:t>
            </w:r>
          </w:p>
        </w:tc>
        <w:tc>
          <w:tcPr>
            <w:tcW w:w="1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82.7 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112.5 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Total assets</w:t>
            </w:r>
          </w:p>
        </w:tc>
        <w:tc>
          <w:tcPr>
            <w:tcW w:w="4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486.8 </w:t>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539.8 </w:t>
            </w:r>
          </w:p>
        </w:tc>
        <w:tc>
          <w:tcPr>
            <w:tcW w:w="2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 presents cash capital expenditures by reportable segment:</w:t>
      </w:r>
    </w:p>
    <w:tbl>
      <w:tblPr>
        <w:tblW w:w="10205" w:type="dxa"/>
        <w:jc w:val="left"/>
        <w:tblInd w:w="0" w:type="dxa"/>
        <w:tblLayout w:type="fixed"/>
        <w:tblCellMar>
          <w:top w:w="28" w:type="dxa"/>
          <w:left w:w="28" w:type="dxa"/>
          <w:bottom w:w="28" w:type="dxa"/>
          <w:right w:w="28" w:type="dxa"/>
        </w:tblCellMar>
      </w:tblPr>
      <w:tblGrid>
        <w:gridCol w:w="776"/>
        <w:gridCol w:w="628"/>
        <w:gridCol w:w="630"/>
        <w:gridCol w:w="425"/>
        <w:gridCol w:w="1030"/>
        <w:gridCol w:w="220"/>
        <w:gridCol w:w="110"/>
        <w:gridCol w:w="110"/>
        <w:gridCol w:w="110"/>
        <w:gridCol w:w="425"/>
        <w:gridCol w:w="1030"/>
        <w:gridCol w:w="220"/>
        <w:gridCol w:w="109"/>
        <w:gridCol w:w="109"/>
        <w:gridCol w:w="109"/>
        <w:gridCol w:w="425"/>
        <w:gridCol w:w="1030"/>
        <w:gridCol w:w="220"/>
        <w:gridCol w:w="109"/>
        <w:gridCol w:w="109"/>
        <w:gridCol w:w="109"/>
        <w:gridCol w:w="425"/>
        <w:gridCol w:w="1030"/>
        <w:gridCol w:w="220"/>
        <w:gridCol w:w="109"/>
        <w:gridCol w:w="109"/>
        <w:gridCol w:w="109"/>
        <w:gridCol w:w="160"/>
      </w:tblGrid>
      <w:tr>
        <w:trPr/>
        <w:tc>
          <w:tcPr>
            <w:tcW w:w="776"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Nine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gridSpan w:val="2"/>
            <w:tcBorders/>
          </w:tcPr>
          <w:p>
            <w:pPr>
              <w:pStyle w:val="TableContents"/>
              <w:bidi w:val="0"/>
              <w:spacing w:before="0" w:after="283"/>
              <w:jc w:val="left"/>
              <w:rPr>
                <w:sz w:val="4"/>
                <w:szCs w:val="4"/>
              </w:rPr>
            </w:pPr>
            <w:r>
              <w:rPr>
                <w:sz w:val="4"/>
                <w:szCs w:val="4"/>
              </w:rPr>
            </w:r>
          </w:p>
        </w:tc>
      </w:tr>
      <w:tr>
        <w:trPr/>
        <w:tc>
          <w:tcPr>
            <w:tcW w:w="2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2024</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Rocky Mountains</w:t>
            </w:r>
          </w:p>
        </w:tc>
        <w:tc>
          <w:tcPr>
            <w:tcW w:w="4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Southwest</w:t>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Northeast/Mid-Con</w:t>
            </w:r>
          </w:p>
        </w:tc>
        <w:tc>
          <w:tcPr>
            <w:tcW w:w="14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and other</w:t>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Total capital expenditures</w:t>
            </w:r>
          </w:p>
        </w:tc>
        <w:tc>
          <w:tcPr>
            <w:tcW w:w="4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21.0 </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17.8 </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49.8 </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44.3 </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 12 - Net (Loss) Income Per Common Share</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Basic net (loss) income per common share is computed using the weighted average common shares outstanding during the period. Diluted net (loss) income per common share is computed by using the weighted average common shares outstanding, including the dilutive effect of restricted shares based on an average share price during the period. For the three months ended September 30, 2024 and 2023, 0.7 and 0.0 million shares of the Company’s Common Stock, respectively, and for the nine months ended September 30, 2024 and 2023, 0.4 and 0.0 million shares of the Company's Common Stock, respectively, were excluded from the determination of diluted net (loss) income per common share because their effect would have been anti-dilutive. The computations of basic and diluted net (loss) income per share for the three and nine months ended September 30, 2024 and 2023 are as follows:</w:t>
      </w:r>
    </w:p>
    <w:tbl>
      <w:tblPr>
        <w:tblW w:w="10205" w:type="dxa"/>
        <w:jc w:val="left"/>
        <w:tblInd w:w="0" w:type="dxa"/>
        <w:tblLayout w:type="fixed"/>
        <w:tblCellMar>
          <w:top w:w="28" w:type="dxa"/>
          <w:left w:w="28" w:type="dxa"/>
          <w:bottom w:w="28" w:type="dxa"/>
          <w:right w:w="28" w:type="dxa"/>
        </w:tblCellMar>
      </w:tblPr>
      <w:tblGrid>
        <w:gridCol w:w="1047"/>
        <w:gridCol w:w="804"/>
        <w:gridCol w:w="813"/>
        <w:gridCol w:w="378"/>
        <w:gridCol w:w="944"/>
        <w:gridCol w:w="196"/>
        <w:gridCol w:w="109"/>
        <w:gridCol w:w="109"/>
        <w:gridCol w:w="109"/>
        <w:gridCol w:w="384"/>
        <w:gridCol w:w="934"/>
        <w:gridCol w:w="200"/>
        <w:gridCol w:w="109"/>
        <w:gridCol w:w="109"/>
        <w:gridCol w:w="109"/>
        <w:gridCol w:w="378"/>
        <w:gridCol w:w="944"/>
        <w:gridCol w:w="196"/>
        <w:gridCol w:w="109"/>
        <w:gridCol w:w="109"/>
        <w:gridCol w:w="109"/>
        <w:gridCol w:w="384"/>
        <w:gridCol w:w="934"/>
        <w:gridCol w:w="200"/>
        <w:gridCol w:w="109"/>
        <w:gridCol w:w="109"/>
        <w:gridCol w:w="109"/>
        <w:gridCol w:w="161"/>
      </w:tblGrid>
      <w:tr>
        <w:trPr/>
        <w:tc>
          <w:tcPr>
            <w:tcW w:w="1047"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3"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3"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gridSpan w:val="2"/>
            <w:tcBorders/>
          </w:tcPr>
          <w:p>
            <w:pPr>
              <w:pStyle w:val="TableContents"/>
              <w:bidi w:val="0"/>
              <w:spacing w:before="0" w:after="283"/>
              <w:jc w:val="left"/>
              <w:rPr>
                <w:sz w:val="4"/>
                <w:szCs w:val="4"/>
              </w:rPr>
            </w:pPr>
            <w:r>
              <w:rPr>
                <w:sz w:val="4"/>
                <w:szCs w:val="4"/>
              </w:rPr>
            </w:r>
          </w:p>
        </w:tc>
      </w:tr>
      <w:tr>
        <w:trPr/>
        <w:tc>
          <w:tcPr>
            <w:tcW w:w="2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30, 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30, 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30,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 income</w:t>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(38.4)</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28.4 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(Shares in millions)</w:t>
            </w:r>
          </w:p>
        </w:tc>
        <w:tc>
          <w:tcPr>
            <w:tcW w:w="15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 weighted average common shares</w:t>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 of dilutive securities - dilutive securities</w:t>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 weighted average common shares</w:t>
            </w:r>
          </w:p>
        </w:tc>
        <w:tc>
          <w:tcPr>
            <w:tcW w:w="13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 net (loss) income per common share</w:t>
            </w:r>
          </w:p>
        </w:tc>
        <w:tc>
          <w:tcPr>
            <w:tcW w:w="3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(0.51)</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0.47 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 net (loss) income per common share</w:t>
            </w:r>
          </w:p>
        </w:tc>
        <w:tc>
          <w:tcPr>
            <w:tcW w:w="3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0.47 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CAUTIONARY STATEMENT REGARDING FORWARD-LOOKING STATEMENTS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Private Securities Litigation Reform Act of 1995 provides a “safe harbor” for forward-looking statements to encourage companies to provide prospective information to investors. This Quarterly Report on Form 10-Q (this “Quarterly Report”) includes forward-looking statements that reflect our current expectations and projections about our future results, performance and prospects. Forward-looking statements include all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450850"/>
                <wp:effectExtent l="0" t="0" r="0" b="0"/>
                <wp:wrapNone/>
                <wp:docPr id="16" name="Frame16"/>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lineRule="auto" w:line="288" w:before="0" w:after="600"/>
        <w:jc w:val="left"/>
        <w:rPr/>
      </w:pPr>
      <w:hyperlink w:anchor="i3e0f5f4ea8104e0db5d6554c34082d82_7">
        <w:r>
          <w:rPr>
            <w:rStyle w:val="InternetLink"/>
            <w:rFonts w:ascii="Arial;sans-serif" w:hAnsi="Arial;sans-serif"/>
            <w:b w:val="false"/>
            <w:color w:val="0563C1"/>
            <w:sz w:val="20"/>
            <w:u w:val="single"/>
          </w:rPr>
          <w:t>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statements that are not historical in nature or are not current facts. When used in this Quarterly Report, the words “believe,” “expect,” “plan,” “intend,” “anticipate,” “estimate,” “predict,” “potential,” “continue,” “may,” “might,” “should,” “could,” “will” or the negative of these terms or similar expressions are intended to identify forward-looking statements, although not all forward-looking statements contain such identifying words. These forward-looking statements are based on our current expectations and assumptions about future events and are based on currently available information as to the outcome and timing of future events.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These forward-looking statements are subject to a number of risks, uncertainties, assumptions and other factors that could cause our actual results, performance and prospects to differ materially from those expressed in, or implied by, these forward-looking statements. Factors that might cause such a difference include those discussed in our filings with the Securities and Exchange Commission (the “SEC”), in particular those discussed under the headings “Risk Factors” in our Annual Report on Form 10-K for the year ended December 31, 2023 and in this Quarterly Report, including the following factors:</w:t>
      </w:r>
    </w:p>
    <w:p>
      <w:pPr>
        <w:pStyle w:val="TextBody"/>
        <w:bidi w:val="0"/>
        <w:spacing w:before="0" w:after="0"/>
        <w:jc w:val="both"/>
        <w:rPr/>
      </w:pPr>
      <w:r>
        <w:rPr/>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general economic conditions, such as inflation and government efforts to reduce inflation or a recession;</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persistent volatility in national and global crude oil demand and crude oil prices;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increased costs and other changes in supply, demand and costs of equipment;</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the possibility of inefficiencies, curtailments or shutdowns in our customers’ operations whether in response to reductions in demand or other factors;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uncertainty regarding our future operating results;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regulation of and dependence upon the energy industry;</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the cyclical nature of the energy industry;</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fluctuations in market prices for fuel, oil and natural gas;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overall domestic and global political and economic conditions and developments, including the outcome of the U.S. presidential election and the imposition of tariffs or trade or other economic sanctions, and political instability or armed conflict, including the ongoing conflicts in Ukraine, the Israel-Gaza region and elsewhere in the Middle East, including rising tensions with Iran;</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our ability to maintain acceptable pricing for our services;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competitive conditions within the industry;</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the loss of or interruption in operations of one or more key suppliers;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legislative or regulatory changes and potential liability under federal and state laws and regulations;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decreases in the rate at which oil and/or natural gas reserves are discovered and/or developed;</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the impact of technological advances on the demand for our products and services;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customers' delays in obtaining permits for their operations;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hazards and operational risks that may not be fully covered by insurance;</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the write-off of a significant portion of intangible assets;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the need to obtain additional capital or financing, and the availability and/or cost of obtaining such capital or financing;</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limitations originating from our organizational documents, debt instruments and U.S. federal income tax obligations may impact our financial flexibility, our ability to engage in strategic transactions or our ability to declare and pay cash dividends on our Common Stock;</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our credit profile and our ability to renew or refinance our indebtedness;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oilfield anti-indemnity provisions;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seasonal and adverse weather conditions that can affect oil and natural gas operations;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reliance on information technology resources and the inability to implement new technology and services;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the possibility of international conflicts, terrorist or cyber-attacks and the consequences of any such events;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increased labor costs or our ability to employ, or maintain the employment of, a sufficient number of key employees, technical personnel, and other skilled and qualified workers;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the market environment and impacts resulting from a global pandemic, like the novel coronavirus (“COVID-19”) pandemic and subsequent variants;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the inability to successfully consummate or integrate our acquisitions or inability to manage potential growth;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450850"/>
                <wp:effectExtent l="0" t="0" r="0" b="0"/>
                <wp:wrapNone/>
                <wp:docPr id="17" name="Frame17"/>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lineRule="auto" w:line="288" w:before="0" w:after="600"/>
        <w:jc w:val="left"/>
        <w:rPr/>
      </w:pPr>
      <w:hyperlink w:anchor="i3e0f5f4ea8104e0db5d6554c34082d82_7">
        <w:r>
          <w:rPr>
            <w:rStyle w:val="InternetLink"/>
            <w:rFonts w:ascii="Arial;sans-serif" w:hAnsi="Arial;sans-serif"/>
            <w:b w:val="false"/>
            <w:color w:val="0563C1"/>
            <w:sz w:val="20"/>
            <w:u w:val="single"/>
          </w:rPr>
          <w:t>Table of Contents</w:t>
        </w:r>
      </w:hyperlink>
    </w:p>
    <w:p>
      <w:pPr>
        <w:pStyle w:val="TextBody"/>
        <w:bidi w:val="0"/>
        <w:spacing w:lineRule="auto" w:line="276" w:before="0" w:after="0"/>
        <w:ind w:left="0" w:right="0" w:hanging="180"/>
        <w:jc w:val="both"/>
        <w:rPr/>
      </w:pPr>
      <w:r>
        <w:rPr>
          <w:color w:val="000000"/>
        </w:rPr>
        <w:t>•</w:t>
      </w:r>
      <w:r>
        <w:rPr>
          <w:rFonts w:ascii="Arial;sans-serif" w:hAnsi="Arial;sans-serif"/>
          <w:b w:val="false"/>
          <w:color w:val="000000"/>
          <w:sz w:val="20"/>
        </w:rPr>
        <w:t>our ability to remediate any material weakness in, or to maintain effective, internal controls over financial reporting and disclosure controls and procedures.</w:t>
      </w:r>
    </w:p>
    <w:p>
      <w:pPr>
        <w:pStyle w:val="TextBody"/>
        <w:bidi w:val="0"/>
        <w:spacing w:before="0" w:after="0"/>
        <w:ind w:left="0" w:right="0" w:firstLine="18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light of these risks and uncertainties, you are cautioned not to put undue reliance on any forward-looking statements in this Quarterly Report. These statements should be considered only after carefully reading this entire Quarterly Report. Except as required under the federal securities laws and rules and regulations of the SEC, we undertake no obligation to publicly update or revise any forward-looking statements, whether as a result of new information, future events or otherwise. Additional risks that we may currently deem immaterial or that are not presently known to us could also cause the forward-looking events discussed in this Quarterly Report not to occur.</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All forward-looking statements, expressed or implied, included in this Quarterly Report are expressly qualified in their entirety by this cautionary statement. This cautionary statement should also be considered in connection with any subsequent written or oral forward-looking statement that we or persons acting on our behalf may issue.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450850"/>
                <wp:effectExtent l="0" t="0" r="0" b="0"/>
                <wp:wrapNone/>
                <wp:docPr id="18" name="Frame18"/>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lineRule="auto" w:line="288" w:before="0" w:after="600"/>
        <w:jc w:val="left"/>
        <w:rPr/>
      </w:pPr>
      <w:hyperlink w:anchor="i3e0f5f4ea8104e0db5d6554c34082d82_7">
        <w:r>
          <w:rPr>
            <w:rStyle w:val="InternetLink"/>
            <w:rFonts w:ascii="Arial;sans-serif" w:hAnsi="Arial;sans-serif"/>
            <w:b w:val="false"/>
            <w:color w:val="0563C1"/>
            <w:sz w:val="20"/>
            <w:u w:val="single"/>
          </w:rPr>
          <w:t>Table of Contents</w:t>
        </w:r>
      </w:hyperlink>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ITEM 2. MANAGEMENT’S DISCUSSION AND ANALYSIS OF FINANCIAL CONDITION AND RESULTS OF OPERATIONS (U.S. dollars in millions, except per share data)</w:t>
      </w:r>
    </w:p>
    <w:p>
      <w:pPr>
        <w:pStyle w:val="TextBody"/>
        <w:bidi w:val="0"/>
        <w:spacing w:before="0" w:after="0"/>
        <w:ind w:left="0" w:right="0" w:hanging="720"/>
        <w:jc w:val="left"/>
        <w:rPr/>
      </w:pPr>
      <w:r>
        <w:rPr/>
      </w:r>
    </w:p>
    <w:p>
      <w:pPr>
        <w:pStyle w:val="TextBody"/>
        <w:bidi w:val="0"/>
        <w:spacing w:lineRule="auto" w:line="256" w:before="0" w:after="0"/>
        <w:jc w:val="both"/>
        <w:rPr/>
      </w:pPr>
      <w:r>
        <w:rPr>
          <w:rFonts w:ascii="Arial;sans-serif" w:hAnsi="Arial;sans-serif"/>
          <w:b w:val="false"/>
          <w:i/>
          <w:color w:val="000000"/>
          <w:sz w:val="20"/>
        </w:rPr>
        <w:t>The following discussion and analysis should be read in conjunction with the historical condensed consolidated financial statements and related notes included elsewhere in this Quarterly Report as well as our Annual Report on Form 10-K for the year ended December 31, 2023</w:t>
      </w:r>
      <w:r>
        <w:rPr>
          <w:rFonts w:ascii="Arial;sans-serif" w:hAnsi="Arial;sans-serif"/>
          <w:b w:val="false"/>
          <w:color w:val="000000"/>
          <w:sz w:val="20"/>
        </w:rPr>
        <w:t>.</w:t>
      </w:r>
      <w:r>
        <w:rPr>
          <w:color w:val="000000"/>
        </w:rPr>
        <w:t xml:space="preserve"> </w:t>
      </w:r>
      <w:r>
        <w:rPr>
          <w:rFonts w:ascii="Arial;sans-serif" w:hAnsi="Arial;sans-serif"/>
          <w:b w:val="false"/>
          <w:i/>
          <w:color w:val="000000"/>
          <w:sz w:val="20"/>
        </w:rPr>
        <w:t>This discussion contains forward-looking statements reflecting our current expectations and estimates and assumptions concerning events and financial trends that may affect our future operating results or financial position. Actual results and the timing of events may differ materially from those contained in these forward-looking statements due to a number of factors, including those discussed in the sections entitled “Risk Factors” and “Cautionary Statement Regarding Forward-Looking Statements” appearing elsewhere in this Quarterly Report.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discussion and analysis addresses the results of our operations for the three and nine months ended September 30, 2024, as compared to our results of operations for the three and nine months ended September 30, 2023. In addition, the discussion and analysis addresses our liquidity, financial condition and other matters for these periods.</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 xml:space="preserve">Company History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KLX Energy Services was initially formed from the combination of seven private oilfield service companies acquired during 2013 and 2014. The Company continued to selectively acquire regional and product line specific businesses through 2019 to expand our service capabilities and broaden our geographic presence. Once the acquisitions were completed, we undertook a comprehensive integration of these businesses to align our services, our people and our assets across all the geographic regions where we maintain a presence. We acquired Quintana Energy Services, Inc. (“QES”) during the second quarter of 2020 and, by doing so, helped establish KLXE as an industry leading provider of asset-light oilfield solutions across the full well lifecycle to the major onshore oil and gas producing regions of the United States.</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The merger of KLXE and QES (the “QES Merger”) provided increased scale to serve a blue-chip customer base across the onshore oil and gas basins in the United States. The QES Merger combined two strong company cultures comprised of highly talented teams with shared commitments to safety, performance, customer service and profitability. The combination leveraged two of the largest fleets of coiled tubing and wireline assets, resulting in KLXE becoming a leading diversified provider of drilling, completions and production services, with market leadership positions in coiled tubing and fishing services. After closing the QES Merger, the Company integrated personnel, facilities, processes and systems across all functional areas of the organization.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March 8, 2023, KLXE acquired all of the equity interests of Greene’s Energy Group, LLC (“Greene’s”), in an all-stock transaction (the “Greene's Acquisition”), including $1.7 in cash remaining at Greene’s, which was subsequently adjusted to $1.1 due to a $0.6 working capital adjustment.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Looking ahead, the Company expects to continue to pursue opportunistic, strategic, accretive acquisitions that would be expected to further strengthen the Company’s competitive positioning and capital structure and drive efficiencies, accelerate growth and create long</w:t>
        <w:noBreakHyphen/>
        <w:t>term stockholder value.</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Company Overview</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serve many of the leading companies engaged in the exploration and development of onshore conventional and unconventional oil and natural gas reserves in the United States. Our customers are primarily large independent and major oil and gas companies. We currently support these customer operations from over 50 service facilities located in the key major shale basins. We operate in three segments on a geographic basis, including the Rocky Mountains Region (the Bakken, Williston, DJ, Uinta, Powder River, Piceance and Niobrara basins), the Southwest Region (the Permian Basin, Eagle Ford Shale and the Gulf Coast as well as in industrial and petrochemical facilities) and the Northeast/Mid-Con Region (the Marcellus and Utica Shale as well as the Mid-Continent STACK and SCOOP and Haynesville Shale). Our revenues, operating earnings and identifiable assets are primarily attributable to these three reportable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450850"/>
                <wp:effectExtent l="0" t="0" r="0" b="0"/>
                <wp:wrapNone/>
                <wp:docPr id="19" name="Frame19"/>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lineRule="auto" w:line="288" w:before="0" w:after="600"/>
        <w:jc w:val="left"/>
        <w:rPr/>
      </w:pPr>
      <w:hyperlink w:anchor="i3e0f5f4ea8104e0db5d6554c34082d82_7">
        <w:r>
          <w:rPr>
            <w:rStyle w:val="InternetLink"/>
            <w:rFonts w:ascii="Arial;sans-serif" w:hAnsi="Arial;sans-serif"/>
            <w:b w:val="false"/>
            <w:color w:val="0563C1"/>
            <w:sz w:val="20"/>
            <w:u w:val="single"/>
          </w:rPr>
          <w:t>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geographic segments. While we manage our business based upon these geographic groupings, our assets and our technical personnel are deployed on a dynamic basis across all of our service facilities to optimize utilization and profitability.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These expansive operating areas provide us with access to a number of nearby unconventional crude oil and natural gas basins, both with existing customers expanding their production footprint and third parties acquiring new acreage. Our proximity to existing and prospective customer activities allows us to anticipate and respond quickly to such customers’ needs and efficiently deploy our assets. We believe that our strategic geographic positioning will benefit us as activity increases in our core operating areas. Our broad geographic footprint provides us with exposure to the ongoing recovery in drilling, completion, production and intervention related service activity and will allow us to opportunistically pursue new business in basins with active drilling environments.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work with our customers to provide engineered solutions across the lifecycle of the well by streamlining operations, reducing non-productive time and developing cost effective solutions and customized tools for our customers’ challenging service needs, including their technically complex extended reach horizontal wells. We believe future revenue growth opportunities will continue to be driven by increases in the number of new customers served and the breadth of services we offer to existing and prospective customers.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offer a variety of targeted services that are differentiated by the technical competence and experience of our field service engineers and their deployment of a broad portfolio of specialized tools and proprietary equipment. Our innovative and adaptive approach to proprietary tool design has been employed by our in-house research and development (“R&amp;D”) organization and, in selected instances, by our technology partners to develop tools covered by 38 patents and 9 pending patent applications, which we believe differentiates us from our regional competitors and also allows us to deliver more focused service and better outcomes in our specialized services than larger national competitors that do not discretely dedicate their resources to the services we provide.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utilize contract manufacturers to produce our products, which, in many cases, our engineers have developed from input and requests from our customers and customer-facing managers, thereby maintaining the integrity of our intellectual property while avoiding manufacturing startup and maintenance costs. This approach leverages our technical strengths, as well as those of our technology partners. These services and related products are modest in cost to the customer relative to other well construction expenditures but have a high cost of failure and are, therefore, critical to our customers’ outcomes. We believe our customers have come to depend on our decades of field experience to execute on some of the most challenging problems they face. We believe we are well positioned as a company to service customers when they are drilling and completing complex wells, and remediating both newer and older legacy wells.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invest in innovative technology and equipment designed for modern production techniques that increase efficiencies and production for our customers. North American unconventional onshore wells are increasingly characterized by extended lateral lengths, tighter spacing between hydraulic fracturing stages, increased cluster density and heightened proppant loads. Drilling and completion activities for wells in unconventional resource plays are extremely complex, and downhole challenges and operating costs increase as the complexity and lateral length of these wells increase. For these reasons, E&amp;P companies with complex wells increasingly prefer service providers with the scale and resources to deliver best-in-class solutions that evolve in real-time with the technology used for extraction. We believe we offer best-in-class service execution at the wellsite and innovative downhole technologies, positioning us to benefit from our ability to service technically complex wells where the potential for increased operating leverage is high due to the large number of stages per well.</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endeavor to create a next generation oilfield services company in terms of management controls, processes and operating metrics, and have driven these processes down through the operating management structure in every region, which we believe differentiates us from many of our competitors. This allows us to offer our customers in all of our geographic regions discrete, comprehensive and differentiated services that leverage both the technical expertise of our skilled engineers and our in-house R&amp;D team.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450850"/>
                <wp:effectExtent l="0" t="0" r="0" b="0"/>
                <wp:wrapNone/>
                <wp:docPr id="20" name="Frame20"/>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lineRule="auto" w:line="288" w:before="0" w:after="600"/>
        <w:jc w:val="left"/>
        <w:rPr/>
      </w:pPr>
      <w:hyperlink w:anchor="i3e0f5f4ea8104e0db5d6554c34082d82_7">
        <w:r>
          <w:rPr>
            <w:rStyle w:val="InternetLink"/>
            <w:rFonts w:ascii="Arial;sans-serif" w:hAnsi="Arial;sans-serif"/>
            <w:b w:val="false"/>
            <w:color w:val="0563C1"/>
            <w:sz w:val="20"/>
            <w:u w:val="single"/>
          </w:rPr>
          <w:t>Table of Contents</w:t>
        </w:r>
      </w:hyperlink>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Recent Trends and Outlook</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Demand for services in the oil and natural gas industry is cyclical and subject to sudden and significant volatility. The oil and gas industry experienced significant increases in activity in late 2021 and 2022 due to the recovery from the COVID-19 pandemic and increasing demand for oil and gas. Furthermore, sanctions and import bans on Russian oil have been implemented by various countries in response to the ongoing war in Ukraine, further impacting global oil supply. Natural gas prices also declined in the fourth quarter of 2023, however, they rebounded in the second and third quarters of 2024. Oil and natural gas prices have been, and may remain, volatile, which impacts demand for our business. West Texas Intermediate’s (“WTI") average daily price per barrel decreased by approximately 2.7%, to $76.43 per Bbl during the three months ended September 30, 2024, compared to the WTI average daily price per barrel of $78.53 per Bbl during the three months ended December 31, 2023. As of September 30, 2024, U.S. land rig count stood at 567, a decrease of 5.8% compared to December 31, 2023, when the U.S. rig count was 602.</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Despite the slight decrease in industry metrics above for the first nine months of the year, the Company remains focused on providing the highest level of customer service across our regions and different service offerings, which has allowed us to make meaningful positive impacts to our revenue, operating margins, cash flows and Adjusted EBITDA (as defined below). We are taking steps to hire essential personnel and increase capital expenditures as activity rebounds, but we are measured in our growth and focused on returns.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Looking ahead to the year ending December 31, 2025, assuming economic activity holds at the recent level and commodity prices remain volatile, we anticipate that our customers will continue to cautiously allocate capital and operating expense spending. So far in the year ending December 31, 2024, WTI prices have noted a slight increase, as demand for oil and gas products persists. Currently, expectations for future oil demand per OPEC and its allies (“OPEC+”) are to increase by 1.78 million barrels next year. This persisting demand is a positive sign that might help our business grow; however, there are a number of factors that might temper demand, such as those relating to U.S. elections and international events.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the medium term, we anticipate demand for oil and gas products to hold and even expand, as demand for energy generated from oil and gas grows across the United States. Per S&amp;P Global, nearly 50GW of electricity generation capacity is expected to be added to the U.S. grid by 2028 to support the operations of datacenters. Per the Electric Reliability Council of Texas, generation capacity in the state is set to almost double by 2030, citing increased demand from artificial intelligence data centers and crypto-mining. In addition to domestic electricity generation, there are indications of higher demand for natural gas for export, with S&amp;P Global projecting that feedgas demand could more than double by 2032. These and other expected developments point to increased demand for the products our services help to extract.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Oil and natural gas prices may fluctuate with changes in demand due to, among other things, the ongoing war in Ukraine, the Israel-Hamas conflict, rising tensions with Iran, international sanctions, speculation as to future actions by OPEC+, gas prices, interest rates, inflation and government efforts to reduce inflation, and possible changes in the overall health of the global economy, including a perceived economic recovery or any increased volatility in financial and credit markets or a recession. To what extent these and other external factors (such as government action with respect to climate change regulation) ultimately impact our future business, liquidity, financial condition, and results of operations is highly uncertain and dependent on numerous factors, including future developments, that are not within our control and cannot be accurately predicted.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believe our diverse product and service offerings uniquely position KLXE to respond to a rapidly evolving marketplace where we can provide a comprehensive suite of engineered solutions for our customers with one call and one master services agreement.</w:t>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How We Generate Revenue and the Costs of Conducting Our Business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450850"/>
                <wp:effectExtent l="0" t="0" r="0" b="0"/>
                <wp:wrapNone/>
                <wp:docPr id="21" name="Frame21"/>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lineRule="auto" w:line="288" w:before="0" w:after="600"/>
        <w:jc w:val="left"/>
        <w:rPr/>
      </w:pPr>
      <w:hyperlink w:anchor="i3e0f5f4ea8104e0db5d6554c34082d82_7">
        <w:r>
          <w:rPr>
            <w:rStyle w:val="InternetLink"/>
            <w:rFonts w:ascii="Arial;sans-serif" w:hAnsi="Arial;sans-serif"/>
            <w:b w:val="false"/>
            <w:color w:val="0563C1"/>
            <w:sz w:val="20"/>
            <w:u w:val="single"/>
          </w:rPr>
          <w:t>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business strategy seeks to generate attractive returns on capital by providing differentiated services and prudently applying our cash flow to select targeted opportunities, with the potential to deliver high returns that we believe offer superior margins over the long-term and short payback periods. Our services generally require equipment that is less expensive to maintain and is operated by a smaller staff than many other oilfield services providers. As part of our returns-focused approach to capital spending, we are focused on efficiently utilizing capital to develop new products. We support our existing asset base with targeted investments in R&amp;D, which we believe allows us to maintain a technical advantage over our competitors providing similar services using standard equipment.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Demand for services in the oil and natural gas industry is cyclical and subject to sudden and significant volatility. We remain focused on serving the needs of our customers by providing a broad portfolio of product service lines across major basins, while preserving a solid balance sheet, maintaining sufficient operating liquidity and prudently managing our capital expenditures.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believe we have strong management systems in place, which will allow us to manage our operating resources and associated expenses relative to market conditions. Historically, we believe our services have generated margins superior to our competitors based upon the differential quality of our performance, and that these margins may contribute to future cash flow generation. The required investment in our business includes both working capital (principally for accounts receivable, inventory and accounts payable growth tied to increasing activity) and capital expenditures for both maintenance of existing assets and ultimately growth when economic returns justify the spending. Our required maintenance capital expenditures tend to be lower than other oilfield service providers due to the generally asset-light nature of our services, the lower average age of our assets and our ability to charge back a portion of asset maintenance to customers for a number of our assets.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450850"/>
                <wp:effectExtent l="0" t="0" r="0" b="0"/>
                <wp:wrapNone/>
                <wp:docPr id="22" name="Frame22"/>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lineRule="auto" w:line="288" w:before="0" w:after="600"/>
        <w:jc w:val="left"/>
        <w:rPr/>
      </w:pPr>
      <w:hyperlink w:anchor="i3e0f5f4ea8104e0db5d6554c34082d82_7">
        <w:r>
          <w:rPr>
            <w:rStyle w:val="InternetLink"/>
            <w:rFonts w:ascii="Arial;sans-serif" w:hAnsi="Arial;sans-serif"/>
            <w:b w:val="false"/>
            <w:color w:val="0563C1"/>
            <w:sz w:val="20"/>
            <w:u w:val="single"/>
          </w:rPr>
          <w:t>Table of Contents</w:t>
        </w:r>
      </w:hyperlink>
    </w:p>
    <w:p>
      <w:pPr>
        <w:pStyle w:val="TextBody"/>
        <w:bidi w:val="0"/>
        <w:spacing w:lineRule="auto" w:line="288" w:before="0" w:after="100"/>
        <w:jc w:val="left"/>
        <w:rPr>
          <w:rFonts w:ascii="Arial;sans-serif" w:hAnsi="Arial;sans-serif"/>
          <w:b/>
          <w:color w:val="000000"/>
          <w:sz w:val="20"/>
        </w:rPr>
      </w:pPr>
      <w:r>
        <w:rPr>
          <w:rFonts w:ascii="Arial;sans-serif" w:hAnsi="Arial;sans-serif"/>
          <w:b/>
          <w:color w:val="000000"/>
          <w:sz w:val="20"/>
        </w:rPr>
        <w:t>Results of Operations</w:t>
      </w:r>
    </w:p>
    <w:p>
      <w:pPr>
        <w:pStyle w:val="TextBody"/>
        <w:bidi w:val="0"/>
        <w:spacing w:lineRule="auto" w:line="288" w:before="0" w:after="0"/>
        <w:jc w:val="left"/>
        <w:rPr/>
      </w:pPr>
      <w:r>
        <w:rPr>
          <w:rFonts w:ascii="Arial;sans-serif" w:hAnsi="Arial;sans-serif"/>
          <w:b/>
          <w:i/>
          <w:color w:val="000000"/>
          <w:sz w:val="20"/>
        </w:rPr>
        <w:t>Three Months Ended September 30, 2024 Compared to Three Months Ended September 30, 2023</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i/>
          <w:color w:val="000000"/>
          <w:sz w:val="20"/>
        </w:rPr>
        <w:t>Revenue</w:t>
      </w:r>
      <w:r>
        <w:rPr>
          <w:rFonts w:ascii="Arial;sans-serif" w:hAnsi="Arial;sans-serif"/>
          <w:b w:val="false"/>
          <w:color w:val="000000"/>
          <w:sz w:val="20"/>
        </w:rPr>
        <w:t>.</w:t>
      </w:r>
      <w:r>
        <w:rPr>
          <w:color w:val="000000"/>
        </w:rPr>
        <w:t xml:space="preserve"> </w:t>
      </w:r>
      <w:r>
        <w:rPr>
          <w:rFonts w:ascii="Arial;sans-serif" w:hAnsi="Arial;sans-serif"/>
          <w:b w:val="false"/>
          <w:color w:val="000000"/>
          <w:sz w:val="20"/>
        </w:rPr>
        <w:t>The following is a summary of revenue by segment and product line for the periods indicated:</w:t>
      </w:r>
    </w:p>
    <w:tbl>
      <w:tblPr>
        <w:tblW w:w="8120" w:type="dxa"/>
        <w:jc w:val="left"/>
        <w:tblInd w:w="0" w:type="dxa"/>
        <w:tblLayout w:type="fixed"/>
        <w:tblCellMar>
          <w:top w:w="28" w:type="dxa"/>
          <w:left w:w="28" w:type="dxa"/>
          <w:bottom w:w="28" w:type="dxa"/>
          <w:right w:w="28" w:type="dxa"/>
        </w:tblCellMar>
      </w:tblPr>
      <w:tblGrid>
        <w:gridCol w:w="739"/>
        <w:gridCol w:w="647"/>
        <w:gridCol w:w="653"/>
        <w:gridCol w:w="109"/>
        <w:gridCol w:w="109"/>
        <w:gridCol w:w="109"/>
        <w:gridCol w:w="418"/>
        <w:gridCol w:w="1282"/>
        <w:gridCol w:w="219"/>
        <w:gridCol w:w="109"/>
        <w:gridCol w:w="109"/>
        <w:gridCol w:w="109"/>
        <w:gridCol w:w="418"/>
        <w:gridCol w:w="1282"/>
        <w:gridCol w:w="219"/>
        <w:gridCol w:w="109"/>
        <w:gridCol w:w="109"/>
        <w:gridCol w:w="109"/>
        <w:gridCol w:w="299"/>
        <w:gridCol w:w="301"/>
        <w:gridCol w:w="662"/>
      </w:tblGrid>
      <w:tr>
        <w:trPr/>
        <w:tc>
          <w:tcPr>
            <w:tcW w:w="739"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Change</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Rocky Mountains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67.9 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Southwest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68.6 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77.8 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w:t>
            </w:r>
          </w:p>
        </w:tc>
        <w:tc>
          <w:tcPr>
            <w:tcW w:w="6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Northeast/Mid-Con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65.8 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(20.4)</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188.9 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220.6 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w:t>
            </w:r>
          </w:p>
        </w:tc>
        <w:tc>
          <w:tcPr>
            <w:tcW w:w="6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tbl>
      <w:tblPr>
        <w:tblW w:w="7522" w:type="dxa"/>
        <w:jc w:val="left"/>
        <w:tblInd w:w="0" w:type="dxa"/>
        <w:tblLayout w:type="fixed"/>
        <w:tblCellMar>
          <w:top w:w="28" w:type="dxa"/>
          <w:left w:w="28" w:type="dxa"/>
          <w:bottom w:w="28" w:type="dxa"/>
          <w:right w:w="28" w:type="dxa"/>
        </w:tblCellMar>
      </w:tblPr>
      <w:tblGrid>
        <w:gridCol w:w="521"/>
        <w:gridCol w:w="456"/>
        <w:gridCol w:w="464"/>
        <w:gridCol w:w="109"/>
        <w:gridCol w:w="109"/>
        <w:gridCol w:w="109"/>
        <w:gridCol w:w="418"/>
        <w:gridCol w:w="1282"/>
        <w:gridCol w:w="219"/>
        <w:gridCol w:w="109"/>
        <w:gridCol w:w="109"/>
        <w:gridCol w:w="109"/>
        <w:gridCol w:w="418"/>
        <w:gridCol w:w="1282"/>
        <w:gridCol w:w="219"/>
        <w:gridCol w:w="109"/>
        <w:gridCol w:w="109"/>
        <w:gridCol w:w="109"/>
        <w:gridCol w:w="299"/>
        <w:gridCol w:w="301"/>
        <w:gridCol w:w="662"/>
      </w:tblGrid>
      <w:tr>
        <w:trPr/>
        <w:tc>
          <w:tcPr>
            <w:tcW w:w="521"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Change</w:t>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Drilling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(26.1)</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Completion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101.5 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113.1 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w:t>
            </w:r>
          </w:p>
        </w:tc>
        <w:tc>
          <w:tcPr>
            <w:tcW w:w="6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Production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Intervention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w:t>
            </w:r>
          </w:p>
        </w:tc>
        <w:tc>
          <w:tcPr>
            <w:tcW w:w="6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188.9 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220.6 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w:t>
            </w:r>
          </w:p>
        </w:tc>
        <w:tc>
          <w:tcPr>
            <w:tcW w:w="6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before="0" w:after="0"/>
        <w:ind w:left="0" w:right="0" w:firstLine="72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For the quarter ended September 30, 2024, revenues were $188.9, a decrease of $31.7, or 14.4%, as compared with the prior year period. The overall decrease in revenues reflects a decline in industry activity and pricing during the quarter, leading to lower demand and pricing for our services. Lower weighted average price contributed to approximately 47% of the $31.7 decrease, and lower weighted average volume contributed to the remaining approximately 53%. This decrease was driven entirely by a decrease in weighted average volume. On a segment basis, Rocky Mountains segment revenue decreased by $9.1 or 11.8%. Lower weighted average price contributed to approximately 54% of the dollar decrease, and lower weighted average volume contributed to the remaining approximately 46%. Southwest segment revenue decreased by $9.2 or 11.8%. This decrease was driven entirely by a decrease in weighted average volume. Northeast/Mid-Con segment revenue decreased by $13.4 or 20.4%. This decrease was driven entirely by a decrease in weighted average price.</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0"/>
        </w:rPr>
        <w:t>Cost of sales</w:t>
      </w:r>
      <w:r>
        <w:rPr>
          <w:rFonts w:ascii="Arial;sans-serif" w:hAnsi="Arial;sans-serif"/>
          <w:b w:val="false"/>
          <w:color w:val="000000"/>
          <w:sz w:val="20"/>
        </w:rPr>
        <w:t>. For the quarter ended September 30, 2024, cost of sales were $142.3, or 75.3% of sales, as compared to the three months ended September 30, 2023 of $166.2, or 75.3% of sales. Cost of sales as a percentage of revenues did not change during the quarter. The two largest components of cost of sales are labor and repair and maintenance. Although cost of sales as a percentage of revenues did not change, labor costs per employee decreased by 2.4% as compared with the three months ended September 30, 2023. Repair &amp; maintenance costs as a percentage of revenues increased by 21.2% as compared to the three months ended September 30, 2023, largely due to the lower pricing during the quarter.</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0"/>
        </w:rPr>
        <w:t>Selling, general and administrative expenses (“SG&amp;A”)</w:t>
      </w:r>
      <w:r>
        <w:rPr>
          <w:rFonts w:ascii="Arial;sans-serif" w:hAnsi="Arial;sans-serif"/>
          <w:b w:val="false"/>
          <w:color w:val="000000"/>
          <w:sz w:val="20"/>
        </w:rPr>
        <w:t>. For the quarter ended September 30, 2024, SG&amp;A expenses were $21.2, or 11.2% of revenues, as compared with $18.6, or 8.4% of revenues, in the prior year period. The increase in percentage of revenues is due to the more fixed cost nature of our SG&amp;A costs which decreased at a slower pace than revenues, as SG&amp;A has decreased on a dollar basis compared to the three months ended September 30, 2023.</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0"/>
        </w:rPr>
        <w:t>Operating income (loss)</w:t>
      </w:r>
      <w:r>
        <w:rPr>
          <w:rFonts w:ascii="Arial;sans-serif" w:hAnsi="Arial;sans-serif"/>
          <w:b w:val="false"/>
          <w:color w:val="000000"/>
          <w:sz w:val="20"/>
        </w:rPr>
        <w:t>. The following is a summary of operating income (loss) by segment: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450850"/>
                <wp:effectExtent l="0" t="0" r="0" b="0"/>
                <wp:wrapNone/>
                <wp:docPr id="23" name="Frame23"/>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lineRule="auto" w:line="288" w:before="0" w:after="600"/>
        <w:jc w:val="left"/>
        <w:rPr/>
      </w:pPr>
      <w:hyperlink w:anchor="i3e0f5f4ea8104e0db5d6554c34082d82_7">
        <w:r>
          <w:rPr>
            <w:rStyle w:val="InternetLink"/>
            <w:rFonts w:ascii="Arial;sans-serif" w:hAnsi="Arial;sans-serif"/>
            <w:b w:val="false"/>
            <w:color w:val="0563C1"/>
            <w:sz w:val="20"/>
            <w:u w:val="single"/>
          </w:rPr>
          <w:t>Table of Contents</w:t>
        </w:r>
      </w:hyperlink>
    </w:p>
    <w:tbl>
      <w:tblPr>
        <w:tblW w:w="8803" w:type="dxa"/>
        <w:jc w:val="center"/>
        <w:tblInd w:w="0" w:type="dxa"/>
        <w:tblLayout w:type="fixed"/>
        <w:tblCellMar>
          <w:top w:w="28" w:type="dxa"/>
          <w:left w:w="28" w:type="dxa"/>
          <w:bottom w:w="28" w:type="dxa"/>
          <w:right w:w="28" w:type="dxa"/>
        </w:tblCellMar>
      </w:tblPr>
      <w:tblGrid>
        <w:gridCol w:w="874"/>
        <w:gridCol w:w="769"/>
        <w:gridCol w:w="771"/>
        <w:gridCol w:w="109"/>
        <w:gridCol w:w="109"/>
        <w:gridCol w:w="109"/>
        <w:gridCol w:w="536"/>
        <w:gridCol w:w="1106"/>
        <w:gridCol w:w="278"/>
        <w:gridCol w:w="109"/>
        <w:gridCol w:w="109"/>
        <w:gridCol w:w="109"/>
        <w:gridCol w:w="470"/>
        <w:gridCol w:w="1206"/>
        <w:gridCol w:w="243"/>
        <w:gridCol w:w="109"/>
        <w:gridCol w:w="109"/>
        <w:gridCol w:w="109"/>
        <w:gridCol w:w="299"/>
        <w:gridCol w:w="301"/>
        <w:gridCol w:w="597"/>
        <w:gridCol w:w="109"/>
        <w:gridCol w:w="109"/>
        <w:gridCol w:w="154"/>
      </w:tblGrid>
      <w:tr>
        <w:trPr/>
        <w:tc>
          <w:tcPr>
            <w:tcW w:w="874"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Rocky Mountains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(45.2)</w:t>
            </w:r>
          </w:p>
        </w:tc>
        <w:tc>
          <w:tcPr>
            <w:tcW w:w="5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Southwest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(85.4)</w:t>
            </w:r>
          </w:p>
        </w:tc>
        <w:tc>
          <w:tcPr>
            <w:tcW w:w="5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Northeast/Mid-Con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(61.5)</w:t>
            </w:r>
          </w:p>
        </w:tc>
        <w:tc>
          <w:tcPr>
            <w:tcW w:w="5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Corporate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16.4 </w:t>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(93.3)</w:t>
            </w:r>
          </w:p>
        </w:tc>
        <w:tc>
          <w:tcPr>
            <w:tcW w:w="5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For the quarter ended September 30, 2024, operating income was $1.1 compared to operating income of $16.4 in the prior year period, primarily due to a reduction in activity and pricing.</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operating results across our three geographic segments declined as a function of lower revenues compared to the prior year period. Rocky Mountains segment operating income was $9.7, Southwest segment operating income was $0.7, and Northeast/Mid-Con segment operating income was $2.0 for the three months ended September 30, 2024. The operating loss for the Corporate and other segment was consistent with prior year.</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0"/>
        </w:rPr>
        <w:t>Income tax expense</w:t>
      </w:r>
      <w:r>
        <w:rPr>
          <w:rFonts w:ascii="Arial;sans-serif" w:hAnsi="Arial;sans-serif"/>
          <w:b w:val="false"/>
          <w:color w:val="000000"/>
          <w:sz w:val="20"/>
        </w:rPr>
        <w:t>. For the quarter ended September 30, 2024, income tax expense was $0.2, as compared to income tax expense of $0.3 in the prior year period, and was comprised primarily of state and local taxes. The Company did not recognize a federal tax benefit on its year-to-date losses because it has a valuation allowance against its deferred tax balances.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0"/>
        </w:rPr>
        <w:t>Net (loss) income</w:t>
      </w:r>
      <w:r>
        <w:rPr>
          <w:rFonts w:ascii="Arial;sans-serif" w:hAnsi="Arial;sans-serif"/>
          <w:b w:val="false"/>
          <w:color w:val="000000"/>
          <w:sz w:val="20"/>
        </w:rPr>
        <w:t>. For the quarter ended September 30, 2024, net loss was $8.2, as compared to net income of $7.6 in the prior year period, decreasing primarily as a result of lower revenues as discussed above.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450850"/>
                <wp:effectExtent l="0" t="0" r="0" b="0"/>
                <wp:wrapNone/>
                <wp:docPr id="24" name="Frame24"/>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lineRule="auto" w:line="288" w:before="0" w:after="600"/>
        <w:jc w:val="left"/>
        <w:rPr/>
      </w:pPr>
      <w:hyperlink w:anchor="i3e0f5f4ea8104e0db5d6554c34082d82_7">
        <w:r>
          <w:rPr>
            <w:rStyle w:val="InternetLink"/>
            <w:rFonts w:ascii="Arial;sans-serif" w:hAnsi="Arial;sans-serif"/>
            <w:b w:val="false"/>
            <w:color w:val="0563C1"/>
            <w:sz w:val="20"/>
            <w:u w:val="single"/>
          </w:rPr>
          <w:t>Table of Contents</w:t>
        </w:r>
      </w:hyperlink>
    </w:p>
    <w:p>
      <w:pPr>
        <w:pStyle w:val="TextBody"/>
        <w:bidi w:val="0"/>
        <w:spacing w:lineRule="auto" w:line="288" w:before="0" w:after="100"/>
        <w:jc w:val="left"/>
        <w:rPr>
          <w:rFonts w:ascii="Arial;sans-serif" w:hAnsi="Arial;sans-serif"/>
          <w:b/>
          <w:color w:val="000000"/>
          <w:sz w:val="20"/>
        </w:rPr>
      </w:pPr>
      <w:r>
        <w:rPr>
          <w:rFonts w:ascii="Arial;sans-serif" w:hAnsi="Arial;sans-serif"/>
          <w:b/>
          <w:color w:val="000000"/>
          <w:sz w:val="20"/>
        </w:rPr>
        <w:t>Results of Operations</w:t>
      </w:r>
    </w:p>
    <w:p>
      <w:pPr>
        <w:pStyle w:val="TextBody"/>
        <w:bidi w:val="0"/>
        <w:spacing w:lineRule="auto" w:line="288" w:before="0" w:after="0"/>
        <w:jc w:val="left"/>
        <w:rPr/>
      </w:pPr>
      <w:r>
        <w:rPr>
          <w:rFonts w:ascii="Arial;sans-serif" w:hAnsi="Arial;sans-serif"/>
          <w:b/>
          <w:i/>
          <w:color w:val="000000"/>
          <w:sz w:val="20"/>
        </w:rPr>
        <w:t>Nine Months Ended September 30, 2024 Compared to Nine Months Ended September 30, 2023</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i/>
          <w:color w:val="000000"/>
          <w:sz w:val="20"/>
        </w:rPr>
        <w:t>Revenue</w:t>
      </w:r>
      <w:r>
        <w:rPr>
          <w:rFonts w:ascii="Arial;sans-serif" w:hAnsi="Arial;sans-serif"/>
          <w:b w:val="false"/>
          <w:color w:val="000000"/>
          <w:sz w:val="20"/>
        </w:rPr>
        <w:t>.</w:t>
      </w:r>
      <w:r>
        <w:rPr>
          <w:color w:val="000000"/>
        </w:rPr>
        <w:t xml:space="preserve"> </w:t>
      </w:r>
      <w:r>
        <w:rPr>
          <w:rFonts w:ascii="Arial;sans-serif" w:hAnsi="Arial;sans-serif"/>
          <w:b w:val="false"/>
          <w:color w:val="000000"/>
          <w:sz w:val="20"/>
        </w:rPr>
        <w:t>The following is a summary of revenue by segment and product line for the periods indicated:</w:t>
      </w:r>
    </w:p>
    <w:tbl>
      <w:tblPr>
        <w:tblW w:w="8120" w:type="dxa"/>
        <w:jc w:val="left"/>
        <w:tblInd w:w="0" w:type="dxa"/>
        <w:tblLayout w:type="fixed"/>
        <w:tblCellMar>
          <w:top w:w="28" w:type="dxa"/>
          <w:left w:w="28" w:type="dxa"/>
          <w:bottom w:w="28" w:type="dxa"/>
          <w:right w:w="28" w:type="dxa"/>
        </w:tblCellMar>
      </w:tblPr>
      <w:tblGrid>
        <w:gridCol w:w="739"/>
        <w:gridCol w:w="647"/>
        <w:gridCol w:w="653"/>
        <w:gridCol w:w="109"/>
        <w:gridCol w:w="109"/>
        <w:gridCol w:w="109"/>
        <w:gridCol w:w="418"/>
        <w:gridCol w:w="1282"/>
        <w:gridCol w:w="219"/>
        <w:gridCol w:w="109"/>
        <w:gridCol w:w="109"/>
        <w:gridCol w:w="109"/>
        <w:gridCol w:w="418"/>
        <w:gridCol w:w="1282"/>
        <w:gridCol w:w="219"/>
        <w:gridCol w:w="109"/>
        <w:gridCol w:w="109"/>
        <w:gridCol w:w="109"/>
        <w:gridCol w:w="299"/>
        <w:gridCol w:w="301"/>
        <w:gridCol w:w="662"/>
      </w:tblGrid>
      <w:tr>
        <w:trPr/>
        <w:tc>
          <w:tcPr>
            <w:tcW w:w="739"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Nine Months Ended</w:t>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Change</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Rocky Mountains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174.9 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Southwest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207.9 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237.5 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w:t>
            </w:r>
          </w:p>
        </w:tc>
        <w:tc>
          <w:tcPr>
            <w:tcW w:w="6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Northeast/Mid-Con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245.4 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(34.4)</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543.8 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694.2 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w:t>
            </w:r>
          </w:p>
        </w:tc>
        <w:tc>
          <w:tcPr>
            <w:tcW w:w="6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tbl>
      <w:tblPr>
        <w:tblW w:w="7522" w:type="dxa"/>
        <w:jc w:val="left"/>
        <w:tblInd w:w="0" w:type="dxa"/>
        <w:tblLayout w:type="fixed"/>
        <w:tblCellMar>
          <w:top w:w="28" w:type="dxa"/>
          <w:left w:w="28" w:type="dxa"/>
          <w:bottom w:w="28" w:type="dxa"/>
          <w:right w:w="28" w:type="dxa"/>
        </w:tblCellMar>
      </w:tblPr>
      <w:tblGrid>
        <w:gridCol w:w="521"/>
        <w:gridCol w:w="456"/>
        <w:gridCol w:w="464"/>
        <w:gridCol w:w="109"/>
        <w:gridCol w:w="109"/>
        <w:gridCol w:w="109"/>
        <w:gridCol w:w="418"/>
        <w:gridCol w:w="1282"/>
        <w:gridCol w:w="219"/>
        <w:gridCol w:w="109"/>
        <w:gridCol w:w="109"/>
        <w:gridCol w:w="109"/>
        <w:gridCol w:w="418"/>
        <w:gridCol w:w="1282"/>
        <w:gridCol w:w="219"/>
        <w:gridCol w:w="109"/>
        <w:gridCol w:w="109"/>
        <w:gridCol w:w="109"/>
        <w:gridCol w:w="299"/>
        <w:gridCol w:w="301"/>
        <w:gridCol w:w="662"/>
      </w:tblGrid>
      <w:tr>
        <w:trPr/>
        <w:tc>
          <w:tcPr>
            <w:tcW w:w="521"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Nine Months Ended</w:t>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Change</w:t>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Drilling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(30.6)</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Completion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287.5 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368.5 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w:t>
            </w:r>
          </w:p>
        </w:tc>
        <w:tc>
          <w:tcPr>
            <w:tcW w:w="6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Production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89.5 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Intervention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52.6 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64.2 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w:t>
            </w:r>
          </w:p>
        </w:tc>
        <w:tc>
          <w:tcPr>
            <w:tcW w:w="6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543.8 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694.2 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w:t>
            </w:r>
          </w:p>
        </w:tc>
        <w:tc>
          <w:tcPr>
            <w:tcW w:w="6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before="0" w:after="0"/>
        <w:ind w:left="0" w:right="0" w:firstLine="72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For the nine months ended September 30, 2024, revenues were $543.8, a decrease of $150.4, or 21.7%, as compared with the prior year period. The overall decrease in revenues reflects a decline in activity and pricing during the nine-month period, leading to lower demand for our services. Lower weighted average price contributed to approximately 20% of the $150.4 decrease, and lower weighted average volume contributed to the remaining approximately 80%. On a segment basis, Rocky Mountains segment revenue decreased by $36.4 or 17.2%. Lower weighted average price contributed to approximately 1% of the dollar decrease, and lower weighted average volume contributed to the remaining approximately 99%. Southwest segment revenue decreased by $29.6 or 12.5%. This decrease was driven entirely by a decrease in weighted average volume. Northeast/Mid-Con segment revenue decreased by $84.4 or 34.4%. Lower weighted average price contributed to approximately 68% of the dollar decrease, and lower weighted average volume contributed to the remaining approximately 32%.</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0"/>
        </w:rPr>
        <w:t>Cost of sales</w:t>
      </w:r>
      <w:r>
        <w:rPr>
          <w:rFonts w:ascii="Arial;sans-serif" w:hAnsi="Arial;sans-serif"/>
          <w:b w:val="false"/>
          <w:color w:val="000000"/>
          <w:sz w:val="20"/>
        </w:rPr>
        <w:t>. For the nine months ended September 30, 2024, cost of sales were $422.3, or 77.7% of sales, as compared to the nine months ended September 30, 2023 of $520.4, or 75.0% of sales. Cost of sales as a percentage of revenues increased primarily due to a decrease in pricing which led to lower operating leverage of fixed costs during the nine-month period ended September 30, 2024. The two largest components of cost of sales are labor and repair and maintenance. Although cost of sales as a percentage of revenues increased, labor costs per employee decreased by 10.9% as compared with the nine months ended September 30, 2023. Repair &amp; maintenance costs as a percentage of revenues increased by 20.9% as compared to the nine months ended September 30, 2023, largely due to the lower pricing during the nine-month period.</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0"/>
        </w:rPr>
        <w:t>Selling, general and administrative expenses (“SG&amp;A”)</w:t>
      </w:r>
      <w:r>
        <w:rPr>
          <w:rFonts w:ascii="Arial;sans-serif" w:hAnsi="Arial;sans-serif"/>
          <w:b w:val="false"/>
          <w:color w:val="000000"/>
          <w:sz w:val="20"/>
        </w:rPr>
        <w:t>. For the nine months ended September 30, 2024, SG&amp;A expenses were $62.1, or 11.4% of revenues, as compared with $66.8, or 9.6% of revenues, in the prior year period. The increase in percentage of revenues is due to the more fixed cost nature of our SG&amp;A costs which decreased at a slower pace than revenues during the nine-month period, as SG&amp;A has decreased on a dollar basis compared to the nine months ended September 30, 2023.</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0"/>
        </w:rPr>
        <w:t>Operating (loss) income</w:t>
      </w:r>
      <w:r>
        <w:rPr>
          <w:rFonts w:ascii="Arial;sans-serif" w:hAnsi="Arial;sans-serif"/>
          <w:b w:val="false"/>
          <w:color w:val="000000"/>
          <w:sz w:val="20"/>
        </w:rPr>
        <w:t>. The following is a summary of operating (loss) income by segment: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450850"/>
                <wp:effectExtent l="0" t="0" r="0" b="0"/>
                <wp:wrapNone/>
                <wp:docPr id="25" name="Frame25"/>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lineRule="auto" w:line="288" w:before="0" w:after="600"/>
        <w:jc w:val="left"/>
        <w:rPr/>
      </w:pPr>
      <w:hyperlink w:anchor="i3e0f5f4ea8104e0db5d6554c34082d82_7">
        <w:r>
          <w:rPr>
            <w:rStyle w:val="InternetLink"/>
            <w:rFonts w:ascii="Arial;sans-serif" w:hAnsi="Arial;sans-serif"/>
            <w:b w:val="false"/>
            <w:color w:val="0563C1"/>
            <w:sz w:val="20"/>
            <w:u w:val="single"/>
          </w:rPr>
          <w:t>Table of Contents</w:t>
        </w:r>
      </w:hyperlink>
    </w:p>
    <w:tbl>
      <w:tblPr>
        <w:tblW w:w="9028" w:type="dxa"/>
        <w:jc w:val="center"/>
        <w:tblInd w:w="0" w:type="dxa"/>
        <w:tblLayout w:type="fixed"/>
        <w:tblCellMar>
          <w:top w:w="28" w:type="dxa"/>
          <w:left w:w="28" w:type="dxa"/>
          <w:bottom w:w="28" w:type="dxa"/>
          <w:right w:w="28" w:type="dxa"/>
        </w:tblCellMar>
      </w:tblPr>
      <w:tblGrid>
        <w:gridCol w:w="956"/>
        <w:gridCol w:w="841"/>
        <w:gridCol w:w="843"/>
        <w:gridCol w:w="109"/>
        <w:gridCol w:w="109"/>
        <w:gridCol w:w="109"/>
        <w:gridCol w:w="470"/>
        <w:gridCol w:w="1206"/>
        <w:gridCol w:w="243"/>
        <w:gridCol w:w="109"/>
        <w:gridCol w:w="109"/>
        <w:gridCol w:w="109"/>
        <w:gridCol w:w="470"/>
        <w:gridCol w:w="1206"/>
        <w:gridCol w:w="243"/>
        <w:gridCol w:w="109"/>
        <w:gridCol w:w="109"/>
        <w:gridCol w:w="109"/>
        <w:gridCol w:w="299"/>
        <w:gridCol w:w="301"/>
        <w:gridCol w:w="597"/>
        <w:gridCol w:w="109"/>
        <w:gridCol w:w="109"/>
        <w:gridCol w:w="154"/>
      </w:tblGrid>
      <w:tr>
        <w:trPr/>
        <w:tc>
          <w:tcPr>
            <w:tcW w:w="95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Nine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(loss)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Rocky Mountains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39.4 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(51.8)</w:t>
            </w:r>
          </w:p>
        </w:tc>
        <w:tc>
          <w:tcPr>
            <w:tcW w:w="5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Southwest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(85.3)</w:t>
            </w:r>
          </w:p>
        </w:tc>
        <w:tc>
          <w:tcPr>
            <w:tcW w:w="5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Northeast/Mid-Con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36.5 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(94.8)</w:t>
            </w:r>
          </w:p>
        </w:tc>
        <w:tc>
          <w:tcPr>
            <w:tcW w:w="5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Corporate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(34.1)</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(38.7)</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11.9 </w:t>
            </w:r>
          </w:p>
        </w:tc>
        <w:tc>
          <w:tcPr>
            <w:tcW w:w="5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w:t>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54.9 </w:t>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Arial;sans-serif" w:hAnsi="Arial;sans-serif"/>
          <w:b w:val="false"/>
          <w:color w:val="000000"/>
          <w:sz w:val="18"/>
        </w:rPr>
      </w:pPr>
      <w:r>
        <w:rPr>
          <w:rFonts w:ascii="Arial;sans-serif" w:hAnsi="Arial;sans-serif"/>
          <w:b w:val="false"/>
          <w:color w:val="000000"/>
          <w:sz w:val="18"/>
        </w:rPr>
        <w:t>*NM = Not Meaningful</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For the nine months ended September 30, 2024, operating loss was $10.6 compared to operating income of $54.9 in the prior year period, due primarily to a reduction in activity and pricing.</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operating results across our three geographic segments declined as a function of lower revenues compared to the prior year period. Rocky Mountains segment operating income was $19.0, Southwest segment operating income was $2.6, and Northeast/Mid-Con segment operating income was $1.9 for the nine months ended September 30, 2024. The operating loss for the Corporate and other segment decreased slightly due to non-recurring costs related to the Greene's Acquisition in the prior year.</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0"/>
        </w:rPr>
        <w:t>Income tax expense</w:t>
      </w:r>
      <w:r>
        <w:rPr>
          <w:rFonts w:ascii="Arial;sans-serif" w:hAnsi="Arial;sans-serif"/>
          <w:b w:val="false"/>
          <w:color w:val="000000"/>
          <w:sz w:val="20"/>
        </w:rPr>
        <w:t>. For the nine months ended September 30, 2024, income tax expense was $0.6, as compared to income tax expense of $0.2 in the prior year period, and was comprised primarily of state and local taxes. The Company did not recognize a federal tax benefit on its year-to-date losses because it has a valuation allowance against its deferred tax balances.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0"/>
        </w:rPr>
        <w:t>Net (loss) income</w:t>
      </w:r>
      <w:r>
        <w:rPr>
          <w:rFonts w:ascii="Arial;sans-serif" w:hAnsi="Arial;sans-serif"/>
          <w:b w:val="false"/>
          <w:color w:val="000000"/>
          <w:sz w:val="20"/>
        </w:rPr>
        <w:t>. For the nine months ended September 30, 2024, net loss was $38.4, as compared to net income of $28.4 in the prior year period, decreasing primarily as a result of lower revenues as discussed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Liquidity and Capital Resources</w:t>
      </w:r>
    </w:p>
    <w:p>
      <w:pPr>
        <w:pStyle w:val="TextBody"/>
        <w:bidi w:val="0"/>
        <w:spacing w:before="0" w:after="0"/>
        <w:jc w:val="both"/>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Overview</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require capital to fund ongoing operations, including maintenance expenditures on our existing fleet and equipment, organic growth initiatives, debt service obligations, investments and acquisitions. Our primary sources of liquidity to date have been capital contributions from our equity and noteholders, borrowings under the Company’s asset-based revolving credit facility, as amended by the ABL Amendment (as defined below) and other amendments (the “ABL Facility”) and cash flows from operations. At September 30, 2024, we had $82.7 of cash and cash equivalents and $43.6 available on the September 2024 ABL Facility Borrowing Base Certificate, which resulted in a liquidity position of $126.3.</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material cash commitments from known contractual and other obligations consist primarily of obligations for long-term debt and related interest as well as leases for property and equipment and purchase obligations as part of normal operations. See below “—ABL Facility” and “—Senior Secured Notes” for information regarding scheduled maturities of our long-term debt. See “Note 8 - Leases” of Item 8 in our 2023 Annual Report on Form 10-K filed with the SEC on March 8, 2024 for information regarding scheduled maturities of our operating and financing leases.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450850"/>
                <wp:effectExtent l="0" t="0" r="0" b="0"/>
                <wp:wrapNone/>
                <wp:docPr id="26" name="Frame26"/>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lineRule="auto" w:line="288" w:before="0" w:after="600"/>
        <w:jc w:val="left"/>
        <w:rPr/>
      </w:pPr>
      <w:hyperlink w:anchor="i3e0f5f4ea8104e0db5d6554c34082d82_7">
        <w:r>
          <w:rPr>
            <w:rStyle w:val="InternetLink"/>
            <w:rFonts w:ascii="Arial;sans-serif" w:hAnsi="Arial;sans-serif"/>
            <w:b w:val="false"/>
            <w:color w:val="0563C1"/>
            <w:sz w:val="20"/>
            <w:u w:val="single"/>
          </w:rPr>
          <w:t>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have taken several actions to continue to improve our liquidity position, including closing our Florida legacy headquarters and relocating all key functions to Houston, eliminating redundancies and duplicative functions throughout our operations following the QES Merger, issuing equity under our ATM Offering, executing debt-for-equity exchanges that have reduced our interest burden and monetizing non-core and obsolete assets. We actively manage our capital spending and are focused primarily on required maintenance spending. Additionally, ongoing volatility in commodity prices and increased inflation continue to affect our financial results. We believe that based on our current forecasts, our cash on hand, together with our operating cash flows, will provide us with the ability to fund our operations, including planned capital expenditures, for the next twelve months.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have substantial indebtedness. As of September 30, 2024, we had total outstanding long-term indebtedness of $285.2 under our ABL Facility and 11.5% senior secured notes due 2025 (the “Senior Secured Notes”) as described in greater detail under “—ABL Facility” and “—Senior Secured Notes” below, including $50.0 in current portion of long-term indebtedness. Our ABL Facility matures on the ABL Maturity Date (as defined below) and our Senior Secured Notes mature on November 1, 2025. Our ability to pay the principal and interest on our long-term debt and to satisfy our other liabilities will depend on our financial condition and future operating performance and our ability to refinance our debt as it becomes due, which in turn will be affected by prevailing economic and political conditions, the level of drilling, completion, production and intervention services activity for North American onshore oil and natural gas resources and related pricing for our services, increasing inflation and government efforts to reduce inflation, the condition of the public and private debt markets and the willingness of capital providers to lend to our industry, and other financial and business factors, many of which are beyond our control.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As of September 30, 2024, we do not have enough cash on hand to redeem the $237.3 principal amount of Senior Secured Notes due November 1, 2025. The Company</w:t>
      </w:r>
      <w:r>
        <w:rPr>
          <w:color w:val="000000"/>
        </w:rPr>
        <w:t xml:space="preserve"> </w:t>
      </w:r>
      <w:r>
        <w:rPr>
          <w:rFonts w:ascii="Arial;sans-serif" w:hAnsi="Arial;sans-serif"/>
          <w:b w:val="false"/>
          <w:color w:val="000000"/>
          <w:sz w:val="20"/>
        </w:rPr>
        <w:t xml:space="preserve">currently plans to satisfy these obligations by refinancing part or all of the Senior Secured Notes, including potentially using in part its cash reserves, seeking additional sources of capital, selling assets or a combination thereof. Any refinancing of our debt may involve the issuance of additional equity or convertible debt securities that could result in dilution to the Company’s stockholders. The Company’s ability to successfully execute these plans is dependent on our financial condition and operating performance, which are subject to prevailing economic and competitive conditions and certain financial, business and other market factors, many of which are beyond the Company’s control. Some of these alternatives may require the consent of current lenders, stockholders or noteholders, and there is no assurance that we will be able to execute any of these alternatives on acceptable terms or at all. In addition, incurring additional debt in excess of our existing outstanding indebtedness would result in increased interest expense and financial leverage.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ABL Facility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entered into a $100.0 ABL Facility on August 10, 2018. The ABL Facility became effective on September 14, 2018 and is scheduled to mature on the ABL Maturity Date in 2025. Borrowings under the ABL Facility bear interest at a rate equal to Term SOFR (as defined in the ABL Facility) plus the Applicable Margin (as defined in the ABL Facility). The ABL Facility is tied to a borrowing base formula and the ABL Facility has no maintenance financial covenants as long as the minimum level of borrowing availability is maintained. The ABL Facility is secured by, among other things, a first priority lien on our accounts receivable and inventory and contains customary conditions precedent to borrowing and affirmative and negative covenants. $50.0 was outstanding under the ABL Facility as of September 30, 2024 and classified as a current liability given the current maturity date. The effective interest rate under the ABL Facility was approximately 7.9% on September 30, 2024.</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June 20, 2023, the Company entered into a Fourth Amendment to the ABL Facility, with certain of its subsidiaries party thereto, as guarantors, with JPMorgan Chase Bank, N.A., as administrative agent, collateral agent and an issuing lender, and the other lenders and issuing lenders party thereto from time to time (the “ABL Amendment”).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450850"/>
                <wp:effectExtent l="0" t="0" r="0" b="0"/>
                <wp:wrapNone/>
                <wp:docPr id="27" name="Frame27"/>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lineRule="auto" w:line="288" w:before="0" w:after="600"/>
        <w:jc w:val="left"/>
        <w:rPr/>
      </w:pPr>
      <w:hyperlink w:anchor="i3e0f5f4ea8104e0db5d6554c34082d82_7">
        <w:r>
          <w:rPr>
            <w:rStyle w:val="InternetLink"/>
            <w:rFonts w:ascii="Arial;sans-serif" w:hAnsi="Arial;sans-serif"/>
            <w:b w:val="false"/>
            <w:color w:val="0563C1"/>
            <w:sz w:val="20"/>
            <w:u w:val="single"/>
          </w:rPr>
          <w:t>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ABL Amendment, among other things, (i) extended the maturity date of the ABL Facility from September 15, 2024 to the earlier of (A) September 15, 2025 or (B) August 1, 2025, if the Company's Senior Secured Notes are still outstanding as of such date (the earlier of the foregoing item (A) or item (B), the “ABL Maturity Date”) and (ii) increased the revolving credit commitment from $100.0 to $120.0. As of September 30, 2024, the balance outstanding under the ABL Facility has been classified as a current liability.</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The ABL Facility includes a springing financial covenant which requires the Company’s consolidated fixed charge coverage ratio (“FCCR”) to be at least 1.0 to 1.0 if availability falls below the greater of $15.0 or 20.0% of the line cap. At all times during the three months ended September 30, 2024, availability exceeded this threshold, and the Company was not subject to this financial covenant. As of September 30, 2024, the FCCR was below 1.0 to 1.0, and the Company was in full compliance with the ABL Facility.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ABL Facility includes financial, operating and negative covenants that limit our ability to incur indebtedness, to create liens or other encumbrances, to make certain payments and investments, including dividend payments, to engage in transactions with affiliates, to engage in sale/leaseback transactions, to guarantee indebtedness and to sell or otherwise dispose of assets and merge or consolidate with other entities. It also includes a covenant to deliver annual audited financial statements that are not qualified by a “going concern” or like qualification or exception. A failure to comply with the obligations contained in the ABL Facility could result in an event of default, which could permit acceleration of the debt, termination of undrawn commitments and enforcement against any liens securing the debt.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Senior Secured Notes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conjunction with the acquisition of Motley in 2018, we issued $250.0 principal amount of the Senior Secured Notes offered pursuant to Rule 144A under the Securities Act of 1933 (as amended, the “Securities Act”) and to certain non-U.S. persons outside the United States in compliance with Regulation S under the Securities Act. On a net basis, after taking into consideration the debt issuance costs for the Senior Secured Notes, total debt related to the Senior Secured Notes as of September 30, 2024 was $235.2. The Senior Secured Notes bear interest at an annual rate of 11.5%, payable semi-annually in arrears on May 1 and November 1 and mature in 2025. Accrued interest related to the Senior Secured Notes was $11.4 as of September 30, 2024.</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indenture contains customary affirmative and negative covenants restricting, among other things, the Company’s ability to incur indebtedness and liens, pay dividends or make other distributions, make certain other restricted payments or investments, sell assets, enter into restrictive agreements, enter into transactions with the Company’s affiliates, and merge or consolidate with other entities or sell substantially all of the Company’s assets.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indenture also contains customary events of default including, among other things, the failure to pay interest for 30 days, failure to pay principal when due, failure to observe or perform any other covenants or agreement in the indenture subject to grace periods, cross-acceleration to indebtedness with an aggregate principal amount in excess of $50.0, material impairment of liens, failure to pay certain material judgments and certain events of bankruptcy.</w:t>
      </w:r>
    </w:p>
    <w:p>
      <w:pPr>
        <w:pStyle w:val="TextBody"/>
        <w:bidi w:val="0"/>
        <w:spacing w:before="0" w:after="0"/>
        <w:jc w:val="both"/>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Indemnities, Commitments and Guarantees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In the normal course of our business, we make certain indemnities, commitments and guarantees under which we may be required to make payments in relation to certain transactions. These indemnities include indemnities to various lessors in connection with facility leases for certain claims arising from such facility or lease and indemnities to other parties to certain acquisition agreements. The duration of these indemnities, commitments and guarantees varies and, in certain cases, is indefinite. Many of these indemnities, commitments and guarantees provide for limitations on the maximum potential future payments we could be obligated to make. However, we are unable to estimate the maximum amount of liability related to our indemnities, commitments and guarantees because such liabilities are contingent upon the occurrence of events that are not reasonably determinable. Our management believes that any liability for these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450850"/>
                <wp:effectExtent l="0" t="0" r="0" b="0"/>
                <wp:wrapNone/>
                <wp:docPr id="28" name="Frame28"/>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lineRule="auto" w:line="288" w:before="0" w:after="600"/>
        <w:jc w:val="left"/>
        <w:rPr/>
      </w:pPr>
      <w:hyperlink w:anchor="i3e0f5f4ea8104e0db5d6554c34082d82_7">
        <w:r>
          <w:rPr>
            <w:rStyle w:val="InternetLink"/>
            <w:rFonts w:ascii="Arial;sans-serif" w:hAnsi="Arial;sans-serif"/>
            <w:b w:val="false"/>
            <w:color w:val="0563C1"/>
            <w:sz w:val="20"/>
            <w:u w:val="single"/>
          </w:rPr>
          <w:t>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indemnities, commitments and guarantees would not be material to our financial statements. Accordingly, no significant amounts have been accrued for indemnities, commitments and guarantees.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have employment agreements with certain key members of management expiring on various dates. Our employment agreements generally provide for certain protections in the event of a change of control. These protections generally include the payment of severance and related benefits under certain circumstances in the event of a change in control.</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Capital Expenditures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capital expenditures were $49.8 during the nine months ended September 30, 2024, compared to $44.3 in the nine months ended September 30, 2023. Based on current industry conditions and our significant investments in capital expenditures over the past several years, we expect to incur between $55.0 and $60.0 in total capital expenditures for the year ending December 31, 2024, out of which approximately 80% is budgeted for maintenance capital spending. The nature of our capital expenditures is comprised of a base level of investment required to support our current operations and amounts related to growth and Company initiatives. Capital expenditures for growth and Company initiatives are discretionary. We continually evaluate our capital expenditures, and the amount we ultimately spend will depend on a number of factors, including expected industry activity levels and Company initiatives.</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i/>
          <w:color w:val="000000"/>
          <w:sz w:val="20"/>
        </w:rPr>
      </w:pPr>
      <w:r>
        <w:rPr>
          <w:rFonts w:ascii="Arial;sans-serif" w:hAnsi="Arial;sans-serif"/>
          <w:b w:val="false"/>
          <w:i/>
          <w:color w:val="000000"/>
          <w:sz w:val="20"/>
        </w:rPr>
        <w:t>Equity Distribution Agreement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June 14, 2021, the Company entered into an Equity Distribution Agreement (as amended from time to time, the “Equity Distribution Agreement”) with Piper Sandler &amp; Co. as sales agent (the “Agent”). Pursuant to the terms of the Equity Distribution Agreement, the Company may sell from time to time through the Agent (the “ATM Offering”) the Company’s Common Stock, having an aggregate offering price of up to $50.0. On November 16, 2022, the Company entered into Amendment No. 1 to the Equity Distribution Agreement (the “EDA Amendment”). Among other things, the EDA Amendment allows for debt-for-equity exchanges in accordance with Section 3(a)(9) of the Securities Act. Under the terms of the Equity Distribution Agreement, the Company will pay the Agent a commission equal to 3.0% of the gross sales price of the Common Stock sold.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Shares of Common Stock offered and sold in the ATM Offering were issued pursuant to the Company’s shelf registration statement on Form S-3 (Registration No. 333-256149) filed with the SEC on May 14, 2021 and declared effective on June 11, 2021 (the “Registration Statement”), the prospectus supplement relating to the ATM Offering filed with the SEC on June 14, 2021 and any applicable additional prospectus supplements related to the ATM Offering that form a part of the Registration Statement. The Registration Statement expired on June 11, 2024 pursuant to Rule 415(a)(5) under the Securities Act. Sales under the ATM Offering program may restart when and if the Company files a prospectus supplement under a successor registration statement.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used the net proceeds from the ATM Offering, after deducting the Agent’s commissions and the Company’s offering expenses, for general corporate purposes, which included funding acquisitions, capital expenditures and working capital.</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During the three and nine months ended September 30, 2024, the Company did not sell any shares of Common Stock and incurred legal and administrative fees of $— and $0.2, respectively.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During the three and nine months ended September 30, 2023, the Company did not sell any shares of Common Stock and incurred legal and administrative fees of $0.3 and $0.4, respectively.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Cash Flows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Our cash flows provided by operating activities for the nine months ended September 30, 2024 were approximately $28.2 as compared to approximately $77.0 provided by operating activities for the nine months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450850"/>
                <wp:effectExtent l="0" t="0" r="0" b="0"/>
                <wp:wrapNone/>
                <wp:docPr id="29" name="Frame29"/>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lineRule="auto" w:line="288" w:before="0" w:after="600"/>
        <w:jc w:val="left"/>
        <w:rPr/>
      </w:pPr>
      <w:hyperlink w:anchor="i3e0f5f4ea8104e0db5d6554c34082d82_7">
        <w:r>
          <w:rPr>
            <w:rStyle w:val="InternetLink"/>
            <w:rFonts w:ascii="Arial;sans-serif" w:hAnsi="Arial;sans-serif"/>
            <w:b w:val="false"/>
            <w:color w:val="0563C1"/>
            <w:sz w:val="20"/>
            <w:u w:val="single"/>
          </w:rPr>
          <w:t>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ended September 30, 2023. Our operating cash flows are sensitive to many variables, the most significant of which are utilization and profitability, the timing of billing and customer collections, payments to our vendors, repair and maintenance costs and personnel, any of which may affect our available cash. Additionally, should our customers experience financial distress for any reason, they could default on their payments owed to us, which would affect our cash flows and liquidity.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At September 30, 2024, we had $82.7 of cash and cash equivalents. Cash on hand at September 30, 2024 decreased by $29.8, as a result of $28.2 of cash flows provided by operating activities, $40.6 of cash flows used in investing activities and $17.4 used in financing activities. Our liquidity requirements consist of working capital needs, debt service obligations and ongoing capital expenditure requirements. Our primary requirements for working capital are directly related to the activity level of our operations.</w:t>
      </w:r>
    </w:p>
    <w:p>
      <w:pPr>
        <w:pStyle w:val="TextBody"/>
        <w:bidi w:val="0"/>
        <w:spacing w:before="0" w:after="0"/>
        <w:jc w:val="both"/>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table sets forth our cash flows for the periods presented below:</w:t>
      </w:r>
    </w:p>
    <w:tbl>
      <w:tblPr>
        <w:tblW w:w="9443" w:type="dxa"/>
        <w:jc w:val="left"/>
        <w:tblInd w:w="0" w:type="dxa"/>
        <w:tblLayout w:type="fixed"/>
        <w:tblCellMar>
          <w:top w:w="28" w:type="dxa"/>
          <w:left w:w="28" w:type="dxa"/>
          <w:bottom w:w="28" w:type="dxa"/>
          <w:right w:w="28" w:type="dxa"/>
        </w:tblCellMar>
      </w:tblPr>
      <w:tblGrid>
        <w:gridCol w:w="1620"/>
        <w:gridCol w:w="1420"/>
        <w:gridCol w:w="1430"/>
        <w:gridCol w:w="109"/>
        <w:gridCol w:w="109"/>
        <w:gridCol w:w="109"/>
        <w:gridCol w:w="470"/>
        <w:gridCol w:w="1206"/>
        <w:gridCol w:w="243"/>
        <w:gridCol w:w="109"/>
        <w:gridCol w:w="109"/>
        <w:gridCol w:w="109"/>
        <w:gridCol w:w="470"/>
        <w:gridCol w:w="1206"/>
        <w:gridCol w:w="243"/>
        <w:gridCol w:w="109"/>
        <w:gridCol w:w="109"/>
        <w:gridCol w:w="109"/>
        <w:gridCol w:w="154"/>
      </w:tblGrid>
      <w:tr>
        <w:trPr/>
        <w:tc>
          <w:tcPr>
            <w:tcW w:w="1620"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Nine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Net cash flows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28.2 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77.0 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Net cash flows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(40.6)</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(29.9)</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Net cash flows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change in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(29.8)</w:t>
            </w:r>
          </w:p>
        </w:tc>
        <w:tc>
          <w:tcPr>
            <w:tcW w:w="24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33.0 </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balance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82.7 </w:t>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90.4 </w:t>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Net cash provided by operating activities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Net cash provided by operating activities was $28.2 for the nine months ended September 30, 2024, as compared to net cash provided by operating activities of $77.0 for the nine months ended September 30, 2023. The lower operating cash flows were attributable to the change from a net income to a net loss position, partially offset by higher depreciation and amortization in 2024.</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Net cash used in investing activities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Net cash used in investing activities was $40.6 for the nine months ended September 30, 2024, as compared to net cash used in investing activities of $29.9 for the nine months ended September 30, 2023. The cash flows used in investing activities for the nine months ended September 30, 2024 were primarily driven by maintenance capital spending tied to the operation of our existing asset base offset by sales of property and equipment.</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Net cash used in financing activities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Net cash used in financing activities was $17.4 for the nine months ended September 30, 2024, compared to net cash used in financing activities of $14.1 for the nine months ended September 30, 2023. During the nine months ended September 30, 2024, there were no additional borrowings under our ABL Facility and no sales under our ATM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Critical Accounting Estimates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discussion and analysis of our financial condition and results of operations are based upon our condensed consolidated financial statements, which have been prepared in accordance with GAAP. The preparation of our financial statements requires us to make estimates and assumptions that affect the reported amounts of assets, liabilities, revenues and expenses and related disclosure of contingent assets and liabilities. Certain accounting policies involve judgments and uncertainties to such an extent that there is a reasonable likelihood that materially different amounts could have been reported under different conditions, or if different assumptions had been used. We evaluate our estimates and assumptions on a regular basis.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450850"/>
                <wp:effectExtent l="0" t="0" r="0" b="0"/>
                <wp:wrapNone/>
                <wp:docPr id="30" name="Frame30"/>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lineRule="auto" w:line="288" w:before="0" w:after="600"/>
        <w:jc w:val="left"/>
        <w:rPr/>
      </w:pPr>
      <w:hyperlink w:anchor="i3e0f5f4ea8104e0db5d6554c34082d82_7">
        <w:r>
          <w:rPr>
            <w:rStyle w:val="InternetLink"/>
            <w:rFonts w:ascii="Arial;sans-serif" w:hAnsi="Arial;sans-serif"/>
            <w:b w:val="false"/>
            <w:color w:val="0563C1"/>
            <w:sz w:val="20"/>
            <w:u w:val="single"/>
          </w:rPr>
          <w:t>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base our estimates on historical experience and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and assumptions used in preparation of our financial statements. We believe that our critical accounting policies are limited to those described in the Critical Accounting Estimates section of Management’s Discussion and Analysis of Financial Condition and Results of Operations included in our 2023 Annual Report on Form 10-K filed with the SEC on March 8, 2024.</w:t>
      </w:r>
    </w:p>
    <w:p>
      <w:pPr>
        <w:pStyle w:val="TextBody"/>
        <w:bidi w:val="0"/>
        <w:spacing w:before="0" w:after="0"/>
        <w:jc w:val="both"/>
        <w:rPr/>
      </w:pPr>
      <w:r>
        <w:rPr/>
      </w:r>
    </w:p>
    <w:p>
      <w:pPr>
        <w:pStyle w:val="TextBody"/>
        <w:bidi w:val="0"/>
        <w:spacing w:lineRule="auto" w:line="268" w:before="0" w:after="0"/>
        <w:jc w:val="left"/>
        <w:rPr>
          <w:rFonts w:ascii="Arial;sans-serif" w:hAnsi="Arial;sans-serif"/>
          <w:b/>
          <w:color w:val="000000"/>
          <w:sz w:val="20"/>
        </w:rPr>
      </w:pPr>
      <w:r>
        <w:rPr>
          <w:rFonts w:ascii="Arial;sans-serif" w:hAnsi="Arial;sans-serif"/>
          <w:b/>
          <w:color w:val="000000"/>
          <w:sz w:val="20"/>
        </w:rPr>
        <w:t>Recent Accounting Pronouncements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continue to evaluate any recently issued accounting pronouncements for future adoption. See Note 2 - Recent Accounting Pronouncements above for upcoming adoptions of new accounting pronouncements.</w:t>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How We Evaluate Our Operations</w:t>
      </w:r>
    </w:p>
    <w:p>
      <w:pPr>
        <w:pStyle w:val="TextBody"/>
        <w:bidi w:val="0"/>
        <w:spacing w:before="0" w:after="0"/>
        <w:jc w:val="left"/>
        <w:rPr/>
      </w:pPr>
      <w:r>
        <w:rPr/>
      </w: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Key Financial Performance Indicators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recognize the highly cyclical nature of our business and the need for metrics to (1) best measure the trends in our operations and (2) provide baselines and targets to assess the performance of our managers.</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The measures we believe most effective to achieve the above stated goals include:</w:t>
      </w:r>
    </w:p>
    <w:p>
      <w:pPr>
        <w:pStyle w:val="TextBody"/>
        <w:bidi w:val="0"/>
        <w:spacing w:before="0" w:after="0"/>
        <w:ind w:left="0" w:right="0" w:firstLine="720"/>
        <w:jc w:val="both"/>
        <w:rPr/>
      </w:pPr>
      <w:r>
        <w:rPr/>
      </w:r>
    </w:p>
    <w:p>
      <w:pPr>
        <w:pStyle w:val="TextBody"/>
        <w:bidi w:val="0"/>
        <w:spacing w:lineRule="auto" w:line="288" w:before="0" w:after="120"/>
        <w:ind w:left="0" w:right="0" w:hanging="360"/>
        <w:jc w:val="both"/>
        <w:rPr/>
      </w:pPr>
      <w:r>
        <w:rPr>
          <w:color w:val="000000"/>
        </w:rPr>
        <w:t>•</w:t>
      </w:r>
      <w:r>
        <w:rPr>
          <w:rFonts w:ascii="Arial;sans-serif" w:hAnsi="Arial;sans-serif"/>
          <w:b w:val="false"/>
          <w:i/>
          <w:color w:val="000000"/>
          <w:sz w:val="20"/>
        </w:rPr>
        <w:t>Revenue</w:t>
      </w:r>
    </w:p>
    <w:p>
      <w:pPr>
        <w:pStyle w:val="TextBody"/>
        <w:bidi w:val="0"/>
        <w:spacing w:lineRule="auto" w:line="288" w:before="0" w:after="120"/>
        <w:ind w:left="0" w:right="0" w:hanging="360"/>
        <w:jc w:val="both"/>
        <w:rPr/>
      </w:pPr>
      <w:r>
        <w:rPr>
          <w:color w:val="000000"/>
        </w:rPr>
        <w:t>•</w:t>
      </w:r>
      <w:r>
        <w:rPr>
          <w:rFonts w:ascii="Arial;sans-serif" w:hAnsi="Arial;sans-serif"/>
          <w:b w:val="false"/>
          <w:i/>
          <w:color w:val="000000"/>
          <w:sz w:val="20"/>
        </w:rPr>
        <w:t>Operating income</w:t>
      </w:r>
    </w:p>
    <w:p>
      <w:pPr>
        <w:pStyle w:val="TextBody"/>
        <w:bidi w:val="0"/>
        <w:spacing w:lineRule="auto" w:line="288" w:before="0" w:after="120"/>
        <w:ind w:left="0" w:right="0" w:hanging="360"/>
        <w:jc w:val="both"/>
        <w:rPr/>
      </w:pPr>
      <w:r>
        <w:rPr>
          <w:color w:val="000000"/>
        </w:rPr>
        <w:t>•</w:t>
      </w:r>
      <w:r>
        <w:rPr>
          <w:rFonts w:ascii="Arial;sans-serif" w:hAnsi="Arial;sans-serif"/>
          <w:b w:val="false"/>
          <w:i/>
          <w:color w:val="000000"/>
          <w:sz w:val="20"/>
        </w:rPr>
        <w:t>Adjusted Earnings before interest, taxes, depreciation and amortization (</w:t>
      </w:r>
      <w:r>
        <w:rPr>
          <w:color w:val="000000"/>
        </w:rPr>
        <w:t>“</w:t>
      </w:r>
      <w:r>
        <w:rPr>
          <w:rFonts w:ascii="Arial;sans-serif" w:hAnsi="Arial;sans-serif"/>
          <w:b w:val="false"/>
          <w:color w:val="000000"/>
          <w:sz w:val="20"/>
        </w:rPr>
        <w:t>Adjusted EBITDA”</w:t>
      </w:r>
      <w:r>
        <w:rPr>
          <w:rFonts w:ascii="Arial;sans-serif" w:hAnsi="Arial;sans-serif"/>
          <w:b w:val="false"/>
          <w:i/>
          <w:color w:val="000000"/>
          <w:sz w:val="20"/>
        </w:rPr>
        <w:t>)</w:t>
      </w:r>
      <w:r>
        <w:rPr>
          <w:rFonts w:ascii="Arial;sans-serif" w:hAnsi="Arial;sans-serif"/>
          <w:b w:val="false"/>
          <w:color w:val="000000"/>
          <w:sz w:val="20"/>
        </w:rPr>
        <w:t>: Adjusted EBITDA is a supplemental non-GAAP financial measure that is used by management and external users of our financial statements, such as industry analysts, investors, lenders and rating agencies. Adjusted EBITDA is not a measure of net earnings or cash flows as determined by GAAP. We define Adjusted EBITDA as net earnings (loss) before interest, taxes, depreciation and amortization, further adjusted for (i) goodwill and/or long-lived asset impairment charges, (ii) stock-based compensation expense, (iii) restructuring charges, (iv) transaction and integration costs related to acquisitions and (v) other expenses or charges to exclude certain items that we believe are not reflective of ongoing performance of our business.</w:t>
      </w:r>
    </w:p>
    <w:p>
      <w:pPr>
        <w:pStyle w:val="TextBody"/>
        <w:bidi w:val="0"/>
        <w:spacing w:lineRule="auto" w:line="288" w:before="0" w:after="120"/>
        <w:ind w:left="0" w:right="0" w:hanging="360"/>
        <w:jc w:val="both"/>
        <w:rPr/>
      </w:pPr>
      <w:r>
        <w:rPr>
          <w:color w:val="000000"/>
        </w:rPr>
        <w:t>•</w:t>
      </w:r>
      <w:r>
        <w:rPr>
          <w:rFonts w:ascii="Arial;sans-serif" w:hAnsi="Arial;sans-serif"/>
          <w:b w:val="false"/>
          <w:i/>
          <w:color w:val="000000"/>
          <w:sz w:val="20"/>
        </w:rPr>
        <w:t xml:space="preserve">Adjusted EBITDA Margin: </w:t>
      </w:r>
      <w:r>
        <w:rPr>
          <w:rFonts w:ascii="Arial;sans-serif" w:hAnsi="Arial;sans-serif"/>
          <w:b w:val="false"/>
          <w:color w:val="000000"/>
          <w:sz w:val="20"/>
        </w:rPr>
        <w:t>Adjusted EBITDA Margin is defined as Adjusted EBITDA, as defined above, as a percentage of revenue.</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believe Adjusted EBITDA is useful because it allows us to supplement the GAAP measures in order to evaluate our operating performance and compare the results of our operations from period to period without regard to our financing methods or capital structure. We exclude the items listed above in arriving at Adjusted EBITDA (Loss) because these amounts can vary substantially from company to company within our industry depending upon accounting methods, book values of assets, capital structures and the method by which the assets were acquired. Adjusted EBITDA should not be considered as an alternative to, or more meaningful than, net (loss) earnings as determined in accordance with GAAP, or as an indicator of our operating performance or liquidity. Certain items excluded from Adjusted EBITDA are significant components in understanding and assessing a company’s financial performance, such as a company’s cost of capital and tax structure, as well as the historic costs of depreciable assets, none of which are components of Adjusted EBITDA. Our computations of Adjusted EBITDA may not be comparable to other similarly titled measures of other companies.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7918" w:type="dxa"/>
        <w:jc w:val="center"/>
        <w:tblInd w:w="0" w:type="dxa"/>
        <w:tblLayout w:type="fixed"/>
        <w:tblCellMar>
          <w:top w:w="28" w:type="dxa"/>
          <w:left w:w="28" w:type="dxa"/>
          <w:bottom w:w="28" w:type="dxa"/>
          <w:right w:w="28" w:type="dxa"/>
        </w:tblCellMar>
      </w:tblPr>
      <w:tblGrid>
        <w:gridCol w:w="319"/>
        <w:gridCol w:w="281"/>
        <w:gridCol w:w="284"/>
        <w:gridCol w:w="2060"/>
        <w:gridCol w:w="2060"/>
        <w:gridCol w:w="2914"/>
      </w:tblGrid>
      <w:tr>
        <w:trPr/>
        <w:tc>
          <w:tcPr>
            <w:tcW w:w="31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060" w:type="dxa"/>
            <w:tcBorders/>
            <w:vAlign w:val="center"/>
          </w:tcPr>
          <w:p>
            <w:pPr>
              <w:pStyle w:val="TableContents"/>
              <w:bidi w:val="0"/>
              <w:spacing w:before="0" w:after="283"/>
              <w:jc w:val="left"/>
              <w:rPr>
                <w:sz w:val="4"/>
                <w:szCs w:val="4"/>
              </w:rPr>
            </w:pPr>
            <w:r>
              <w:rPr>
                <w:sz w:val="4"/>
                <w:szCs w:val="4"/>
              </w:rPr>
            </w:r>
          </w:p>
        </w:tc>
        <w:tc>
          <w:tcPr>
            <w:tcW w:w="2060" w:type="dxa"/>
            <w:tcBorders/>
            <w:vAlign w:val="center"/>
          </w:tcPr>
          <w:p>
            <w:pPr>
              <w:pStyle w:val="TableContents"/>
              <w:bidi w:val="0"/>
              <w:spacing w:before="0" w:after="283"/>
              <w:jc w:val="left"/>
              <w:rPr>
                <w:sz w:val="4"/>
                <w:szCs w:val="4"/>
              </w:rPr>
            </w:pPr>
            <w:r>
              <w:rPr>
                <w:sz w:val="4"/>
                <w:szCs w:val="4"/>
              </w:rPr>
            </w:r>
          </w:p>
        </w:tc>
        <w:tc>
          <w:tcPr>
            <w:tcW w:w="2914" w:type="dxa"/>
            <w:tcBorders/>
            <w:vAlign w:val="center"/>
          </w:tcPr>
          <w:p>
            <w:pPr>
              <w:pStyle w:val="TableContents"/>
              <w:bidi w:val="0"/>
              <w:spacing w:before="0" w:after="283"/>
              <w:jc w:val="left"/>
              <w:rPr>
                <w:sz w:val="4"/>
                <w:szCs w:val="4"/>
              </w:rPr>
            </w:pPr>
            <w:r>
              <w:rPr>
                <w:sz w:val="4"/>
                <w:szCs w:val="4"/>
              </w:rPr>
            </w:r>
          </w:p>
        </w:tc>
      </w:tr>
      <w:tr>
        <w:trPr/>
        <w:tc>
          <w:tcPr>
            <w:tcW w:w="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ITEM 3. </w:t>
            </w:r>
          </w:p>
        </w:tc>
        <w:tc>
          <w:tcPr>
            <w:tcW w:w="7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QUANTITATIVE AND QUALITATIVE DISCLOSURES ABOUT MARKET RISK</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As a smaller reporting company, we are not required to provide the information required by Item 305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450850"/>
                <wp:effectExtent l="0" t="0" r="0" b="0"/>
                <wp:wrapNone/>
                <wp:docPr id="31" name="Frame31"/>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lineRule="auto" w:line="288" w:before="0" w:after="600"/>
        <w:jc w:val="left"/>
        <w:rPr/>
      </w:pPr>
      <w:hyperlink w:anchor="i3e0f5f4ea8104e0db5d6554c34082d82_7">
        <w:r>
          <w:rPr>
            <w:rStyle w:val="InternetLink"/>
            <w:rFonts w:ascii="Arial;sans-serif" w:hAnsi="Arial;sans-serif"/>
            <w:b w:val="false"/>
            <w:color w:val="0563C1"/>
            <w:sz w:val="20"/>
            <w:u w:val="single"/>
          </w:rPr>
          <w:t>Table of Contents</w:t>
        </w:r>
      </w:hyperlink>
    </w:p>
    <w:tbl>
      <w:tblPr>
        <w:tblW w:w="4005" w:type="dxa"/>
        <w:jc w:val="center"/>
        <w:tblInd w:w="0" w:type="dxa"/>
        <w:tblLayout w:type="fixed"/>
        <w:tblCellMar>
          <w:top w:w="28" w:type="dxa"/>
          <w:left w:w="28" w:type="dxa"/>
          <w:bottom w:w="28" w:type="dxa"/>
          <w:right w:w="28" w:type="dxa"/>
        </w:tblCellMar>
      </w:tblPr>
      <w:tblGrid>
        <w:gridCol w:w="320"/>
        <w:gridCol w:w="282"/>
        <w:gridCol w:w="283"/>
        <w:gridCol w:w="914"/>
        <w:gridCol w:w="914"/>
        <w:gridCol w:w="1292"/>
      </w:tblGrid>
      <w:tr>
        <w:trPr/>
        <w:tc>
          <w:tcPr>
            <w:tcW w:w="32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r>
      <w:tr>
        <w:trPr/>
        <w:tc>
          <w:tcPr>
            <w:tcW w:w="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ITEM 4. </w:t>
            </w:r>
          </w:p>
        </w:tc>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CONTROLS AND PROCEDURES</w:t>
            </w:r>
          </w:p>
        </w:tc>
      </w:tr>
    </w:tbl>
    <w:p>
      <w:pPr>
        <w:pStyle w:val="TextBody"/>
        <w:bidi w:val="0"/>
        <w:spacing w:before="0" w:after="0"/>
        <w:ind w:left="0" w:right="0" w:hanging="405"/>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Evaluation of Disclosure Controls and Procedures</w:t>
      </w:r>
    </w:p>
    <w:p>
      <w:pPr>
        <w:pStyle w:val="TextBody"/>
        <w:bidi w:val="0"/>
        <w:spacing w:before="0" w:after="0"/>
        <w:ind w:left="0" w:right="0" w:hanging="405"/>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have established disclosure controls and procedures that are designed to ensure that the information required to be disclosed by the Company in the reports that it files or submits under the Securities Exchange Act of 1934, (as amended, the “Exchange Act”) is recorded, processed, summarized and reported within the time periods specified in the SEC’s rules and forms. Disclosure controls and procedures include, without limitation, controls and procedures designed to provide reasonable assurance that information required to be disclosed by the Company in the reports that it files or submits under the Exchange Act is accumulated and communicated to the Company’s management, including its principal executive and principal financial officers (who are our Chief Executive Officer and Chief Financial Officer, respectively), or persons performing similar functions, as appropriate to allow timely decisions regarding required disclosure. In designing and evaluating our disclosure controls and procedures, management recognized that disclosure controls and procedures can provide only reasonable, not absolute, assurance that the objectives of the disclosure controls and procedures are met.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connection with the preparation of this Quarterly Report for the quarter ended September 30, 2024, an evaluation was performed under the supervision of and with the participation of management, including the Chief Executive Officer and Chief Financial Officer, of the effectiveness of the Company’s disclosure controls and procedures. Based on that evaluation, the Chief Executive Officer and Chief Financial Officer have concluded that its disclosure controls and procedures were effective as of September 30, 2024.</w:t>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Changes in Internal Control over Financial Reporting</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There have been no changes in our internal control over financial reporting during the period covered by this Quarterly Report on Form 10-Q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134" w:type="dxa"/>
        <w:jc w:val="center"/>
        <w:tblInd w:w="0" w:type="dxa"/>
        <w:tblLayout w:type="fixed"/>
        <w:tblCellMar>
          <w:top w:w="28" w:type="dxa"/>
          <w:left w:w="28" w:type="dxa"/>
          <w:bottom w:w="28" w:type="dxa"/>
          <w:right w:w="28" w:type="dxa"/>
        </w:tblCellMar>
      </w:tblPr>
      <w:tblGrid>
        <w:gridCol w:w="298"/>
        <w:gridCol w:w="262"/>
        <w:gridCol w:w="265"/>
        <w:gridCol w:w="676"/>
        <w:gridCol w:w="676"/>
        <w:gridCol w:w="957"/>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r>
      <w:tr>
        <w:trPr/>
        <w:tc>
          <w:tcPr>
            <w:tcW w:w="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1.</w:t>
            </w:r>
          </w:p>
        </w:tc>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LEGAL PROCEEDINGS</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is at times either a plaintiff or a defendant in various legal actions arising in the normal course of business, the outcomes of which, in the opinion of management, neither individually nor in the aggregate are likely to result in a material adverse effect on the Company’s financial condition, cash flows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564" w:type="dxa"/>
        <w:jc w:val="left"/>
        <w:tblInd w:w="0" w:type="dxa"/>
        <w:tblLayout w:type="fixed"/>
        <w:tblCellMar>
          <w:top w:w="28" w:type="dxa"/>
          <w:left w:w="28" w:type="dxa"/>
          <w:bottom w:w="28" w:type="dxa"/>
          <w:right w:w="28" w:type="dxa"/>
        </w:tblCellMar>
      </w:tblPr>
      <w:tblGrid>
        <w:gridCol w:w="346"/>
        <w:gridCol w:w="305"/>
        <w:gridCol w:w="308"/>
        <w:gridCol w:w="469"/>
        <w:gridCol w:w="469"/>
        <w:gridCol w:w="667"/>
      </w:tblGrid>
      <w:tr>
        <w:trPr/>
        <w:tc>
          <w:tcPr>
            <w:tcW w:w="3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r>
      <w:tr>
        <w:trPr/>
        <w:tc>
          <w:tcPr>
            <w:tcW w:w="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1A.</w:t>
            </w:r>
          </w:p>
        </w:tc>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RISK FACTORS</w:t>
            </w:r>
          </w:p>
        </w:tc>
      </w:tr>
    </w:tbl>
    <w:p>
      <w:pPr>
        <w:pStyle w:val="TextBody"/>
        <w:bidi w:val="0"/>
        <w:spacing w:before="0" w:after="0"/>
        <w:jc w:val="both"/>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addition to the information set forth in this Quarterly Report, you should carefully consider the risk factors previously described in Part I, Item IA. “Risk Factors” in our Annual Report on Form 10-K for the year ended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024" w:type="dxa"/>
        <w:jc w:val="center"/>
        <w:tblInd w:w="0" w:type="dxa"/>
        <w:tblLayout w:type="fixed"/>
        <w:tblCellMar>
          <w:top w:w="28" w:type="dxa"/>
          <w:left w:w="28" w:type="dxa"/>
          <w:bottom w:w="28" w:type="dxa"/>
          <w:right w:w="28" w:type="dxa"/>
        </w:tblCellMar>
      </w:tblPr>
      <w:tblGrid>
        <w:gridCol w:w="298"/>
        <w:gridCol w:w="262"/>
        <w:gridCol w:w="265"/>
        <w:gridCol w:w="2105"/>
        <w:gridCol w:w="2105"/>
        <w:gridCol w:w="2989"/>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105" w:type="dxa"/>
            <w:tcBorders/>
            <w:vAlign w:val="center"/>
          </w:tcPr>
          <w:p>
            <w:pPr>
              <w:pStyle w:val="TableContents"/>
              <w:bidi w:val="0"/>
              <w:spacing w:before="0" w:after="283"/>
              <w:jc w:val="left"/>
              <w:rPr>
                <w:sz w:val="4"/>
                <w:szCs w:val="4"/>
              </w:rPr>
            </w:pPr>
            <w:r>
              <w:rPr>
                <w:sz w:val="4"/>
                <w:szCs w:val="4"/>
              </w:rPr>
            </w:r>
          </w:p>
        </w:tc>
        <w:tc>
          <w:tcPr>
            <w:tcW w:w="2105" w:type="dxa"/>
            <w:tcBorders/>
            <w:vAlign w:val="center"/>
          </w:tcPr>
          <w:p>
            <w:pPr>
              <w:pStyle w:val="TableContents"/>
              <w:bidi w:val="0"/>
              <w:spacing w:before="0" w:after="283"/>
              <w:jc w:val="left"/>
              <w:rPr>
                <w:sz w:val="4"/>
                <w:szCs w:val="4"/>
              </w:rPr>
            </w:pPr>
            <w:r>
              <w:rPr>
                <w:sz w:val="4"/>
                <w:szCs w:val="4"/>
              </w:rPr>
            </w:r>
          </w:p>
        </w:tc>
        <w:tc>
          <w:tcPr>
            <w:tcW w:w="2989" w:type="dxa"/>
            <w:tcBorders/>
            <w:vAlign w:val="center"/>
          </w:tcPr>
          <w:p>
            <w:pPr>
              <w:pStyle w:val="TableContents"/>
              <w:bidi w:val="0"/>
              <w:spacing w:before="0" w:after="283"/>
              <w:jc w:val="left"/>
              <w:rPr>
                <w:sz w:val="4"/>
                <w:szCs w:val="4"/>
              </w:rPr>
            </w:pPr>
            <w:r>
              <w:rPr>
                <w:sz w:val="4"/>
                <w:szCs w:val="4"/>
              </w:rPr>
            </w:r>
          </w:p>
        </w:tc>
      </w:tr>
      <w:tr>
        <w:trPr/>
        <w:tc>
          <w:tcPr>
            <w:tcW w:w="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2.</w:t>
            </w:r>
          </w:p>
        </w:tc>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UNREGISTERED SALES OF EQUITY SECURITIES AND USE OF PROCEEDS</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Purchases of Equity Securities by the Issuer and Affiliated Purchasers </w:t>
      </w:r>
    </w:p>
    <w:p>
      <w:pPr>
        <w:pStyle w:val="TextBody"/>
        <w:bidi w:val="0"/>
        <w:spacing w:before="0" w:after="0"/>
        <w:ind w:left="0" w:right="0" w:firstLine="720"/>
        <w:jc w:val="both"/>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table presents the total number of shares of our Common Stock that we repurchased during the three months ended September 30, 2024:</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450850"/>
                <wp:effectExtent l="0" t="0" r="0" b="0"/>
                <wp:wrapNone/>
                <wp:docPr id="32" name="Frame32"/>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lineRule="auto" w:line="288" w:before="0" w:after="600"/>
        <w:jc w:val="left"/>
        <w:rPr/>
      </w:pPr>
      <w:hyperlink w:anchor="i3e0f5f4ea8104e0db5d6554c34082d82_7">
        <w:r>
          <w:rPr>
            <w:rStyle w:val="InternetLink"/>
            <w:rFonts w:ascii="Arial;sans-serif" w:hAnsi="Arial;sans-serif"/>
            <w:b w:val="false"/>
            <w:color w:val="0563C1"/>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804"/>
        <w:gridCol w:w="387"/>
        <w:gridCol w:w="389"/>
        <w:gridCol w:w="491"/>
        <w:gridCol w:w="491"/>
        <w:gridCol w:w="492"/>
        <w:gridCol w:w="109"/>
        <w:gridCol w:w="109"/>
        <w:gridCol w:w="109"/>
        <w:gridCol w:w="350"/>
        <w:gridCol w:w="674"/>
        <w:gridCol w:w="182"/>
        <w:gridCol w:w="109"/>
        <w:gridCol w:w="109"/>
        <w:gridCol w:w="109"/>
        <w:gridCol w:w="754"/>
        <w:gridCol w:w="754"/>
        <w:gridCol w:w="756"/>
        <w:gridCol w:w="109"/>
        <w:gridCol w:w="109"/>
        <w:gridCol w:w="109"/>
        <w:gridCol w:w="393"/>
        <w:gridCol w:w="2015"/>
        <w:gridCol w:w="292"/>
      </w:tblGrid>
      <w:tr>
        <w:trPr/>
        <w:tc>
          <w:tcPr>
            <w:tcW w:w="804"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2015"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r>
      <w:tr>
        <w:trPr/>
        <w:tc>
          <w:tcPr>
            <w:tcW w:w="1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Period</w:t>
            </w:r>
          </w:p>
        </w:tc>
        <w:tc>
          <w:tcPr>
            <w:tcW w:w="14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Total number of shares purchased</w:t>
            </w:r>
            <w:r>
              <w:rPr>
                <w:rFonts w:ascii="Arial;sans-serif" w:hAnsi="Arial;sans-serif"/>
                <w:b/>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Average price paid per share</w:t>
            </w:r>
            <w:r>
              <w:rPr>
                <w:rFonts w:ascii="Arial;sans-serif" w:hAnsi="Arial;sans-serif"/>
                <w:b/>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Total number of shares purchased as part of publicly announced plans or programs</w:t>
            </w:r>
            <w:r>
              <w:rPr>
                <w:rFonts w:ascii="Arial;sans-serif" w:hAnsi="Arial;sans-serif"/>
                <w:b/>
                <w:color w:val="000000"/>
                <w:sz w:val="12"/>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Approximate dollar value of shares that may yet be purchased under the plans or programs</w:t>
            </w:r>
          </w:p>
        </w:tc>
      </w:tr>
      <w:tr>
        <w:trPr/>
        <w:tc>
          <w:tcPr>
            <w:tcW w:w="1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July 1, 2024 - July 31, 2024</w:t>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0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48,859,603 </w:t>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August 1, 2024 - August 31, 2024</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0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48,859,603 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September 1, 2024 - September 30, 2024</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0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48,859,603 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98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7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(1) Includes shares purchased from employees in connection with the settlement of income tax and related benefit withholding obligations arising from vesting of restricted stock grants under the Company’s Amended and Restated LTIP.</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(2) The average price paid per share of Common Stock repurchased includes commissions paid to the brokers.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(3) In August 2019, our Board authorized a share repurchase program for the repurchase of outstanding shares of the Company’s Common Stock having an aggregate purchase price up to $50.</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679" w:type="dxa"/>
        <w:jc w:val="left"/>
        <w:tblInd w:w="0" w:type="dxa"/>
        <w:tblLayout w:type="fixed"/>
        <w:tblCellMar>
          <w:top w:w="28" w:type="dxa"/>
          <w:left w:w="28" w:type="dxa"/>
          <w:bottom w:w="28" w:type="dxa"/>
          <w:right w:w="28" w:type="dxa"/>
        </w:tblCellMar>
      </w:tblPr>
      <w:tblGrid>
        <w:gridCol w:w="298"/>
        <w:gridCol w:w="262"/>
        <w:gridCol w:w="265"/>
        <w:gridCol w:w="1128"/>
        <w:gridCol w:w="1128"/>
        <w:gridCol w:w="1598"/>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r>
      <w:tr>
        <w:trPr/>
        <w:tc>
          <w:tcPr>
            <w:tcW w:w="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3.</w:t>
            </w:r>
          </w:p>
        </w:tc>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DEFAULTS UPON SENIOR SECURITIES</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839" w:type="dxa"/>
        <w:jc w:val="left"/>
        <w:tblInd w:w="0" w:type="dxa"/>
        <w:tblLayout w:type="fixed"/>
        <w:tblCellMar>
          <w:top w:w="28" w:type="dxa"/>
          <w:left w:w="28" w:type="dxa"/>
          <w:bottom w:w="28" w:type="dxa"/>
          <w:right w:w="28" w:type="dxa"/>
        </w:tblCellMar>
      </w:tblPr>
      <w:tblGrid>
        <w:gridCol w:w="319"/>
        <w:gridCol w:w="281"/>
        <w:gridCol w:w="284"/>
        <w:gridCol w:w="865"/>
        <w:gridCol w:w="865"/>
        <w:gridCol w:w="1225"/>
      </w:tblGrid>
      <w:tr>
        <w:trPr/>
        <w:tc>
          <w:tcPr>
            <w:tcW w:w="31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r>
      <w:tr>
        <w:trPr/>
        <w:tc>
          <w:tcPr>
            <w:tcW w:w="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ITEM 4. </w:t>
            </w:r>
          </w:p>
        </w:tc>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MINE SAFETY DISCLOSURES</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075" w:type="dxa"/>
        <w:jc w:val="left"/>
        <w:tblInd w:w="0" w:type="dxa"/>
        <w:tblLayout w:type="fixed"/>
        <w:tblCellMar>
          <w:top w:w="28" w:type="dxa"/>
          <w:left w:w="28" w:type="dxa"/>
          <w:bottom w:w="28" w:type="dxa"/>
          <w:right w:w="28" w:type="dxa"/>
        </w:tblCellMar>
      </w:tblPr>
      <w:tblGrid>
        <w:gridCol w:w="298"/>
        <w:gridCol w:w="262"/>
        <w:gridCol w:w="265"/>
        <w:gridCol w:w="659"/>
        <w:gridCol w:w="659"/>
        <w:gridCol w:w="932"/>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r>
      <w:tr>
        <w:trPr/>
        <w:tc>
          <w:tcPr>
            <w:tcW w:w="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5.</w:t>
            </w:r>
          </w:p>
        </w:tc>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OTHER INFORMATION</w:t>
            </w:r>
          </w:p>
        </w:tc>
      </w:tr>
    </w:tbl>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During the three months ended September 30, 2024, except as set forth in the table below, no directors or executive officers adopted or terminated a “Rule 10b5-1 trading arrangement,” as defined in Item 408(a) of Regulation S-K or a “non-Rule 10b5-1 trading arrangement,” as defined in Item 408(c) of Regulation S-K.</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026"/>
        <w:gridCol w:w="899"/>
        <w:gridCol w:w="905"/>
        <w:gridCol w:w="235"/>
        <w:gridCol w:w="235"/>
        <w:gridCol w:w="236"/>
        <w:gridCol w:w="438"/>
        <w:gridCol w:w="438"/>
        <w:gridCol w:w="443"/>
        <w:gridCol w:w="294"/>
        <w:gridCol w:w="294"/>
        <w:gridCol w:w="294"/>
        <w:gridCol w:w="427"/>
        <w:gridCol w:w="427"/>
        <w:gridCol w:w="380"/>
        <w:gridCol w:w="440"/>
        <w:gridCol w:w="440"/>
        <w:gridCol w:w="441"/>
        <w:gridCol w:w="556"/>
        <w:gridCol w:w="556"/>
        <w:gridCol w:w="801"/>
      </w:tblGrid>
      <w:tr>
        <w:trPr/>
        <w:tc>
          <w:tcPr>
            <w:tcW w:w="1026"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r>
      <w:tr>
        <w:trPr/>
        <w:tc>
          <w:tcPr>
            <w:tcW w:w="2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vMerge w:val="restart"/>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20"/>
              </w:rPr>
            </w:pPr>
            <w:r>
              <w:rPr>
                <w:rFonts w:ascii="Arial;sans-serif" w:hAnsi="Arial;sans-serif"/>
                <w:b/>
                <w:color w:val="000000"/>
                <w:sz w:val="20"/>
              </w:rPr>
              <w:t>Action</w:t>
            </w:r>
          </w:p>
        </w:tc>
        <w:tc>
          <w:tcPr>
            <w:tcW w:w="1319" w:type="dxa"/>
            <w:gridSpan w:val="3"/>
            <w:vMerge w:val="restart"/>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20"/>
              </w:rPr>
            </w:pPr>
            <w:r>
              <w:rPr>
                <w:rFonts w:ascii="Arial;sans-serif" w:hAnsi="Arial;sans-serif"/>
                <w:b/>
                <w:color w:val="000000"/>
                <w:sz w:val="20"/>
              </w:rPr>
              <w:t>Date</w:t>
            </w:r>
          </w:p>
        </w:tc>
        <w:tc>
          <w:tcPr>
            <w:tcW w:w="2116"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20"/>
              </w:rPr>
            </w:pPr>
            <w:r>
              <w:rPr>
                <w:rFonts w:ascii="Arial;sans-serif" w:hAnsi="Arial;sans-serif"/>
                <w:b/>
                <w:color w:val="000000"/>
                <w:sz w:val="20"/>
              </w:rPr>
              <w:t>Trading Arrangement</w:t>
            </w:r>
          </w:p>
        </w:tc>
        <w:tc>
          <w:tcPr>
            <w:tcW w:w="1321" w:type="dxa"/>
            <w:gridSpan w:val="3"/>
            <w:vMerge w:val="restart"/>
            <w:tcBorders/>
            <w:tcMar>
              <w:top w:w="0" w:type="dxa"/>
              <w:left w:w="0" w:type="dxa"/>
              <w:bottom w:w="0" w:type="dxa"/>
              <w:right w:w="0" w:type="dxa"/>
            </w:tcMar>
            <w:vAlign w:val="center"/>
          </w:tcPr>
          <w:p>
            <w:pPr>
              <w:pStyle w:val="TableContents"/>
              <w:bidi w:val="0"/>
              <w:spacing w:lineRule="auto" w:line="268" w:before="0" w:after="0"/>
              <w:jc w:val="center"/>
              <w:rPr/>
            </w:pPr>
            <w:r>
              <w:rPr>
                <w:rFonts w:ascii="Arial;sans-serif" w:hAnsi="Arial;sans-serif"/>
                <w:b/>
                <w:color w:val="000000"/>
                <w:sz w:val="20"/>
              </w:rPr>
              <w:t>Total Shares to be Sold</w:t>
            </w:r>
            <w:r>
              <w:rPr>
                <w:rFonts w:ascii="Arial;sans-serif" w:hAnsi="Arial;sans-serif"/>
                <w:b/>
                <w:color w:val="000000"/>
                <w:sz w:val="13"/>
              </w:rPr>
              <w:t>(3)</w:t>
            </w:r>
          </w:p>
        </w:tc>
        <w:tc>
          <w:tcPr>
            <w:tcW w:w="1913" w:type="dxa"/>
            <w:gridSpan w:val="3"/>
            <w:vMerge w:val="restart"/>
            <w:tcBorders/>
            <w:tcMar>
              <w:top w:w="0" w:type="dxa"/>
              <w:left w:w="0" w:type="dxa"/>
              <w:bottom w:w="0" w:type="dxa"/>
              <w:right w:w="0" w:type="dxa"/>
            </w:tcMar>
            <w:vAlign w:val="center"/>
          </w:tcPr>
          <w:p>
            <w:pPr>
              <w:pStyle w:val="TableContents"/>
              <w:bidi w:val="0"/>
              <w:spacing w:lineRule="auto" w:line="268" w:before="0" w:after="0"/>
              <w:jc w:val="center"/>
              <w:rPr/>
            </w:pPr>
            <w:r>
              <w:rPr>
                <w:rFonts w:ascii="Arial;sans-serif" w:hAnsi="Arial;sans-serif"/>
                <w:b/>
                <w:color w:val="000000"/>
                <w:sz w:val="20"/>
              </w:rPr>
              <w:t>Arrangement Expiration Date</w:t>
            </w:r>
            <w:r>
              <w:rPr>
                <w:rFonts w:ascii="Arial;sans-serif" w:hAnsi="Arial;sans-serif"/>
                <w:b/>
                <w:color w:val="000000"/>
                <w:sz w:val="13"/>
              </w:rPr>
              <w:t>(4)</w:t>
            </w:r>
          </w:p>
        </w:tc>
      </w:tr>
      <w:tr>
        <w:trPr/>
        <w:tc>
          <w:tcPr>
            <w:tcW w:w="2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vMerge w:val="continue"/>
            <w:tcBorders/>
            <w:tcMar>
              <w:top w:w="0" w:type="dxa"/>
              <w:left w:w="0" w:type="dxa"/>
              <w:bottom w:w="0" w:type="dxa"/>
              <w:right w:w="0" w:type="dxa"/>
            </w:tcMar>
            <w:vAlign w:val="center"/>
          </w:tcPr>
          <w:p>
            <w:pPr>
              <w:pStyle w:val="Normal"/>
              <w:bidi w:val="0"/>
              <w:jc w:val="left"/>
              <w:rPr/>
            </w:pPr>
            <w:r>
              <w:rPr/>
            </w:r>
          </w:p>
        </w:tc>
        <w:tc>
          <w:tcPr>
            <w:tcW w:w="1319" w:type="dxa"/>
            <w:gridSpan w:val="3"/>
            <w:vMerge w:val="continue"/>
            <w:tcBorders/>
            <w:tcMar>
              <w:top w:w="0" w:type="dxa"/>
              <w:left w:w="0" w:type="dxa"/>
              <w:bottom w:w="0" w:type="dxa"/>
              <w:right w:w="0" w:type="dxa"/>
            </w:tcMar>
            <w:vAlign w:val="center"/>
          </w:tcPr>
          <w:p>
            <w:pPr>
              <w:pStyle w:val="Normal"/>
              <w:bidi w:val="0"/>
              <w:jc w:val="left"/>
              <w:rPr/>
            </w:pPr>
            <w:r>
              <w:rPr/>
            </w:r>
          </w:p>
        </w:tc>
        <w:tc>
          <w:tcPr>
            <w:tcW w:w="882" w:type="dxa"/>
            <w:gridSpan w:val="3"/>
            <w:tcBorders/>
            <w:tcMar>
              <w:top w:w="0" w:type="dxa"/>
              <w:left w:w="0" w:type="dxa"/>
              <w:bottom w:w="0" w:type="dxa"/>
              <w:right w:w="0" w:type="dxa"/>
            </w:tcMar>
            <w:vAlign w:val="center"/>
          </w:tcPr>
          <w:p>
            <w:pPr>
              <w:pStyle w:val="TableContents"/>
              <w:bidi w:val="0"/>
              <w:spacing w:lineRule="auto" w:line="268" w:before="0" w:after="0"/>
              <w:jc w:val="center"/>
              <w:rPr/>
            </w:pPr>
            <w:r>
              <w:rPr>
                <w:rFonts w:ascii="Arial;sans-serif" w:hAnsi="Arial;sans-serif"/>
                <w:b/>
                <w:color w:val="000000"/>
                <w:sz w:val="20"/>
              </w:rPr>
              <w:t>Rule 10b5-1</w:t>
            </w:r>
            <w:r>
              <w:rPr>
                <w:rFonts w:ascii="Arial;sans-serif" w:hAnsi="Arial;sans-serif"/>
                <w:b/>
                <w:color w:val="000000"/>
                <w:sz w:val="13"/>
              </w:rPr>
              <w:t>(1)</w:t>
            </w:r>
          </w:p>
        </w:tc>
        <w:tc>
          <w:tcPr>
            <w:tcW w:w="1234" w:type="dxa"/>
            <w:gridSpan w:val="3"/>
            <w:tcBorders/>
            <w:tcMar>
              <w:top w:w="0" w:type="dxa"/>
              <w:left w:w="0" w:type="dxa"/>
              <w:bottom w:w="0" w:type="dxa"/>
              <w:right w:w="0" w:type="dxa"/>
            </w:tcMar>
            <w:vAlign w:val="center"/>
          </w:tcPr>
          <w:p>
            <w:pPr>
              <w:pStyle w:val="TableContents"/>
              <w:bidi w:val="0"/>
              <w:spacing w:lineRule="auto" w:line="268" w:before="0" w:after="0"/>
              <w:jc w:val="center"/>
              <w:rPr/>
            </w:pPr>
            <w:r>
              <w:rPr>
                <w:rFonts w:ascii="Arial;sans-serif" w:hAnsi="Arial;sans-serif"/>
                <w:b/>
                <w:color w:val="000000"/>
                <w:sz w:val="20"/>
              </w:rPr>
              <w:t>Non-Rule 10b5-1</w:t>
            </w:r>
            <w:r>
              <w:rPr>
                <w:rFonts w:ascii="Arial;sans-serif" w:hAnsi="Arial;sans-serif"/>
                <w:b/>
                <w:color w:val="000000"/>
                <w:sz w:val="13"/>
              </w:rPr>
              <w:t>(2)</w:t>
            </w:r>
          </w:p>
        </w:tc>
        <w:tc>
          <w:tcPr>
            <w:tcW w:w="1321" w:type="dxa"/>
            <w:gridSpan w:val="3"/>
            <w:vMerge w:val="continue"/>
            <w:tcBorders/>
            <w:tcMar>
              <w:top w:w="0" w:type="dxa"/>
              <w:left w:w="0" w:type="dxa"/>
              <w:bottom w:w="0" w:type="dxa"/>
              <w:right w:w="0" w:type="dxa"/>
            </w:tcMar>
            <w:vAlign w:val="center"/>
          </w:tcPr>
          <w:p>
            <w:pPr>
              <w:pStyle w:val="Normal"/>
              <w:bidi w:val="0"/>
              <w:jc w:val="left"/>
              <w:rPr/>
            </w:pPr>
            <w:r>
              <w:rPr/>
            </w:r>
          </w:p>
        </w:tc>
        <w:tc>
          <w:tcPr>
            <w:tcW w:w="191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83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Keefer M. Lehner (Executive Vice President and Chief Financial Officer)</w:t>
            </w:r>
          </w:p>
        </w:tc>
        <w:tc>
          <w:tcPr>
            <w:tcW w:w="7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Adopt</w:t>
            </w:r>
          </w:p>
        </w:tc>
        <w:tc>
          <w:tcPr>
            <w:tcW w:w="13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September 26, 2024</w:t>
            </w:r>
          </w:p>
        </w:tc>
        <w:tc>
          <w:tcPr>
            <w:tcW w:w="8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X</w:t>
            </w:r>
          </w:p>
        </w:tc>
        <w:tc>
          <w:tcPr>
            <w:tcW w:w="12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13,000</w:t>
            </w:r>
          </w:p>
        </w:tc>
        <w:tc>
          <w:tcPr>
            <w:tcW w:w="19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March 26, 2025</w:t>
            </w:r>
          </w:p>
        </w:tc>
      </w:tr>
    </w:tbl>
    <w:p>
      <w:pPr>
        <w:pStyle w:val="TextBody"/>
        <w:bidi w:val="0"/>
        <w:spacing w:lineRule="auto" w:line="276" w:before="120" w:after="283"/>
        <w:jc w:val="left"/>
        <w:rPr>
          <w:rFonts w:ascii="Arial;sans-serif" w:hAnsi="Arial;sans-serif"/>
          <w:b w:val="false"/>
          <w:color w:val="000000"/>
          <w:sz w:val="18"/>
        </w:rPr>
      </w:pPr>
      <w:r>
        <w:rPr>
          <w:rFonts w:ascii="Arial;sans-serif" w:hAnsi="Arial;sans-serif"/>
          <w:b w:val="false"/>
          <w:color w:val="000000"/>
          <w:sz w:val="18"/>
        </w:rPr>
        <w:t>(1) Intended to satisfy the affirmative defense of Rule 10b5-1(c).</w:t>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(2) Not intended to satisfy the affirmative defense of Rule 10b5-1(c).</w:t>
      </w:r>
    </w:p>
    <w:p>
      <w:pPr>
        <w:pStyle w:val="TextBody"/>
        <w:bidi w:val="0"/>
        <w:spacing w:lineRule="auto" w:line="288" w:before="120" w:after="283"/>
        <w:jc w:val="both"/>
        <w:rPr/>
      </w:pPr>
      <w:r>
        <w:rPr>
          <w:rFonts w:ascii="Arial;sans-serif" w:hAnsi="Arial;sans-serif"/>
          <w:b w:val="false"/>
          <w:color w:val="000000"/>
          <w:sz w:val="18"/>
        </w:rPr>
        <w:t>(3) Represents the maximum number of shares that may be sold pursuant to the 10b5-1 trading arrangement. The actual</w:t>
      </w:r>
      <w:r>
        <w:rPr>
          <w:color w:val="00B0F0"/>
        </w:rPr>
        <w:t xml:space="preserve"> </w:t>
      </w:r>
      <w:r>
        <w:rPr>
          <w:rFonts w:ascii="Arial;sans-serif" w:hAnsi="Arial;sans-serif"/>
          <w:b w:val="false"/>
          <w:color w:val="000000"/>
          <w:sz w:val="18"/>
        </w:rPr>
        <w:t>number of shares sold will be dependent on the terms of, and satisfaction of the conditions as set forth in, the written plan.</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(4) Or when the execution of all trades contemplated by the written plan is completed, whichever is earlier.</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450850"/>
                <wp:effectExtent l="0" t="0" r="0" b="0"/>
                <wp:wrapNone/>
                <wp:docPr id="33" name="Frame33"/>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3e0f5f4ea8104e0db5d6554c34082d82_7">
        <w:r>
          <w:rPr>
            <w:rStyle w:val="InternetLink"/>
            <w:rFonts w:ascii="Arial;sans-serif" w:hAnsi="Arial;sans-serif"/>
            <w:b w:val="false"/>
            <w:color w:val="0563C1"/>
            <w:sz w:val="20"/>
            <w:u w:val="single"/>
          </w:rPr>
          <w:t>Table of Contents</w:t>
        </w:r>
      </w:hyperlink>
    </w:p>
    <w:tbl>
      <w:tblPr>
        <w:tblW w:w="1891" w:type="dxa"/>
        <w:jc w:val="left"/>
        <w:tblInd w:w="0" w:type="dxa"/>
        <w:tblLayout w:type="fixed"/>
        <w:tblCellMar>
          <w:top w:w="28" w:type="dxa"/>
          <w:left w:w="28" w:type="dxa"/>
          <w:bottom w:w="28" w:type="dxa"/>
          <w:right w:w="28" w:type="dxa"/>
        </w:tblCellMar>
      </w:tblPr>
      <w:tblGrid>
        <w:gridCol w:w="298"/>
        <w:gridCol w:w="262"/>
        <w:gridCol w:w="265"/>
        <w:gridCol w:w="312"/>
        <w:gridCol w:w="312"/>
        <w:gridCol w:w="442"/>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r>
      <w:tr>
        <w:trPr/>
        <w:tc>
          <w:tcPr>
            <w:tcW w:w="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6.</w:t>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EXHIBITS</w:t>
            </w:r>
          </w:p>
        </w:tc>
      </w:tr>
    </w:tbl>
    <w:tbl>
      <w:tblPr>
        <w:tblW w:w="10205" w:type="dxa"/>
        <w:jc w:val="left"/>
        <w:tblInd w:w="0" w:type="dxa"/>
        <w:tblLayout w:type="fixed"/>
        <w:tblCellMar>
          <w:top w:w="28" w:type="dxa"/>
          <w:left w:w="28" w:type="dxa"/>
          <w:bottom w:w="28" w:type="dxa"/>
          <w:right w:w="28" w:type="dxa"/>
        </w:tblCellMar>
      </w:tblPr>
      <w:tblGrid>
        <w:gridCol w:w="262"/>
        <w:gridCol w:w="215"/>
        <w:gridCol w:w="221"/>
        <w:gridCol w:w="2895"/>
        <w:gridCol w:w="2730"/>
        <w:gridCol w:w="3882"/>
      </w:tblGrid>
      <w:tr>
        <w:trPr/>
        <w:tc>
          <w:tcPr>
            <w:tcW w:w="262"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895" w:type="dxa"/>
            <w:tcBorders/>
            <w:vAlign w:val="center"/>
          </w:tcPr>
          <w:p>
            <w:pPr>
              <w:pStyle w:val="TableContents"/>
              <w:bidi w:val="0"/>
              <w:spacing w:before="0" w:after="283"/>
              <w:jc w:val="left"/>
              <w:rPr>
                <w:sz w:val="4"/>
                <w:szCs w:val="4"/>
              </w:rPr>
            </w:pPr>
            <w:r>
              <w:rPr>
                <w:sz w:val="4"/>
                <w:szCs w:val="4"/>
              </w:rPr>
            </w:r>
          </w:p>
        </w:tc>
        <w:tc>
          <w:tcPr>
            <w:tcW w:w="2730" w:type="dxa"/>
            <w:tcBorders/>
            <w:vAlign w:val="center"/>
          </w:tcPr>
          <w:p>
            <w:pPr>
              <w:pStyle w:val="TableContents"/>
              <w:bidi w:val="0"/>
              <w:spacing w:before="0" w:after="283"/>
              <w:jc w:val="left"/>
              <w:rPr>
                <w:sz w:val="4"/>
                <w:szCs w:val="4"/>
              </w:rPr>
            </w:pPr>
            <w:r>
              <w:rPr>
                <w:sz w:val="4"/>
                <w:szCs w:val="4"/>
              </w:rPr>
            </w:r>
          </w:p>
        </w:tc>
        <w:tc>
          <w:tcPr>
            <w:tcW w:w="3882" w:type="dxa"/>
            <w:tcBorders/>
            <w:vAlign w:val="center"/>
          </w:tcPr>
          <w:p>
            <w:pPr>
              <w:pStyle w:val="TableContents"/>
              <w:bidi w:val="0"/>
              <w:spacing w:before="0" w:after="283"/>
              <w:jc w:val="left"/>
              <w:rPr>
                <w:sz w:val="4"/>
                <w:szCs w:val="4"/>
              </w:rPr>
            </w:pPr>
            <w:r>
              <w:rPr>
                <w:sz w:val="4"/>
                <w:szCs w:val="4"/>
              </w:rPr>
            </w:r>
          </w:p>
        </w:tc>
      </w:tr>
      <w:tr>
        <w:trPr/>
        <w:tc>
          <w:tcPr>
            <w:tcW w:w="6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w:t>
            </w:r>
          </w:p>
        </w:tc>
        <w:tc>
          <w:tcPr>
            <w:tcW w:w="950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
              <w:r>
                <w:rPr>
                  <w:rStyle w:val="InternetLink"/>
                  <w:rFonts w:ascii="Arial;sans-serif" w:hAnsi="Arial;sans-serif"/>
                  <w:b w:val="false"/>
                  <w:color w:val="0000FF"/>
                  <w:sz w:val="20"/>
                  <w:u w:val="single"/>
                </w:rPr>
                <w:t>Amended and Restated Certificate of Incorporation of KLX Energy Services Holdings, Inc. (incorporated by reference to Exhibit 3.1 of KLX Energy Services Holdings, Inc.’s Quarterly Report on Form 10-Q, filed on September 8, 2020, File No. 001-38609).</w:t>
              </w:r>
            </w:hyperlink>
          </w:p>
        </w:tc>
      </w:tr>
      <w:tr>
        <w:trPr/>
        <w:tc>
          <w:tcPr>
            <w:tcW w:w="6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3.2</w:t>
            </w:r>
          </w:p>
        </w:tc>
        <w:tc>
          <w:tcPr>
            <w:tcW w:w="95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Arial;sans-serif" w:hAnsi="Arial;sans-serif"/>
                  <w:b w:val="false"/>
                  <w:color w:val="0000FF"/>
                  <w:sz w:val="20"/>
                  <w:u w:val="single"/>
                </w:rPr>
                <w:t xml:space="preserve">Fourth Amended and Restated Bylaws of KLX Energy Services Holdings, Inc. (incorporated by reference to Exhibit 3.1 of KLX Energy Services Holdings, Inc.'s Current Report on Form 8-K, filed on September 9, 2021, File No. 001-38609). </w:t>
              </w:r>
            </w:hyperlink>
          </w:p>
        </w:tc>
      </w:tr>
      <w:tr>
        <w:trPr/>
        <w:tc>
          <w:tcPr>
            <w:tcW w:w="6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31.1*</w:t>
            </w:r>
          </w:p>
        </w:tc>
        <w:tc>
          <w:tcPr>
            <w:tcW w:w="950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klxeq3202410-qex311chrisklx.htm">
              <w:r>
                <w:rPr>
                  <w:rStyle w:val="InternetLink"/>
                  <w:rFonts w:ascii="Arial;sans-serif" w:hAnsi="Arial;sans-serif"/>
                  <w:b w:val="false"/>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6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31.2*</w:t>
            </w:r>
          </w:p>
        </w:tc>
        <w:tc>
          <w:tcPr>
            <w:tcW w:w="950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klxeq32024ex312keeferklx.htm">
              <w:r>
                <w:rPr>
                  <w:rStyle w:val="InternetLink"/>
                  <w:rFonts w:ascii="Arial;sans-serif" w:hAnsi="Arial;sans-serif"/>
                  <w:b w:val="false"/>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6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32.1**</w:t>
            </w:r>
          </w:p>
        </w:tc>
        <w:tc>
          <w:tcPr>
            <w:tcW w:w="950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klxeq3202410-qex321chrisklx.htm">
              <w:r>
                <w:rPr>
                  <w:rStyle w:val="InternetLink"/>
                  <w:rFonts w:ascii="Arial;sans-serif" w:hAnsi="Arial;sans-serif"/>
                  <w:b w:val="false"/>
                  <w:color w:val="0000FF"/>
                  <w:sz w:val="20"/>
                  <w:u w:val="single"/>
                </w:rPr>
                <w:t>Certification of Principal Executive Officer Pursuant to 18 U.S.C. Section 1350, as Adopted Pursuant to Section 906 of the Sarbanes-Oxley Act of 2002.</w:t>
              </w:r>
            </w:hyperlink>
          </w:p>
        </w:tc>
      </w:tr>
      <w:tr>
        <w:trPr/>
        <w:tc>
          <w:tcPr>
            <w:tcW w:w="6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32.2**</w:t>
            </w:r>
          </w:p>
        </w:tc>
        <w:tc>
          <w:tcPr>
            <w:tcW w:w="950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klxeq32024ex322keeferklx.htm">
              <w:r>
                <w:rPr>
                  <w:rStyle w:val="InternetLink"/>
                  <w:rFonts w:ascii="Arial;sans-serif" w:hAnsi="Arial;sans-serif"/>
                  <w:b w:val="false"/>
                  <w:color w:val="0000FF"/>
                  <w:sz w:val="20"/>
                  <w:u w:val="single"/>
                </w:rPr>
                <w:t>Certification of Principal Financial Officer Pursuant to 18 U.S.C. Section 1350, as Adopted Pursuant to Section 906 of the Sarbanes-Oxley Act of 2002.</w:t>
              </w:r>
            </w:hyperlink>
          </w:p>
        </w:tc>
      </w:tr>
      <w:tr>
        <w:trPr/>
        <w:tc>
          <w:tcPr>
            <w:tcW w:w="6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101.INS*</w:t>
            </w:r>
          </w:p>
        </w:tc>
        <w:tc>
          <w:tcPr>
            <w:tcW w:w="950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XBRL Instance Document</w:t>
            </w:r>
          </w:p>
        </w:tc>
      </w:tr>
      <w:tr>
        <w:trPr/>
        <w:tc>
          <w:tcPr>
            <w:tcW w:w="6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101.SCH*</w:t>
            </w:r>
          </w:p>
        </w:tc>
        <w:tc>
          <w:tcPr>
            <w:tcW w:w="950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XBRL Taxonomy Extension Schema Document</w:t>
            </w:r>
          </w:p>
        </w:tc>
      </w:tr>
      <w:tr>
        <w:trPr/>
        <w:tc>
          <w:tcPr>
            <w:tcW w:w="6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101.CAL*</w:t>
            </w:r>
          </w:p>
        </w:tc>
        <w:tc>
          <w:tcPr>
            <w:tcW w:w="950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XBRL Taxonomy Extension Calculation Linkbase Document</w:t>
            </w:r>
          </w:p>
        </w:tc>
      </w:tr>
      <w:tr>
        <w:trPr/>
        <w:tc>
          <w:tcPr>
            <w:tcW w:w="6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101.DEF*</w:t>
            </w:r>
          </w:p>
        </w:tc>
        <w:tc>
          <w:tcPr>
            <w:tcW w:w="950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XBRL Taxonomy Extension Definition Linkbase Document</w:t>
            </w:r>
          </w:p>
        </w:tc>
      </w:tr>
      <w:tr>
        <w:trPr/>
        <w:tc>
          <w:tcPr>
            <w:tcW w:w="6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101.LAB*</w:t>
            </w:r>
          </w:p>
        </w:tc>
        <w:tc>
          <w:tcPr>
            <w:tcW w:w="950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XBRL Taxonomy Extension Label Linkbase Document</w:t>
            </w:r>
          </w:p>
        </w:tc>
      </w:tr>
      <w:tr>
        <w:trPr/>
        <w:tc>
          <w:tcPr>
            <w:tcW w:w="6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101.PRE*</w:t>
            </w:r>
          </w:p>
        </w:tc>
        <w:tc>
          <w:tcPr>
            <w:tcW w:w="950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XBRL Taxonomy Extension Presentation Linkbase Document</w:t>
            </w:r>
          </w:p>
        </w:tc>
      </w:tr>
      <w:tr>
        <w:trPr/>
        <w:tc>
          <w:tcPr>
            <w:tcW w:w="6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104</w:t>
            </w:r>
          </w:p>
        </w:tc>
        <w:tc>
          <w:tcPr>
            <w:tcW w:w="950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Cover Page Interactive Data File (formatted as Inline XBRL and contained in Exhibit 101)</w:t>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Filed herewith.</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Furnished herewith.</w:t>
      </w:r>
    </w:p>
    <w:p>
      <w:pPr>
        <w:pStyle w:val="TextBody"/>
        <w:bidi w:val="0"/>
        <w:spacing w:lineRule="auto" w:line="288" w:before="0" w:after="0"/>
        <w:jc w:val="left"/>
        <w:rPr/>
      </w:pPr>
      <w:r>
        <w:rPr>
          <w:rFonts w:ascii="Arial;sans-serif" w:hAnsi="Arial;sans-serif"/>
          <w:b w:val="false"/>
          <w:color w:val="000000"/>
          <w:sz w:val="20"/>
        </w:rPr>
        <w:t>¥</w:t>
      </w:r>
      <w:r>
        <w:rPr>
          <w:color w:val="000000"/>
        </w:rPr>
        <w:t xml:space="preserve"> </w:t>
      </w:r>
      <w:r>
        <w:rPr>
          <w:rFonts w:ascii="Arial;sans-serif" w:hAnsi="Arial;sans-serif"/>
          <w:b w:val="false"/>
          <w:color w:val="000000"/>
          <w:sz w:val="20"/>
          <w:shd w:fill="FFFFFF" w:val="clear"/>
        </w:rPr>
        <w:t>Certain schedules and exhibits to this agreement have been omitted in accordance with Item 601(a)(5) of Regulation S-K. A copy of any omitted schedule and/or exhibit will be furnished to the SEC on request.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34"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34</w:t>
                      </w:r>
                    </w:p>
                  </w:txbxContent>
                </v:textbox>
                <w10:wrap type="none"/>
              </v:rect>
            </w:pict>
          </mc:Fallback>
        </mc:AlternateContent>
      </w:r>
    </w:p>
    <w:p>
      <w:pPr>
        <w:pStyle w:val="TextBody"/>
        <w:bidi w:val="0"/>
        <w:spacing w:lineRule="auto" w:line="288" w:before="0" w:after="600"/>
        <w:jc w:val="left"/>
        <w:rPr/>
      </w:pPr>
      <w:hyperlink w:anchor="i3e0f5f4ea8104e0db5d6554c34082d82_7">
        <w:r>
          <w:rPr>
            <w:rStyle w:val="InternetLink"/>
            <w:rFonts w:ascii="Arial;sans-serif" w:hAnsi="Arial;sans-serif"/>
            <w:b w:val="false"/>
            <w:color w:val="0563C1"/>
            <w:sz w:val="20"/>
            <w:u w:val="single"/>
          </w:rPr>
          <w:t>Table of Contents</w:t>
        </w:r>
      </w:hyperlink>
    </w:p>
    <w:p>
      <w:pPr>
        <w:pStyle w:val="TextBody"/>
        <w:bidi w:val="0"/>
        <w:spacing w:lineRule="auto" w:line="417" w:before="0" w:after="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7316" w:type="dxa"/>
        <w:jc w:val="right"/>
        <w:tblInd w:w="0" w:type="dxa"/>
        <w:tblLayout w:type="fixed"/>
        <w:tblCellMar>
          <w:top w:w="28" w:type="dxa"/>
          <w:left w:w="28" w:type="dxa"/>
          <w:bottom w:w="28" w:type="dxa"/>
          <w:right w:w="28" w:type="dxa"/>
        </w:tblCellMar>
      </w:tblPr>
      <w:tblGrid>
        <w:gridCol w:w="482"/>
        <w:gridCol w:w="422"/>
        <w:gridCol w:w="422"/>
        <w:gridCol w:w="422"/>
        <w:gridCol w:w="422"/>
        <w:gridCol w:w="422"/>
        <w:gridCol w:w="1357"/>
        <w:gridCol w:w="1357"/>
        <w:gridCol w:w="2010"/>
      </w:tblGrid>
      <w:tr>
        <w:trPr/>
        <w:tc>
          <w:tcPr>
            <w:tcW w:w="48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2010" w:type="dxa"/>
            <w:tcBorders/>
            <w:vAlign w:val="center"/>
          </w:tcPr>
          <w:p>
            <w:pPr>
              <w:pStyle w:val="TableContents"/>
              <w:bidi w:val="0"/>
              <w:spacing w:before="0" w:after="283"/>
              <w:jc w:val="left"/>
              <w:rPr>
                <w:sz w:val="4"/>
                <w:szCs w:val="4"/>
              </w:rPr>
            </w:pPr>
            <w:r>
              <w:rPr>
                <w:sz w:val="4"/>
                <w:szCs w:val="4"/>
              </w:rPr>
            </w:r>
          </w:p>
        </w:tc>
      </w:tr>
      <w:tr>
        <w:trPr/>
        <w:tc>
          <w:tcPr>
            <w:tcW w:w="7316" w:type="dxa"/>
            <w:gridSpan w:val="9"/>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KLX ENERGY SERVICES HOLDINGS, INC.</w:t>
            </w:r>
          </w:p>
        </w:tc>
      </w:tr>
      <w:tr>
        <w:trPr/>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By:</w:t>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/s/ Christopher J. Baker</w:t>
            </w:r>
          </w:p>
        </w:tc>
      </w:tr>
      <w:tr>
        <w:trPr/>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Christopher J. Baker</w:t>
            </w:r>
          </w:p>
        </w:tc>
      </w:tr>
      <w:tr>
        <w:trPr/>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i/>
                <w:color w:val="000000"/>
                <w:sz w:val="20"/>
              </w:rPr>
            </w:pPr>
            <w:r>
              <w:rPr>
                <w:rFonts w:ascii="Arial;sans-serif" w:hAnsi="Arial;sans-serif"/>
                <w:b w:val="false"/>
                <w:i/>
                <w:color w:val="000000"/>
                <w:sz w:val="20"/>
              </w:rPr>
              <w:t>President, Chief Executive Officer and Director</w:t>
            </w:r>
          </w:p>
        </w:tc>
      </w:tr>
      <w:tr>
        <w:trPr/>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6" w:type="dxa"/>
            <w:gridSpan w:val="9"/>
            <w:tcBorders/>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20"/>
              </w:rPr>
            </w:pPr>
            <w:r>
              <w:rPr>
                <w:rFonts w:ascii="Arial;sans-serif" w:hAnsi="Arial;sans-serif"/>
                <w:b w:val="false"/>
                <w:color w:val="000000"/>
                <w:sz w:val="20"/>
              </w:rPr>
              <w:t>Date: October 31, 2024</w:t>
            </w:r>
          </w:p>
        </w:tc>
      </w:tr>
      <w:tr>
        <w:trPr/>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By:</w:t>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/s/ Keefer M. Lehner</w:t>
            </w:r>
          </w:p>
        </w:tc>
      </w:tr>
      <w:tr>
        <w:trPr/>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Keefer M. Lehner</w:t>
            </w:r>
          </w:p>
        </w:tc>
      </w:tr>
      <w:tr>
        <w:trPr/>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i/>
                <w:color w:val="000000"/>
                <w:sz w:val="20"/>
              </w:rPr>
            </w:pPr>
            <w:r>
              <w:rPr>
                <w:rFonts w:ascii="Arial;sans-serif" w:hAnsi="Arial;sans-serif"/>
                <w:b w:val="false"/>
                <w:i/>
                <w:color w:val="000000"/>
                <w:sz w:val="20"/>
              </w:rPr>
              <w:t>Executive Vice President and Chief Financial Officer</w:t>
            </w:r>
          </w:p>
        </w:tc>
      </w:tr>
      <w:tr>
        <w:trPr/>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6" w:type="dxa"/>
            <w:gridSpan w:val="9"/>
            <w:tcBorders/>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20"/>
              </w:rPr>
            </w:pPr>
            <w:r>
              <w:rPr>
                <w:rFonts w:ascii="Arial;sans-serif" w:hAnsi="Arial;sans-serif"/>
                <w:b w:val="false"/>
                <w:color w:val="000000"/>
                <w:sz w:val="20"/>
              </w:rPr>
              <w:t>Date: October 31, 2024</w:t>
            </w:r>
          </w:p>
        </w:tc>
      </w:tr>
      <w:tr>
        <w:trPr/>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By:</w:t>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/s/ Geoffrey C. Stanford</w:t>
            </w:r>
          </w:p>
        </w:tc>
      </w:tr>
      <w:tr>
        <w:trPr/>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Geoffrey C. Stanford</w:t>
            </w:r>
          </w:p>
        </w:tc>
      </w:tr>
      <w:tr>
        <w:trPr/>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i/>
                <w:color w:val="000000"/>
                <w:sz w:val="20"/>
              </w:rPr>
            </w:pPr>
            <w:r>
              <w:rPr>
                <w:rFonts w:ascii="Arial;sans-serif" w:hAnsi="Arial;sans-serif"/>
                <w:b w:val="false"/>
                <w:i/>
                <w:color w:val="000000"/>
                <w:sz w:val="20"/>
              </w:rPr>
              <w:t>Senior Vice President and Chief Accounting Officer</w:t>
            </w:r>
          </w:p>
        </w:tc>
      </w:tr>
      <w:tr>
        <w:trPr/>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6" w:type="dxa"/>
            <w:gridSpan w:val="9"/>
            <w:tcBorders/>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20"/>
              </w:rPr>
            </w:pPr>
            <w:r>
              <w:rPr>
                <w:rFonts w:ascii="Arial;sans-serif" w:hAnsi="Arial;sans-serif"/>
                <w:b w:val="false"/>
                <w:color w:val="000000"/>
                <w:sz w:val="20"/>
              </w:rPr>
              <w:t>Date: October 31, 2024</w:t>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450850"/>
                <wp:effectExtent l="0" t="0" r="0" b="0"/>
                <wp:wrapNone/>
                <wp:docPr id="35" name="Frame35"/>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35</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RULE 13a-14(a) AND RULE 15d-14(a)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THE SECURITIES EXCHANGE ACT OF 1934, AS AMENDED,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302 OF</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SARBANES-OXLEY ACT OF 2002</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Christopher J. Baker, certify that:</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have reviewed this Quarterly Report on Form 10-Q for the quarter ended September 30, 2024 of KLX Energy Services Holdings, Inc. (the “registrant”);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 </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5"/>
        <w:gridCol w:w="2785"/>
        <w:gridCol w:w="39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39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0"/>
        <w:gridCol w:w="2880"/>
        <w:gridCol w:w="41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41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Any fraud, whether or not material, that involves management or other employees who have a significant role in the registrant’s internal control over financial reporting.</w:t>
            </w:r>
          </w:p>
        </w:tc>
      </w:tr>
    </w:tbl>
    <w:p>
      <w:pPr>
        <w:pStyle w:val="TextBody"/>
        <w:bidi w:val="0"/>
        <w:spacing w:lineRule="auto" w:line="288" w:before="0" w:after="0"/>
        <w:jc w:val="left"/>
        <w:rPr>
          <w:color w:val="000000"/>
        </w:rPr>
      </w:pPr>
      <w:r>
        <w:rPr>
          <w:color w:val="000000"/>
        </w:rPr>
        <w:t> </w:t>
      </w:r>
    </w:p>
    <w:tbl>
      <w:tblPr>
        <w:tblW w:w="6853" w:type="dxa"/>
        <w:jc w:val="left"/>
        <w:tblInd w:w="0" w:type="dxa"/>
        <w:tblLayout w:type="fixed"/>
        <w:tblCellMar>
          <w:top w:w="28" w:type="dxa"/>
          <w:left w:w="28" w:type="dxa"/>
          <w:bottom w:w="28" w:type="dxa"/>
          <w:right w:w="28" w:type="dxa"/>
        </w:tblCellMar>
      </w:tblPr>
      <w:tblGrid>
        <w:gridCol w:w="726"/>
        <w:gridCol w:w="640"/>
        <w:gridCol w:w="643"/>
        <w:gridCol w:w="109"/>
        <w:gridCol w:w="109"/>
        <w:gridCol w:w="109"/>
        <w:gridCol w:w="109"/>
        <w:gridCol w:w="109"/>
        <w:gridCol w:w="109"/>
        <w:gridCol w:w="109"/>
        <w:gridCol w:w="109"/>
        <w:gridCol w:w="109"/>
        <w:gridCol w:w="109"/>
        <w:gridCol w:w="109"/>
        <w:gridCol w:w="109"/>
        <w:gridCol w:w="109"/>
        <w:gridCol w:w="109"/>
        <w:gridCol w:w="109"/>
        <w:gridCol w:w="938"/>
        <w:gridCol w:w="938"/>
        <w:gridCol w:w="1333"/>
      </w:tblGrid>
      <w:tr>
        <w:trPr/>
        <w:tc>
          <w:tcPr>
            <w:tcW w:w="72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Date: October 31, 2024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Christopher J. Baker</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Christopher J. Baker</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CERTIFICATION OF CHIEF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RULE 13a-14(a) AND RULE 15d-14(a)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THE SECURITIES EXCHANGE ACT OF 1934, AS AMENDED,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302 OF</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SARBANES-OXLEY ACT OF 2002</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Keefer M. Lehner, certify that:</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have reviewed this Quarterly Report on Form 10-Q for the quarter ended September 30, 2024 of KLX Energy Services Holdings, Inc. (the “registrant”);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5"/>
        <w:gridCol w:w="2785"/>
        <w:gridCol w:w="39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39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0"/>
        <w:gridCol w:w="2880"/>
        <w:gridCol w:w="41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41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Any fraud, whether or not material, that involves management or other employees who have a significant role in the registrant’s internal control over financial reporting.</w:t>
            </w:r>
          </w:p>
        </w:tc>
      </w:tr>
    </w:tbl>
    <w:tbl>
      <w:tblPr>
        <w:tblW w:w="8083" w:type="dxa"/>
        <w:jc w:val="left"/>
        <w:tblInd w:w="0" w:type="dxa"/>
        <w:tblLayout w:type="fixed"/>
        <w:tblCellMar>
          <w:top w:w="28" w:type="dxa"/>
          <w:left w:w="28" w:type="dxa"/>
          <w:bottom w:w="28" w:type="dxa"/>
          <w:right w:w="28" w:type="dxa"/>
        </w:tblCellMar>
      </w:tblPr>
      <w:tblGrid>
        <w:gridCol w:w="728"/>
        <w:gridCol w:w="639"/>
        <w:gridCol w:w="642"/>
        <w:gridCol w:w="109"/>
        <w:gridCol w:w="109"/>
        <w:gridCol w:w="109"/>
        <w:gridCol w:w="109"/>
        <w:gridCol w:w="109"/>
        <w:gridCol w:w="109"/>
        <w:gridCol w:w="109"/>
        <w:gridCol w:w="109"/>
        <w:gridCol w:w="109"/>
        <w:gridCol w:w="109"/>
        <w:gridCol w:w="109"/>
        <w:gridCol w:w="109"/>
        <w:gridCol w:w="109"/>
        <w:gridCol w:w="109"/>
        <w:gridCol w:w="109"/>
        <w:gridCol w:w="1299"/>
        <w:gridCol w:w="1299"/>
        <w:gridCol w:w="1841"/>
      </w:tblGrid>
      <w:tr>
        <w:trPr/>
        <w:tc>
          <w:tcPr>
            <w:tcW w:w="728"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841"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Date: October 31, 2024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Keefer M. Lehner</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Keefer M. Lehner</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OF</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CHIEF EXECUTIVE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906 OF THE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SARBANES OXLEY ACT OF 2002</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18 U.S.C. Section 1350, as adopted pursuant to Section 906 of the Sarbanes-Oxley Act of 2002, in connection with the Quarterly Report of KLX Energy Services Holdings, Inc. (the “Company”) on Form 10-Q for the period ended September 30, 2024, as filed with the Securities and Exchange Commission on the date hereof (the “Periodic Report”), I, Christopher J. Baker, as President and Chief Executive Officer of the Company, hereby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Periodic Report fully complies with the requirements of Section 13(a) or 15(d) of the Securities Exchange Act of 1934, as amended; and</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Periodic Report fairly presents, in all material respects, the financial condition and results of operations of the Company.</w:t>
      </w:r>
    </w:p>
    <w:tbl>
      <w:tblPr>
        <w:tblW w:w="6853" w:type="dxa"/>
        <w:jc w:val="left"/>
        <w:tblInd w:w="0" w:type="dxa"/>
        <w:tblLayout w:type="fixed"/>
        <w:tblCellMar>
          <w:top w:w="28" w:type="dxa"/>
          <w:left w:w="28" w:type="dxa"/>
          <w:bottom w:w="28" w:type="dxa"/>
          <w:right w:w="28" w:type="dxa"/>
        </w:tblCellMar>
      </w:tblPr>
      <w:tblGrid>
        <w:gridCol w:w="728"/>
        <w:gridCol w:w="639"/>
        <w:gridCol w:w="642"/>
        <w:gridCol w:w="109"/>
        <w:gridCol w:w="109"/>
        <w:gridCol w:w="109"/>
        <w:gridCol w:w="109"/>
        <w:gridCol w:w="109"/>
        <w:gridCol w:w="109"/>
        <w:gridCol w:w="109"/>
        <w:gridCol w:w="109"/>
        <w:gridCol w:w="109"/>
        <w:gridCol w:w="109"/>
        <w:gridCol w:w="109"/>
        <w:gridCol w:w="109"/>
        <w:gridCol w:w="109"/>
        <w:gridCol w:w="109"/>
        <w:gridCol w:w="109"/>
        <w:gridCol w:w="938"/>
        <w:gridCol w:w="938"/>
        <w:gridCol w:w="1333"/>
      </w:tblGrid>
      <w:tr>
        <w:trPr/>
        <w:tc>
          <w:tcPr>
            <w:tcW w:w="728"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Date: October 31, 2024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Christopher J. Baker</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Christopher J. Baker</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OF</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CHIEF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906 OF THE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SARBANES OXLEY ACT OF 2002</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18 U.S.C. Section 1350, as adopted pursuant to Section 906 of the Sarbanes-Oxley Act of 2002, in connection with the Quarterly Report of KLX Energy Services Holdings, Inc. (the “Company”) on Form 10-Q for the period ended September 30, 2024, as filed with the Securities and Exchange Commission on the date hereof (the “Periodic Report”), I, Keefer M. Lehner, as Executive Vice President and Chief Financial Officer of the Company, hereby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Periodic Report fully complies with the requirements of Section 13(a) or 15(d) of the Securities Exchange Act of 1934, as amended; and</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Periodic Report fairly presents, in all material respects, the financial condition and results of operations of the Company.</w:t>
      </w:r>
    </w:p>
    <w:tbl>
      <w:tblPr>
        <w:tblW w:w="8083" w:type="dxa"/>
        <w:jc w:val="left"/>
        <w:tblInd w:w="0" w:type="dxa"/>
        <w:tblLayout w:type="fixed"/>
        <w:tblCellMar>
          <w:top w:w="28" w:type="dxa"/>
          <w:left w:w="28" w:type="dxa"/>
          <w:bottom w:w="28" w:type="dxa"/>
          <w:right w:w="28" w:type="dxa"/>
        </w:tblCellMar>
      </w:tblPr>
      <w:tblGrid>
        <w:gridCol w:w="728"/>
        <w:gridCol w:w="639"/>
        <w:gridCol w:w="642"/>
        <w:gridCol w:w="109"/>
        <w:gridCol w:w="109"/>
        <w:gridCol w:w="109"/>
        <w:gridCol w:w="109"/>
        <w:gridCol w:w="109"/>
        <w:gridCol w:w="109"/>
        <w:gridCol w:w="109"/>
        <w:gridCol w:w="109"/>
        <w:gridCol w:w="109"/>
        <w:gridCol w:w="109"/>
        <w:gridCol w:w="109"/>
        <w:gridCol w:w="109"/>
        <w:gridCol w:w="109"/>
        <w:gridCol w:w="109"/>
        <w:gridCol w:w="109"/>
        <w:gridCol w:w="1299"/>
        <w:gridCol w:w="1299"/>
        <w:gridCol w:w="1841"/>
      </w:tblGrid>
      <w:tr>
        <w:trPr/>
        <w:tc>
          <w:tcPr>
            <w:tcW w:w="728"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841"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Date: October 31, 2024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Keefer M. Lehner</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Keefer M. Lehner</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38827/000173882720000004/klxenergy-archarter2020.htm" TargetMode="External"/><Relationship Id="rId3" Type="http://schemas.openxmlformats.org/officeDocument/2006/relationships/hyperlink" Target="https://www.sec.gov/Archives/edgar/data/0001738827/000173882721000031/fourthamendedandrestatedby.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16962</Words>
  <Characters>93036</Characters>
  <CharactersWithSpaces>109070</CharactersWithSpaces>
  <Paragraphs>2008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