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tbl>
      <w:tblPr>
        <w:tblW w:w="3974" w:type="dxa"/>
        <w:jc w:val="center"/>
        <w:tblInd w:w="0" w:type="dxa"/>
        <w:tblLayout w:type="fixed"/>
        <w:tblCellMar>
          <w:top w:w="28" w:type="dxa"/>
          <w:left w:w="28" w:type="dxa"/>
          <w:bottom w:w="28" w:type="dxa"/>
          <w:right w:w="28" w:type="dxa"/>
        </w:tblCellMar>
      </w:tblPr>
      <w:tblGrid>
        <w:gridCol w:w="1271"/>
        <w:gridCol w:w="1117"/>
        <w:gridCol w:w="158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40" w:after="40"/>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No. 001-38609 </w:t>
      </w:r>
    </w:p>
    <w:p>
      <w:pPr>
        <w:pStyle w:val="TextBody"/>
        <w:bidi w:val="0"/>
        <w:spacing w:lineRule="auto" w:line="288" w:before="0" w:after="0"/>
        <w:jc w:val="center"/>
        <w:rPr/>
      </w:pPr>
      <w:r>
        <w:rPr>
          <w:color w:val="000000"/>
        </w:rPr>
        <w:t> </w:t>
      </w:r>
      <w:r>
        <w:rPr>
          <w:rFonts w:ascii="Times New Roman;serif" w:hAnsi="Times New Roman;serif"/>
          <w:b/>
          <w:color w:val="000000"/>
          <w:sz w:val="40"/>
        </w:rPr>
        <w:t xml:space="preserve">KLX Energy Services Holdings, Inc.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4500" w:type="dxa"/>
        <w:jc w:val="left"/>
        <w:tblInd w:w="0" w:type="dxa"/>
        <w:tblLayout w:type="fixed"/>
        <w:tblCellMar>
          <w:top w:w="28" w:type="dxa"/>
          <w:left w:w="28" w:type="dxa"/>
          <w:bottom w:w="28" w:type="dxa"/>
          <w:right w:w="28" w:type="dxa"/>
        </w:tblCellMar>
      </w:tblPr>
      <w:tblGrid>
        <w:gridCol w:w="646"/>
        <w:gridCol w:w="566"/>
        <w:gridCol w:w="573"/>
        <w:gridCol w:w="791"/>
        <w:gridCol w:w="791"/>
        <w:gridCol w:w="1133"/>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36-4904146</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of Incorporation)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3040 Post Oak Boulevard, 15th Floor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Houston, TX 77056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(832) 844-1015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(Address, including zip code, and telephone number, including area code, of principal executive offices of registrant)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62"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519"/>
        <w:gridCol w:w="519"/>
        <w:gridCol w:w="521"/>
        <w:gridCol w:w="109"/>
        <w:gridCol w:w="109"/>
        <w:gridCol w:w="109"/>
        <w:gridCol w:w="1074"/>
        <w:gridCol w:w="1074"/>
        <w:gridCol w:w="152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7"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5"/>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registrant has one class of common stock, $0.01 par value, of which 17,838,125 shares were outstanding as of October 30, 2025.</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609"/>
        <w:gridCol w:w="536"/>
        <w:gridCol w:w="536"/>
        <w:gridCol w:w="2716"/>
        <w:gridCol w:w="2703"/>
        <w:gridCol w:w="2731"/>
        <w:gridCol w:w="109"/>
        <w:gridCol w:w="109"/>
        <w:gridCol w:w="156"/>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b50c53d1bec47ecb21892c7f7384d1f_10">
              <w:r>
                <w:rPr>
                  <w:rStyle w:val="InternetLink"/>
                  <w:rFonts w:ascii="Arial;sans-serif" w:hAnsi="Arial;sans-serif"/>
                  <w:b/>
                  <w:color w:val="0000FF"/>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10">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13">
              <w:r>
                <w:rPr>
                  <w:rStyle w:val="InternetLink"/>
                  <w:color w:val="0000FF"/>
                  <w:u w:val="single"/>
                </w:rPr>
                <w:t> </w:t>
              </w:r>
            </w:hyperlink>
            <w:hyperlink w:anchor="i1b50c53d1bec47ecb21892c7f7384d1f_13">
              <w:r>
                <w:rPr>
                  <w:rStyle w:val="InternetLink"/>
                  <w:rFonts w:ascii="Arial;sans-serif" w:hAnsi="Arial;sans-serif"/>
                  <w:b w:val="false"/>
                  <w:color w:val="0000FF"/>
                  <w:sz w:val="20"/>
                  <w:u w:val="single"/>
                </w:rPr>
                <w:t>Item 1. Condensed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13">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13">
              <w:r>
                <w:rPr>
                  <w:rStyle w:val="InternetLink"/>
                  <w:rFonts w:ascii="Arial;sans-serif" w:hAnsi="Arial;sans-serif"/>
                  <w:b w:val="false"/>
                  <w:color w:val="000080"/>
                  <w:sz w:val="20"/>
                  <w:u w:val="single"/>
                </w:rPr>
                <w:t xml:space="preserve">Balance Sheets as of </w:t>
              </w:r>
            </w:hyperlink>
            <w:hyperlink w:anchor="i1b50c53d1bec47ecb21892c7f7384d1f_13">
              <w:r>
                <w:rPr>
                  <w:rStyle w:val="InternetLink"/>
                  <w:rFonts w:ascii="Arial;sans-serif" w:hAnsi="Arial;sans-serif"/>
                  <w:b w:val="false"/>
                  <w:color w:val="000080"/>
                  <w:sz w:val="20"/>
                  <w:u w:val="single"/>
                </w:rPr>
                <w:t>September</w:t>
              </w:r>
            </w:hyperlink>
            <w:hyperlink w:anchor="i1b50c53d1bec47ecb21892c7f7384d1f_13">
              <w:r>
                <w:rPr>
                  <w:rStyle w:val="InternetLink"/>
                  <w:rFonts w:ascii="Arial;sans-serif" w:hAnsi="Arial;sans-serif"/>
                  <w:b w:val="false"/>
                  <w:color w:val="000080"/>
                  <w:sz w:val="20"/>
                  <w:u w:val="single"/>
                </w:rPr>
                <w:t xml:space="preserve"> 30, 2025 and December 31,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13">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19">
              <w:r>
                <w:rPr>
                  <w:rStyle w:val="InternetLink"/>
                  <w:rFonts w:ascii="Arial;sans-serif" w:hAnsi="Arial;sans-serif"/>
                  <w:b w:val="false"/>
                  <w:color w:val="000080"/>
                  <w:sz w:val="20"/>
                  <w:u w:val="single"/>
                </w:rPr>
                <w:t>Statements of Operations for the Three and</w:t>
              </w:r>
            </w:hyperlink>
            <w:hyperlink w:anchor="i1b50c53d1bec47ecb21892c7f7384d1f_19">
              <w:r>
                <w:rPr>
                  <w:rStyle w:val="InternetLink"/>
                  <w:rFonts w:ascii="Arial;sans-serif" w:hAnsi="Arial;sans-serif"/>
                  <w:b w:val="false"/>
                  <w:color w:val="000080"/>
                  <w:sz w:val="20"/>
                  <w:u w:val="single"/>
                </w:rPr>
                <w:t xml:space="preserve"> Nine</w:t>
              </w:r>
            </w:hyperlink>
            <w:hyperlink w:anchor="i1b50c53d1bec47ecb21892c7f7384d1f_19">
              <w:r>
                <w:rPr>
                  <w:rStyle w:val="InternetLink"/>
                  <w:rFonts w:ascii="Arial;sans-serif" w:hAnsi="Arial;sans-serif"/>
                  <w:b w:val="false"/>
                  <w:color w:val="000080"/>
                  <w:sz w:val="20"/>
                  <w:u w:val="single"/>
                </w:rPr>
                <w:t xml:space="preserve"> Months Ended </w:t>
              </w:r>
            </w:hyperlink>
            <w:hyperlink w:anchor="i1b50c53d1bec47ecb21892c7f7384d1f_19">
              <w:r>
                <w:rPr>
                  <w:rStyle w:val="InternetLink"/>
                  <w:rFonts w:ascii="Arial;sans-serif" w:hAnsi="Arial;sans-serif"/>
                  <w:b w:val="false"/>
                  <w:color w:val="000080"/>
                  <w:sz w:val="20"/>
                  <w:u w:val="single"/>
                </w:rPr>
                <w:t>September</w:t>
              </w:r>
            </w:hyperlink>
            <w:hyperlink w:anchor="i1b50c53d1bec47ecb21892c7f7384d1f_19">
              <w:r>
                <w:rPr>
                  <w:rStyle w:val="InternetLink"/>
                  <w:rFonts w:ascii="Arial;sans-serif" w:hAnsi="Arial;sans-serif"/>
                  <w:b w:val="false"/>
                  <w:color w:val="000080"/>
                  <w:sz w:val="20"/>
                  <w:u w:val="single"/>
                </w:rPr>
                <w:t xml:space="preserve"> 30,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19">
              <w:r>
                <w:rPr>
                  <w:rStyle w:val="InternetLink"/>
                  <w:rFonts w:ascii="Arial;sans-serif" w:hAnsi="Arial;sans-serif"/>
                  <w:b w:val="false"/>
                  <w:color w:val="0000FF"/>
                  <w:sz w:val="20"/>
                  <w:u w:val="single"/>
                </w:rPr>
                <w:t>4</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22">
              <w:r>
                <w:rPr>
                  <w:rStyle w:val="InternetLink"/>
                  <w:rFonts w:ascii="Arial;sans-serif" w:hAnsi="Arial;sans-serif"/>
                  <w:b w:val="false"/>
                  <w:color w:val="000080"/>
                  <w:sz w:val="20"/>
                  <w:u w:val="single"/>
                </w:rPr>
                <w:t xml:space="preserve">Statements of Stockholders' Equity for the </w:t>
              </w:r>
            </w:hyperlink>
            <w:hyperlink w:anchor="i1b50c53d1bec47ecb21892c7f7384d1f_22">
              <w:r>
                <w:rPr>
                  <w:rStyle w:val="InternetLink"/>
                  <w:rFonts w:ascii="Arial;sans-serif" w:hAnsi="Arial;sans-serif"/>
                  <w:b w:val="false"/>
                  <w:color w:val="000080"/>
                  <w:sz w:val="20"/>
                  <w:u w:val="single"/>
                </w:rPr>
                <w:t>Nine</w:t>
              </w:r>
            </w:hyperlink>
            <w:hyperlink w:anchor="i1b50c53d1bec47ecb21892c7f7384d1f_22">
              <w:r>
                <w:rPr>
                  <w:rStyle w:val="InternetLink"/>
                  <w:rFonts w:ascii="Arial;sans-serif" w:hAnsi="Arial;sans-serif"/>
                  <w:b w:val="false"/>
                  <w:color w:val="000080"/>
                  <w:sz w:val="20"/>
                  <w:u w:val="single"/>
                </w:rPr>
                <w:t xml:space="preserve"> Months Ended </w:t>
              </w:r>
            </w:hyperlink>
            <w:hyperlink w:anchor="i1b50c53d1bec47ecb21892c7f7384d1f_22">
              <w:r>
                <w:rPr>
                  <w:rStyle w:val="InternetLink"/>
                  <w:rFonts w:ascii="Arial;sans-serif" w:hAnsi="Arial;sans-serif"/>
                  <w:b w:val="false"/>
                  <w:color w:val="000080"/>
                  <w:sz w:val="20"/>
                  <w:u w:val="single"/>
                </w:rPr>
                <w:t>September</w:t>
              </w:r>
            </w:hyperlink>
            <w:hyperlink w:anchor="i1b50c53d1bec47ecb21892c7f7384d1f_22">
              <w:r>
                <w:rPr>
                  <w:rStyle w:val="InternetLink"/>
                  <w:rFonts w:ascii="Arial;sans-serif" w:hAnsi="Arial;sans-serif"/>
                  <w:b w:val="false"/>
                  <w:color w:val="000080"/>
                  <w:sz w:val="20"/>
                  <w:u w:val="single"/>
                </w:rPr>
                <w:t xml:space="preserve"> 30,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22">
              <w:r>
                <w:rPr>
                  <w:rStyle w:val="InternetLink"/>
                  <w:rFonts w:ascii="Arial;sans-serif" w:hAnsi="Arial;sans-serif"/>
                  <w:b w:val="false"/>
                  <w:color w:val="0000FF"/>
                  <w:sz w:val="20"/>
                  <w:u w:val="single"/>
                </w:rPr>
                <w:t>5</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25">
              <w:r>
                <w:rPr>
                  <w:rStyle w:val="InternetLink"/>
                  <w:rFonts w:ascii="Arial;sans-serif" w:hAnsi="Arial;sans-serif"/>
                  <w:b w:val="false"/>
                  <w:color w:val="000080"/>
                  <w:sz w:val="20"/>
                  <w:u w:val="single"/>
                </w:rPr>
                <w:t xml:space="preserve">Statements of Cash Flows for the </w:t>
              </w:r>
            </w:hyperlink>
            <w:hyperlink w:anchor="i1b50c53d1bec47ecb21892c7f7384d1f_25">
              <w:r>
                <w:rPr>
                  <w:rStyle w:val="InternetLink"/>
                  <w:rFonts w:ascii="Arial;sans-serif" w:hAnsi="Arial;sans-serif"/>
                  <w:b w:val="false"/>
                  <w:color w:val="000080"/>
                  <w:sz w:val="20"/>
                  <w:u w:val="single"/>
                </w:rPr>
                <w:t>Nine</w:t>
              </w:r>
            </w:hyperlink>
            <w:hyperlink w:anchor="i1b50c53d1bec47ecb21892c7f7384d1f_25">
              <w:r>
                <w:rPr>
                  <w:rStyle w:val="InternetLink"/>
                  <w:rFonts w:ascii="Arial;sans-serif" w:hAnsi="Arial;sans-serif"/>
                  <w:b w:val="false"/>
                  <w:color w:val="000080"/>
                  <w:sz w:val="20"/>
                  <w:u w:val="single"/>
                </w:rPr>
                <w:t xml:space="preserve"> Months Ended </w:t>
              </w:r>
            </w:hyperlink>
            <w:hyperlink w:anchor="i1b50c53d1bec47ecb21892c7f7384d1f_25">
              <w:r>
                <w:rPr>
                  <w:rStyle w:val="InternetLink"/>
                  <w:rFonts w:ascii="Arial;sans-serif" w:hAnsi="Arial;sans-serif"/>
                  <w:b w:val="false"/>
                  <w:color w:val="000080"/>
                  <w:sz w:val="20"/>
                  <w:u w:val="single"/>
                </w:rPr>
                <w:t>September</w:t>
              </w:r>
            </w:hyperlink>
            <w:hyperlink w:anchor="i1b50c53d1bec47ecb21892c7f7384d1f_25">
              <w:r>
                <w:rPr>
                  <w:rStyle w:val="InternetLink"/>
                  <w:rFonts w:ascii="Arial;sans-serif" w:hAnsi="Arial;sans-serif"/>
                  <w:b w:val="false"/>
                  <w:color w:val="000080"/>
                  <w:sz w:val="20"/>
                  <w:u w:val="single"/>
                </w:rPr>
                <w:t xml:space="preserve"> 30,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25">
              <w:r>
                <w:rPr>
                  <w:rStyle w:val="InternetLink"/>
                  <w:rFonts w:ascii="Arial;sans-serif" w:hAnsi="Arial;sans-serif"/>
                  <w:b w:val="false"/>
                  <w:color w:val="0000FF"/>
                  <w:sz w:val="20"/>
                  <w:u w:val="single"/>
                </w:rPr>
                <w:t>6</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31">
              <w:r>
                <w:rPr>
                  <w:rStyle w:val="InternetLink"/>
                  <w:rFonts w:ascii="Arial;sans-serif" w:hAnsi="Arial;sans-serif"/>
                  <w:b w:val="false"/>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31">
              <w:r>
                <w:rPr>
                  <w:rStyle w:val="InternetLink"/>
                  <w:rFonts w:ascii="Arial;sans-serif" w:hAnsi="Arial;sans-serif"/>
                  <w:b w:val="false"/>
                  <w:color w:val="0000FF"/>
                  <w:sz w:val="20"/>
                  <w:u w:val="single"/>
                </w:rPr>
                <w:t>7</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73">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73">
              <w:r>
                <w:rPr>
                  <w:rStyle w:val="InternetLink"/>
                  <w:rFonts w:ascii="Arial;sans-serif" w:hAnsi="Arial;sans-serif"/>
                  <w:b w:val="false"/>
                  <w:color w:val="0000FF"/>
                  <w:sz w:val="20"/>
                  <w:u w:val="single"/>
                </w:rPr>
                <w:t>20</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88">
              <w:r>
                <w:rPr>
                  <w:rStyle w:val="InternetLink"/>
                  <w:rFonts w:ascii="Arial;sans-serif" w:hAnsi="Arial;sans-serif"/>
                  <w:b w:val="false"/>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88">
              <w:r>
                <w:rPr>
                  <w:rStyle w:val="InternetLink"/>
                  <w:rFonts w:ascii="Arial;sans-serif" w:hAnsi="Arial;sans-serif"/>
                  <w:b w:val="false"/>
                  <w:color w:val="0000FF"/>
                  <w:sz w:val="20"/>
                  <w:u w:val="single"/>
                </w:rPr>
                <w:t>35</w:t>
              </w:r>
            </w:hyperlink>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91">
              <w:r>
                <w:rPr>
                  <w:rStyle w:val="InternetLink"/>
                  <w:rFonts w:ascii="Arial;sans-serif" w:hAnsi="Arial;sans-serif"/>
                  <w:b w:val="false"/>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91">
              <w:r>
                <w:rPr>
                  <w:rStyle w:val="InternetLink"/>
                  <w:rFonts w:ascii="Arial;sans-serif" w:hAnsi="Arial;sans-serif"/>
                  <w:b w:val="false"/>
                  <w:color w:val="0000FF"/>
                  <w:sz w:val="20"/>
                  <w:u w:val="single"/>
                </w:rPr>
                <w:t>35</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94">
              <w:r>
                <w:rPr>
                  <w:rStyle w:val="InternetLink"/>
                  <w:rFonts w:ascii="Arial;sans-serif" w:hAnsi="Arial;sans-serif"/>
                  <w:b/>
                  <w:color w:val="0000FF"/>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94">
              <w:r>
                <w:rPr>
                  <w:rStyle w:val="InternetLink"/>
                  <w:rFonts w:ascii="Arial;sans-serif" w:hAnsi="Arial;sans-serif"/>
                  <w:b w:val="false"/>
                  <w:color w:val="0000FF"/>
                  <w:sz w:val="20"/>
                  <w:u w:val="single"/>
                </w:rPr>
                <w:t>35</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97">
              <w:r>
                <w:rPr>
                  <w:rStyle w:val="InternetLink"/>
                  <w:rFonts w:ascii="Arial;sans-serif" w:hAnsi="Arial;sans-serif"/>
                  <w:b w:val="false"/>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97">
              <w:r>
                <w:rPr>
                  <w:rStyle w:val="InternetLink"/>
                  <w:rFonts w:ascii="Arial;sans-serif" w:hAnsi="Arial;sans-serif"/>
                  <w:b w:val="false"/>
                  <w:color w:val="0000FF"/>
                  <w:sz w:val="20"/>
                  <w:u w:val="single"/>
                </w:rPr>
                <w:t>35</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100">
              <w:r>
                <w:rPr>
                  <w:rStyle w:val="InternetLink"/>
                  <w:rFonts w:ascii="Arial;sans-serif" w:hAnsi="Arial;sans-serif"/>
                  <w:b w:val="false"/>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100">
              <w:r>
                <w:rPr>
                  <w:rStyle w:val="InternetLink"/>
                  <w:rFonts w:ascii="Arial;sans-serif" w:hAnsi="Arial;sans-serif"/>
                  <w:b w:val="false"/>
                  <w:color w:val="0000FF"/>
                  <w:sz w:val="20"/>
                  <w:u w:val="single"/>
                </w:rPr>
                <w:t>36</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103">
              <w:r>
                <w:rPr>
                  <w:rStyle w:val="InternetLink"/>
                  <w:rFonts w:ascii="Arial;sans-serif" w:hAnsi="Arial;sans-serif"/>
                  <w:b w:val="false"/>
                  <w:color w:val="0000FF"/>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103">
              <w:r>
                <w:rPr>
                  <w:rStyle w:val="InternetLink"/>
                  <w:rFonts w:ascii="Arial;sans-serif" w:hAnsi="Arial;sans-serif"/>
                  <w:b w:val="false"/>
                  <w:color w:val="0000FF"/>
                  <w:sz w:val="20"/>
                  <w:u w:val="single"/>
                </w:rPr>
                <w:t>36</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106">
              <w:r>
                <w:rPr>
                  <w:rStyle w:val="InternetLink"/>
                  <w:rFonts w:ascii="Arial;sans-serif" w:hAnsi="Arial;sans-serif"/>
                  <w:b w:val="false"/>
                  <w:color w:val="0000FF"/>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106">
              <w:r>
                <w:rPr>
                  <w:rStyle w:val="InternetLink"/>
                  <w:rFonts w:ascii="Arial;sans-serif" w:hAnsi="Arial;sans-serif"/>
                  <w:b w:val="false"/>
                  <w:color w:val="0000FF"/>
                  <w:sz w:val="20"/>
                  <w:u w:val="single"/>
                </w:rPr>
                <w:t>36</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109">
              <w:r>
                <w:rPr>
                  <w:rStyle w:val="InternetLink"/>
                  <w:rFonts w:ascii="Arial;sans-serif" w:hAnsi="Arial;sans-serif"/>
                  <w:b w:val="false"/>
                  <w:color w:val="0000FF"/>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109">
              <w:r>
                <w:rPr>
                  <w:rStyle w:val="InternetLink"/>
                  <w:rFonts w:ascii="Arial;sans-serif" w:hAnsi="Arial;sans-serif"/>
                  <w:b w:val="false"/>
                  <w:color w:val="0000FF"/>
                  <w:sz w:val="20"/>
                  <w:u w:val="single"/>
                </w:rPr>
                <w:t>36</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112">
              <w:r>
                <w:rPr>
                  <w:rStyle w:val="InternetLink"/>
                  <w:rFonts w:ascii="Arial;sans-serif" w:hAnsi="Arial;sans-serif"/>
                  <w:b w:val="false"/>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118">
              <w:r>
                <w:rPr>
                  <w:rStyle w:val="InternetLink"/>
                  <w:rFonts w:ascii="Arial;sans-serif" w:hAnsi="Arial;sans-serif"/>
                  <w:b w:val="false"/>
                  <w:color w:val="0000FF"/>
                  <w:sz w:val="20"/>
                  <w:u w:val="single"/>
                </w:rPr>
                <w:t>37</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50c53d1bec47ecb21892c7f7384d1f_118">
              <w:r>
                <w:rPr>
                  <w:rStyle w:val="InternetLink"/>
                  <w:rFonts w:ascii="Arial;sans-serif" w:hAnsi="Arial;sans-serif"/>
                  <w:b w:val="false"/>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118">
              <w:r>
                <w:rPr>
                  <w:rStyle w:val="InternetLink"/>
                  <w:rFonts w:ascii="Arial;sans-serif" w:hAnsi="Arial;sans-serif"/>
                  <w:b w:val="false"/>
                  <w:color w:val="0000FF"/>
                  <w:sz w:val="20"/>
                  <w:u w:val="single"/>
                </w:rPr>
                <w:t>37</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1b50c53d1bec47ecb21892c7f7384d1f_121">
              <w:r>
                <w:rPr>
                  <w:rStyle w:val="InternetLink"/>
                  <w:rFonts w:ascii="Arial;sans-serif" w:hAnsi="Arial;sans-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50c53d1bec47ecb21892c7f7384d1f_121">
              <w:r>
                <w:rPr>
                  <w:rStyle w:val="InternetLink"/>
                  <w:rFonts w:ascii="Arial;sans-serif" w:hAnsi="Arial;sans-serif"/>
                  <w:b w:val="false"/>
                  <w:color w:val="0000FF"/>
                  <w:sz w:val="20"/>
                  <w:u w:val="single"/>
                </w:rPr>
                <w:t>38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0850"/>
                <wp:effectExtent l="0" t="0" r="0" b="0"/>
                <wp:wrapNone/>
                <wp:docPr id="2" name="Frame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and shares, except per share data)</w:t>
      </w:r>
    </w:p>
    <w:tbl>
      <w:tblPr>
        <w:tblW w:w="10134" w:type="dxa"/>
        <w:jc w:val="center"/>
        <w:tblInd w:w="0" w:type="dxa"/>
        <w:tblLayout w:type="fixed"/>
        <w:tblCellMar>
          <w:top w:w="28" w:type="dxa"/>
          <w:left w:w="28" w:type="dxa"/>
          <w:bottom w:w="28" w:type="dxa"/>
          <w:right w:w="28" w:type="dxa"/>
        </w:tblCellMar>
      </w:tblPr>
      <w:tblGrid>
        <w:gridCol w:w="2235"/>
        <w:gridCol w:w="1963"/>
        <w:gridCol w:w="1981"/>
        <w:gridCol w:w="407"/>
        <w:gridCol w:w="1193"/>
        <w:gridCol w:w="214"/>
        <w:gridCol w:w="109"/>
        <w:gridCol w:w="109"/>
        <w:gridCol w:w="109"/>
        <w:gridCol w:w="390"/>
        <w:gridCol w:w="1138"/>
        <w:gridCol w:w="286"/>
      </w:tblGrid>
      <w:tr>
        <w:trPr/>
        <w:tc>
          <w:tcPr>
            <w:tcW w:w="223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i/>
                <w:color w:val="000000"/>
                <w:sz w:val="18"/>
              </w:rPr>
            </w:pPr>
            <w:r>
              <w:rPr>
                <w:rFonts w:ascii="Arial;sans-serif" w:hAnsi="Arial;sans-serif"/>
                <w:b/>
                <w:i/>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receivable–trade, net of allowance of $0.8 and $4.2</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and equipment, net </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13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obligations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obligations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contingencies and off-balance sheet arrangements (Note 7)</w:t>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$0.01 par value; 110.0 authorized; 18.4 and 17.5 issued </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Treasury stock, at cost, 0.5 shares and 0.5 shares </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358.2 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456.3 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0850"/>
                <wp:effectExtent l="0" t="0" r="0" b="0"/>
                <wp:wrapNone/>
                <wp:docPr id="3" name="Frame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except per share data)</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92"/>
        <w:gridCol w:w="769"/>
        <w:gridCol w:w="768"/>
        <w:gridCol w:w="348"/>
        <w:gridCol w:w="1021"/>
        <w:gridCol w:w="183"/>
        <w:gridCol w:w="109"/>
        <w:gridCol w:w="109"/>
        <w:gridCol w:w="109"/>
        <w:gridCol w:w="348"/>
        <w:gridCol w:w="1021"/>
        <w:gridCol w:w="183"/>
        <w:gridCol w:w="109"/>
        <w:gridCol w:w="109"/>
        <w:gridCol w:w="109"/>
        <w:gridCol w:w="348"/>
        <w:gridCol w:w="1021"/>
        <w:gridCol w:w="183"/>
        <w:gridCol w:w="109"/>
        <w:gridCol w:w="109"/>
        <w:gridCol w:w="109"/>
        <w:gridCol w:w="348"/>
        <w:gridCol w:w="1021"/>
        <w:gridCol w:w="183"/>
        <w:gridCol w:w="109"/>
        <w:gridCol w:w="109"/>
        <w:gridCol w:w="109"/>
        <w:gridCol w:w="160"/>
      </w:tblGrid>
      <w:tr>
        <w:trPr/>
        <w:tc>
          <w:tcPr>
            <w:tcW w:w="99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Impairment and other charges</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income</w:t>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income</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Loss on debt extinguishment</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before income tax</w:t>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share-basic</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share-diluted</w:t>
            </w:r>
          </w:p>
        </w:tc>
        <w:tc>
          <w:tcPr>
            <w:tcW w:w="3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w:t>
            </w:r>
          </w:p>
        </w:tc>
        <w:tc>
          <w:tcPr>
            <w:tcW w:w="1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0850"/>
                <wp:effectExtent l="0" t="0" r="0" b="0"/>
                <wp:wrapNone/>
                <wp:docPr id="4" name="Frame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ind w:left="0" w:right="0" w:firstLine="720"/>
        <w:jc w:val="center"/>
        <w:rPr>
          <w:rFonts w:ascii="Arial;sans-serif" w:hAnsi="Arial;sans-serif"/>
          <w:b/>
          <w:color w:val="000000"/>
          <w:sz w:val="19"/>
        </w:rPr>
      </w:pPr>
      <w:r>
        <w:rPr>
          <w:rFonts w:ascii="Arial;sans-serif" w:hAnsi="Arial;sans-serif"/>
          <w:b/>
          <w:color w:val="000000"/>
          <w:sz w:val="19"/>
        </w:rPr>
        <w:t>KLX Energy Services Holdings,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Stockholders' Equity</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Nine Months Ended September 30, 2025 and September 30, 2024</w:t>
      </w:r>
    </w:p>
    <w:p>
      <w:pPr>
        <w:pStyle w:val="TextBody"/>
        <w:bidi w:val="0"/>
        <w:spacing w:lineRule="auto" w:line="288" w:before="0" w:after="0"/>
        <w:jc w:val="center"/>
        <w:rPr/>
      </w:pPr>
      <w:r>
        <w:rPr>
          <w:rFonts w:ascii="Arial;sans-serif" w:hAnsi="Arial;sans-serif"/>
          <w:b/>
          <w:color w:val="000000"/>
          <w:sz w:val="19"/>
        </w:rPr>
        <w:t>(</w:t>
      </w:r>
      <w:r>
        <w:rPr>
          <w:rFonts w:ascii="Arial;sans-serif" w:hAnsi="Arial;sans-serif"/>
          <w:b/>
          <w:i/>
          <w:color w:val="000000"/>
          <w:sz w:val="19"/>
        </w:rPr>
        <w:t>In millions of U.S. dollars and shares</w:t>
      </w:r>
      <w:r>
        <w:rPr>
          <w:rFonts w:ascii="Arial;sans-serif" w:hAnsi="Arial;sans-serif"/>
          <w:b/>
          <w:color w:val="000000"/>
          <w:sz w:val="19"/>
        </w:rPr>
        <w:t>)</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(Unaudited)</w:t>
      </w:r>
    </w:p>
    <w:tbl>
      <w:tblPr>
        <w:tblW w:w="10205" w:type="dxa"/>
        <w:jc w:val="center"/>
        <w:tblInd w:w="0" w:type="dxa"/>
        <w:tblLayout w:type="fixed"/>
        <w:tblCellMar>
          <w:top w:w="28" w:type="dxa"/>
          <w:left w:w="28" w:type="dxa"/>
          <w:bottom w:w="28" w:type="dxa"/>
          <w:right w:w="28" w:type="dxa"/>
        </w:tblCellMar>
      </w:tblPr>
      <w:tblGrid>
        <w:gridCol w:w="608"/>
        <w:gridCol w:w="507"/>
        <w:gridCol w:w="509"/>
        <w:gridCol w:w="255"/>
        <w:gridCol w:w="256"/>
        <w:gridCol w:w="245"/>
        <w:gridCol w:w="112"/>
        <w:gridCol w:w="112"/>
        <w:gridCol w:w="112"/>
        <w:gridCol w:w="225"/>
        <w:gridCol w:w="434"/>
        <w:gridCol w:w="122"/>
        <w:gridCol w:w="109"/>
        <w:gridCol w:w="109"/>
        <w:gridCol w:w="109"/>
        <w:gridCol w:w="296"/>
        <w:gridCol w:w="866"/>
        <w:gridCol w:w="154"/>
        <w:gridCol w:w="109"/>
        <w:gridCol w:w="109"/>
        <w:gridCol w:w="109"/>
        <w:gridCol w:w="294"/>
        <w:gridCol w:w="588"/>
        <w:gridCol w:w="153"/>
        <w:gridCol w:w="109"/>
        <w:gridCol w:w="109"/>
        <w:gridCol w:w="109"/>
        <w:gridCol w:w="312"/>
        <w:gridCol w:w="937"/>
        <w:gridCol w:w="163"/>
        <w:gridCol w:w="109"/>
        <w:gridCol w:w="109"/>
        <w:gridCol w:w="109"/>
        <w:gridCol w:w="385"/>
        <w:gridCol w:w="961"/>
        <w:gridCol w:w="291"/>
      </w:tblGrid>
      <w:tr>
        <w:trPr/>
        <w:tc>
          <w:tcPr>
            <w:tcW w:w="60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w:t>
            </w:r>
          </w:p>
        </w:tc>
      </w:tr>
      <w:tr>
        <w:trPr/>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Shares </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warrants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2025</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warrants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warrants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2025</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(624.5)</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39"/>
        <w:gridCol w:w="536"/>
        <w:gridCol w:w="538"/>
        <w:gridCol w:w="260"/>
        <w:gridCol w:w="260"/>
        <w:gridCol w:w="261"/>
        <w:gridCol w:w="112"/>
        <w:gridCol w:w="112"/>
        <w:gridCol w:w="112"/>
        <w:gridCol w:w="225"/>
        <w:gridCol w:w="434"/>
        <w:gridCol w:w="122"/>
        <w:gridCol w:w="109"/>
        <w:gridCol w:w="109"/>
        <w:gridCol w:w="109"/>
        <w:gridCol w:w="307"/>
        <w:gridCol w:w="901"/>
        <w:gridCol w:w="160"/>
        <w:gridCol w:w="109"/>
        <w:gridCol w:w="109"/>
        <w:gridCol w:w="109"/>
        <w:gridCol w:w="252"/>
        <w:gridCol w:w="503"/>
        <w:gridCol w:w="131"/>
        <w:gridCol w:w="109"/>
        <w:gridCol w:w="109"/>
        <w:gridCol w:w="109"/>
        <w:gridCol w:w="276"/>
        <w:gridCol w:w="826"/>
        <w:gridCol w:w="144"/>
        <w:gridCol w:w="109"/>
        <w:gridCol w:w="109"/>
        <w:gridCol w:w="109"/>
        <w:gridCol w:w="412"/>
        <w:gridCol w:w="1000"/>
        <w:gridCol w:w="215"/>
        <w:gridCol w:w="159"/>
      </w:tblGrid>
      <w:tr>
        <w:trPr/>
        <w:tc>
          <w:tcPr>
            <w:tcW w:w="63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2024</w:t>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(531.6)</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2024</w:t>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(539.6)</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2024</w:t>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(547.8)</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0850"/>
                <wp:effectExtent l="0" t="0" r="0" b="0"/>
                <wp:wrapNone/>
                <wp:docPr id="5" name="Frame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KLX Energy Services Holdings,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Condensed Consolidated Statements of Cash Flows</w:t>
      </w:r>
    </w:p>
    <w:p>
      <w:pPr>
        <w:pStyle w:val="TextBody"/>
        <w:bidi w:val="0"/>
        <w:spacing w:lineRule="auto" w:line="288" w:before="0" w:after="0"/>
        <w:jc w:val="center"/>
        <w:rPr>
          <w:rFonts w:ascii="Arial;sans-serif" w:hAnsi="Arial;sans-serif"/>
          <w:b/>
          <w:i/>
          <w:color w:val="000000"/>
          <w:sz w:val="16"/>
        </w:rPr>
      </w:pPr>
      <w:r>
        <w:rPr>
          <w:rFonts w:ascii="Arial;sans-serif" w:hAnsi="Arial;sans-serif"/>
          <w:b/>
          <w:i/>
          <w:color w:val="000000"/>
          <w:sz w:val="16"/>
        </w:rPr>
        <w:t>(In millions of U.S. dollars)</w:t>
      </w:r>
    </w:p>
    <w:p>
      <w:pPr>
        <w:pStyle w:val="TextBody"/>
        <w:bidi w:val="0"/>
        <w:spacing w:lineRule="auto" w:line="288" w:before="0" w:after="0"/>
        <w:jc w:val="center"/>
        <w:rPr>
          <w:rFonts w:ascii="Arial;sans-serif" w:hAnsi="Arial;sans-serif"/>
          <w:b/>
          <w:i/>
          <w:color w:val="000000"/>
          <w:sz w:val="16"/>
        </w:rPr>
      </w:pPr>
      <w:r>
        <w:rPr>
          <w:rFonts w:ascii="Arial;sans-serif" w:hAnsi="Arial;sans-serif"/>
          <w:b/>
          <w:i/>
          <w:color w:val="000000"/>
          <w:sz w:val="16"/>
        </w:rPr>
        <w:t>(Unaudited)</w:t>
      </w:r>
    </w:p>
    <w:tbl>
      <w:tblPr>
        <w:tblW w:w="9401" w:type="dxa"/>
        <w:jc w:val="left"/>
        <w:tblInd w:w="0" w:type="dxa"/>
        <w:tblLayout w:type="fixed"/>
        <w:tblCellMar>
          <w:top w:w="28" w:type="dxa"/>
          <w:left w:w="28" w:type="dxa"/>
          <w:bottom w:w="28" w:type="dxa"/>
          <w:right w:w="28" w:type="dxa"/>
        </w:tblCellMar>
      </w:tblPr>
      <w:tblGrid>
        <w:gridCol w:w="2087"/>
        <w:gridCol w:w="1833"/>
        <w:gridCol w:w="1839"/>
        <w:gridCol w:w="406"/>
        <w:gridCol w:w="1001"/>
        <w:gridCol w:w="228"/>
        <w:gridCol w:w="109"/>
        <w:gridCol w:w="109"/>
        <w:gridCol w:w="109"/>
        <w:gridCol w:w="396"/>
        <w:gridCol w:w="972"/>
        <w:gridCol w:w="312"/>
      </w:tblGrid>
      <w:tr>
        <w:trPr/>
        <w:tc>
          <w:tcPr>
            <w:tcW w:w="208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flows used in operating activities</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and other charges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compensation</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fees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inventory reserve</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allowance for doubtful accounts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disposal of property, equipment and other</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receivable</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Inventories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Prepaid expenses and other current and non-current assets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payable</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current and non-current liabilities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cash flows (used in) provided by operating activities</w:t>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property and equipment and other</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cash flows used in investing activities</w:t>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stock issuance, net of costs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under New ABL Facility</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on New ABL Facility</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on Prior ABL Facility</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2030 Senior Notes and warrants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2025 Senior Notes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Mandatory redemption on 2030 Senior Notes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on finance lease obligations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 issuance costs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financed payables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financed payables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cash flows used in financing activities</w:t>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change in cash and cash equivalents and restricted cash</w:t>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and restricted cash, beginning of period</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and restricted cash, end of period</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during period for:</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 net of refunds</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schedule of non-cash activities:</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capital expenditures</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expense (paid in kind)</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850"/>
                <wp:effectExtent l="0" t="0" r="0" b="0"/>
                <wp:wrapNone/>
                <wp:docPr id="6" name="Frame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U.S. dollars in millions, except per share data)</w: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Description of Business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60 service and support facilities located throughout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2025 or for any future period. The information included in these condensed consolidated financial statements should be read in conjunction with the condensed consolidated financial statements and accompanying notes included in the Company’s 2024 Annual Report on Form 10-K filed with the SEC on March 13,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and related disclosures.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2 - Recent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December 2023, the Financial Accounting Standards Board issued Accounting Standards Update ("ASU") 2023-09, Income Taxes (Topic 740). This ASU includes specific annual disclosure requirements for rate reconciliation, income taxes paid and other tax-related disclosures. The guidance is effective for the Company for the fiscal year beginning January 1, 2025 and is not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3 - Inventories,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850"/>
                <wp:effectExtent l="0" t="0" r="0" b="0"/>
                <wp:wrapNone/>
                <wp:docPr id="7"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tbl>
      <w:tblPr>
        <w:tblW w:w="6294" w:type="dxa"/>
        <w:jc w:val="left"/>
        <w:tblInd w:w="0" w:type="dxa"/>
        <w:tblLayout w:type="fixed"/>
        <w:tblCellMar>
          <w:top w:w="28" w:type="dxa"/>
          <w:left w:w="28" w:type="dxa"/>
          <w:bottom w:w="28" w:type="dxa"/>
          <w:right w:w="28" w:type="dxa"/>
        </w:tblCellMar>
      </w:tblPr>
      <w:tblGrid>
        <w:gridCol w:w="727"/>
        <w:gridCol w:w="639"/>
        <w:gridCol w:w="644"/>
        <w:gridCol w:w="109"/>
        <w:gridCol w:w="109"/>
        <w:gridCol w:w="109"/>
        <w:gridCol w:w="459"/>
        <w:gridCol w:w="1116"/>
        <w:gridCol w:w="240"/>
        <w:gridCol w:w="109"/>
        <w:gridCol w:w="109"/>
        <w:gridCol w:w="109"/>
        <w:gridCol w:w="437"/>
        <w:gridCol w:w="1059"/>
        <w:gridCol w:w="319"/>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Spare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Inventory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are made up of spare parts, composite and dissolvable plugs, consumables (including thru-tubing accessory tools, chemicals and cement) and other (including coiled tubing strings and wireline spools) used to perform services for customers. The Company values inventories at the lower of cost or net realizable value. Inventories are reported net of inventory reserve of $3.6 and $3.2 as of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4 - Property and Equipment,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9020" w:type="dxa"/>
        <w:jc w:val="left"/>
        <w:tblInd w:w="0" w:type="dxa"/>
        <w:tblLayout w:type="fixed"/>
        <w:tblCellMar>
          <w:top w:w="28" w:type="dxa"/>
          <w:left w:w="28" w:type="dxa"/>
          <w:bottom w:w="28" w:type="dxa"/>
          <w:right w:w="28" w:type="dxa"/>
        </w:tblCellMar>
      </w:tblPr>
      <w:tblGrid>
        <w:gridCol w:w="1102"/>
        <w:gridCol w:w="969"/>
        <w:gridCol w:w="974"/>
        <w:gridCol w:w="188"/>
        <w:gridCol w:w="188"/>
        <w:gridCol w:w="188"/>
        <w:gridCol w:w="188"/>
        <w:gridCol w:w="188"/>
        <w:gridCol w:w="188"/>
        <w:gridCol w:w="188"/>
        <w:gridCol w:w="188"/>
        <w:gridCol w:w="189"/>
        <w:gridCol w:w="109"/>
        <w:gridCol w:w="109"/>
        <w:gridCol w:w="109"/>
        <w:gridCol w:w="407"/>
        <w:gridCol w:w="1193"/>
        <w:gridCol w:w="214"/>
        <w:gridCol w:w="109"/>
        <w:gridCol w:w="109"/>
        <w:gridCol w:w="109"/>
        <w:gridCol w:w="390"/>
        <w:gridCol w:w="1138"/>
        <w:gridCol w:w="286"/>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buildings and improvements</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and furniture</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assets - finance leases</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(461.1)</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Construction in progress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 net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expense related to non-leased fixed assets was $18.8 and $17.8 for the three months ended September 30, 2025 and 2024, respectively, and $56.7 and $50.7 for the nine months ended September 30, 2025 and 2024, respectively. Finance lease amortization expense was $4.3 and $5.9 for the three months ended September 30, 2025 and 2024, respectively, and $14.5 and $17.6 for the nine months ended September 30, 2025 and 2024, respectively.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Assets Held for Sale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2025, the Company’s condensed consolidated balance sheet included assets classified as held for sale of $0.3. The assets held for sale are reported within prepaid expenses and other current assets on the condensed consolidated balance sheet and represent the value of one operational facility and select equipment. These assets were being actively marketed for sale as of September 30, 2025 and are recorded at the lower of their carrying value or fair value less costs to sell.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5 -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Outstanding debt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850"/>
                <wp:effectExtent l="0" t="0" r="0" b="0"/>
                <wp:wrapNone/>
                <wp:docPr id="8"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tbl>
      <w:tblPr>
        <w:tblW w:w="7254" w:type="dxa"/>
        <w:jc w:val="left"/>
        <w:tblInd w:w="0" w:type="dxa"/>
        <w:tblLayout w:type="fixed"/>
        <w:tblCellMar>
          <w:top w:w="28" w:type="dxa"/>
          <w:left w:w="28" w:type="dxa"/>
          <w:bottom w:w="28" w:type="dxa"/>
          <w:right w:w="28" w:type="dxa"/>
        </w:tblCellMar>
      </w:tblPr>
      <w:tblGrid>
        <w:gridCol w:w="1193"/>
        <w:gridCol w:w="1048"/>
        <w:gridCol w:w="1058"/>
        <w:gridCol w:w="407"/>
        <w:gridCol w:w="1193"/>
        <w:gridCol w:w="214"/>
        <w:gridCol w:w="109"/>
        <w:gridCol w:w="109"/>
        <w:gridCol w:w="109"/>
        <w:gridCol w:w="390"/>
        <w:gridCol w:w="1138"/>
        <w:gridCol w:w="286"/>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Senior Notes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Senior Notes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ABL Facility</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ABL Facility</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outstanding</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Original issue discount</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285.1 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Refinancing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On March 7, 2025, the Company and certain of our subsidiaries party thereto entered into a Securities Purchase Agreement with certain holders (the “Investors”) of our 11.5% senior secured notes due 2025 (the “2025 Senior Notes”), pursuant to which the Company agreed to issue and sell to the Investors (a) approximately $232.2 in aggregate principal amount of the Senior Secured Floating Rate Cash / PIK Notes due 2030 (the “2030 Senior Notes” and, together with the 2025 Senior Notes, the “Senior Secured Notes”) and (b) warrants entitling the holders thereof to purchase, in the aggregate, up to 2,373,187 shares of Common Stock, at an exercise price of $0.01</w:t>
      </w:r>
      <w:r>
        <w:rPr>
          <w:color w:val="000000"/>
        </w:rPr>
        <w:t xml:space="preserve"> </w:t>
      </w:r>
      <w:r>
        <w:rPr>
          <w:rFonts w:ascii="Arial;sans-serif" w:hAnsi="Arial;sans-serif"/>
          <w:b w:val="false"/>
          <w:color w:val="000000"/>
          <w:sz w:val="20"/>
        </w:rPr>
        <w:t>per share, subject to adjustment in exchange for (i) approximately $78.4 in aggregate cash consideration and (ii) approximately $143.6 aggregate principal amount of the 2025 Senior Notes, which were cancelled by the Company upon receipt thereof (collectively, the “Refinancing”). The Company consummated the Refinancing on March 12, 2025.</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Senior Secured Notes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2030 Senior Notes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12, 2025, as part of the Refinancing, the Company and certain of its subsidiaries entered into an indenture, dated as of March 12, 2025 (the “2030 Senior Notes Indenture”), with U.S. Bank Trust Company, National Association, as the trustee and notes collateral agent, pursuant to which $232.2 of the 2030 Senior Notes were issued. The 2030 Senior Notes will 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w:t>
      </w:r>
      <w:r>
        <w:rPr>
          <w:color w:val="000000"/>
        </w:rPr>
        <w:t xml:space="preserve"> </w:t>
      </w:r>
      <w:r>
        <w:rPr>
          <w:rFonts w:ascii="Arial;sans-serif" w:hAnsi="Arial;sans-serif"/>
          <w:b w:val="false"/>
          <w:color w:val="000000"/>
          <w:sz w:val="20"/>
        </w:rPr>
        <w:t>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were initially fully and unconditionally guaranteed by each of the Company’s current subsidiaries. The 2030 Senior Notes will also be guaranteed by each of the Company’s future subsidiaries that guarantee the Company’s indebtedness or indebtedness of guarantors, including under the New ABL Facility (as defined below)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New ABL Facility on a first priority basis) and a second priority security interest on the guarantors’ assets which secure the New ABL Facility on a first priority basis, subject in each case to certain excluded assets.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Company will be required to redeem the 2030 Senior Notes in an amount equal to 2.00%</w:t>
      </w:r>
      <w:r>
        <w:rPr>
          <w:color w:val="000000"/>
        </w:rPr>
        <w:t xml:space="preserve"> </w:t>
      </w:r>
      <w:r>
        <w:rPr>
          <w:rFonts w:ascii="Arial;sans-serif" w:hAnsi="Arial;sans-serif"/>
          <w:b w:val="false"/>
          <w:color w:val="000000"/>
          <w:sz w:val="20"/>
        </w:rPr>
        <w:t xml:space="preserve">per annum of all 2030 Senior Notes outstanding as of the prior applicable Interest Payment Date (as defined in the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850"/>
                <wp:effectExtent l="0" t="0" r="0" b="0"/>
                <wp:wrapNone/>
                <wp:docPr id="9"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Senior Notes Indenture) on the last business day of each of March, June, September and December, commencing on March 31, 2025. Additionally, upon certain changes of control, consummation of certain asset sales and other events, the Company will be required to repurchase the 2030 Senior Notes at the applicable redemption prices.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2030 Senior Notes Indenture contains certain financial covenants that include (i) a maximum total net leverage ratio of not greater than 4.50</w:t>
      </w:r>
      <w:r>
        <w:rPr>
          <w:color w:val="000000"/>
        </w:rPr>
        <w:t xml:space="preserve"> </w:t>
      </w:r>
      <w:r>
        <w:rPr>
          <w:rFonts w:ascii="Arial;sans-serif" w:hAnsi="Arial;sans-serif"/>
          <w:b w:val="false"/>
          <w:color w:val="000000"/>
          <w:sz w:val="20"/>
        </w:rPr>
        <w:t>to 1.0 for the test periods ending March 31, 2025 through December 31, 2025, stepping down to 4.00</w:t>
      </w:r>
      <w:r>
        <w:rPr>
          <w:color w:val="000000"/>
        </w:rPr>
        <w:t xml:space="preserve"> </w:t>
      </w:r>
      <w:r>
        <w:rPr>
          <w:rFonts w:ascii="Arial;sans-serif" w:hAnsi="Arial;sans-serif"/>
          <w:b w:val="false"/>
          <w:color w:val="000000"/>
          <w:sz w:val="20"/>
        </w:rPr>
        <w:t>to 1.0 for the test periods ending March 31, 2026 through December 31, 2026, 3.50 to 1.0 for the test periods ending March 31, 2027 through December 31, 2027, 3.00</w:t>
      </w:r>
      <w:r>
        <w:rPr>
          <w:color w:val="000000"/>
        </w:rPr>
        <w:t xml:space="preserve"> </w:t>
      </w:r>
      <w:r>
        <w:rPr>
          <w:rFonts w:ascii="Arial;sans-serif" w:hAnsi="Arial;sans-serif"/>
          <w:b w:val="false"/>
          <w:color w:val="000000"/>
          <w:sz w:val="20"/>
        </w:rPr>
        <w:t>to 1.0 for the test periods ending March 31, 2028 through December 31, 2028, and 2.50</w:t>
      </w:r>
      <w:r>
        <w:rPr>
          <w:color w:val="000000"/>
        </w:rPr>
        <w:t xml:space="preserve"> </w:t>
      </w:r>
      <w:r>
        <w:rPr>
          <w:rFonts w:ascii="Arial;sans-serif" w:hAnsi="Arial;sans-serif"/>
          <w:b w:val="false"/>
          <w:color w:val="000000"/>
          <w:sz w:val="20"/>
        </w:rPr>
        <w:t>to 1.0 for each test period thereafter and (ii) restrictions on making net capital expenditures in any test period in excess of the greater of (x) $65.0</w:t>
      </w:r>
      <w:r>
        <w:rPr>
          <w:color w:val="000000"/>
        </w:rPr>
        <w:t xml:space="preserve"> </w:t>
      </w:r>
      <w:r>
        <w:rPr>
          <w:rFonts w:ascii="Arial;sans-serif" w:hAnsi="Arial;sans-serif"/>
          <w:b w:val="false"/>
          <w:color w:val="000000"/>
          <w:sz w:val="20"/>
        </w:rPr>
        <w:t>in the aggregate or (y) 7%</w:t>
      </w:r>
      <w:r>
        <w:rPr>
          <w:color w:val="000000"/>
        </w:rPr>
        <w:t xml:space="preserve"> </w:t>
      </w:r>
      <w:r>
        <w:rPr>
          <w:rFonts w:ascii="Arial;sans-serif" w:hAnsi="Arial;sans-serif"/>
          <w:b w:val="false"/>
          <w:color w:val="000000"/>
          <w:sz w:val="20"/>
        </w:rPr>
        <w:t>of revenues during such test period. As of September 30, 2025, the Company was in full compliance with its debt covenants under the 2030 Senior Notes Indenture.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September 30, 2025, the principal amount outstanding under the 2030 Senior Notes was $241.7. On a net basis, after taking into consideration unamortized debt issuance costs and original issue discount for the 2030 Senior Notes, total debt related to the 2030 Senior Notes as of September 30, 2025 was $219.2. The effective interest rate under the 2030 Senior Notes was approximately 12.67% on September 30, 2025. Accrued interest related to the 2030 Senior Notes was $0.8 as of September 30, 2025.</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2025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previously-issued 2025 Senior Notes were redeemed on March 30, 2025 and the related indenture was satisfied and discharged. On a net basis, after taking into consideration the debt issuance costs for the 2025 Senior Notes, total debt related to the 2025 Senior Notes as of December 31, 2024 was $235.1. The 2025 Senior Notes bore interest at an annual rate of 11.5%, payable semi-annually in arrears on May 1 and November 1. Accrued interest as of December 31, 2024 was $4.5.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ABL Facilities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New ABL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850"/>
                <wp:effectExtent l="0" t="0" r="0" b="0"/>
                <wp:wrapNone/>
                <wp:docPr id="10"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7, 2025, the Company entered into a Credit Agreement, dated as of March 7, 2025 (the “New ABL Facility”), with the Company, as borrower, Eclipse Business Capital LLC, as administrative agent, as collateral agent and as FILO administrative agent and the lenders party thereto. The New ABL Facility is comprised of an asset-based revolving credit facility with a $125.0 commitment (the “Revolving Facility”), a first-in-last-out asset-based credit facility with a $10.0</w:t>
      </w:r>
      <w:r>
        <w:rPr>
          <w:color w:val="000000"/>
        </w:rPr>
        <w:t xml:space="preserve"> </w:t>
      </w:r>
      <w:r>
        <w:rPr>
          <w:rFonts w:ascii="Arial;sans-serif" w:hAnsi="Arial;sans-serif"/>
          <w:b w:val="false"/>
          <w:color w:val="000000"/>
          <w:sz w:val="20"/>
        </w:rPr>
        <w:t>commitment (the “FILO Facility”), and a committed incremental loan option under the Revolving Facility with a $25.0</w:t>
      </w:r>
      <w:r>
        <w:rPr>
          <w:color w:val="000000"/>
        </w:rPr>
        <w:t xml:space="preserve"> </w:t>
      </w:r>
      <w:r>
        <w:rPr>
          <w:rFonts w:ascii="Arial;sans-serif" w:hAnsi="Arial;sans-serif"/>
          <w:b w:val="false"/>
          <w:color w:val="000000"/>
          <w:sz w:val="20"/>
        </w:rPr>
        <w:t>commitment (the “Incremental Revolving Loans”). 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$5.0</w:t>
      </w:r>
      <w:r>
        <w:rPr>
          <w:color w:val="000000"/>
        </w:rPr>
        <w:t xml:space="preserve"> </w:t>
      </w:r>
      <w:r>
        <w:rPr>
          <w:rFonts w:ascii="Arial;sans-serif" w:hAnsi="Arial;sans-serif"/>
          <w:b w:val="false"/>
          <w:color w:val="000000"/>
          <w:sz w:val="20"/>
        </w:rPr>
        <w:t>over-advance provided on the initial funding date under the Revolving Facility. The New ABL Facility is secured by, among other things, a first priority lien on accounts receivable and inventory and contains customary conditions precedent to borrowing and affirmative and negative covenants.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initial funding under the New ABL Facility occurred on March 12, 2025, and the proceeds therefrom were used to repay the Prior ABL Facility (as defined below) in full. After giving effect to the foregoing, we had approximately $39.9</w:t>
      </w:r>
      <w:r>
        <w:rPr>
          <w:color w:val="000000"/>
        </w:rPr>
        <w:t xml:space="preserve"> </w:t>
      </w:r>
      <w:r>
        <w:rPr>
          <w:rFonts w:ascii="Arial;sans-serif" w:hAnsi="Arial;sans-serif"/>
          <w:b w:val="false"/>
          <w:color w:val="000000"/>
          <w:sz w:val="20"/>
        </w:rPr>
        <w:t>of available borrowing capacity under the New ABL Facility. Our New ABL Facility matures in 2028.</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New ABL Facility includes a springing financial covenant which requires the Company’s consolidated fixed charge coverage ratio to be at least 1.0 to 1.0 if availability under the Revolving Facility falls below $7.0. The New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New ABL Facility could result in an event of default, which could permit acceleration of the debt, termination of undrawn commitments and enforcement against any liens securing the debt. The New ABL Facility contains certain other covenants (including the ability to incur indebtedness for the purpose of consummating permitted acquisitions, subject to the terms of the New ABL Facility), events of default and other customary provisions. As of September 30, 2025, the Company was in full compliance with its debt covenants under the New ABL Facility.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September 30, 2025, the borrowings outstanding under the New ABL Facility were $40.0. The effective interest rate under the New ABL Facility was approximately 9.02% on September 30, 2025. Accrued interest related to the New ABL Facility was $0.4 as of September 30, 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have funds available under the New ABL Facility of $56.9 on the borrowing base certificate, which includes the undrawn availability on the FILO Facility.</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Prior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12, 2025, in connection with the completion of the Refinancing, the Prior ABL Facility was repaid in full using borrowings under the New ABL Facility and the commitments thereunder terminated. As of December 31, 2024, $50.0 was outstanding under the Prior ABL Facility and the effective interest rate under the Prior ABL Facility was approximately 7.44%.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debt-related items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850"/>
                <wp:effectExtent l="0" t="0" r="0" b="0"/>
                <wp:wrapNone/>
                <wp:docPr id="11"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standby letters of credit to facilitate commercial transactions with third parties and to secure our performance to certain vendors. Total letters of credit outstanding under the New ABL Facility were $5.6 at September 30, 2025 and under the Prior ABL Facility were $6.5 at December 31, 2024. To the extent liabilities are incurred as a result of the activities covered by the letters of credit, such liabilities are included on the accompanying consolidated balance sheets. Restricted cash on the balance sheet is largely tied to cash collateralized letters of credit as we shift from our Prior ABL Facility to the New ABL Facility. As of the date of filing, none of the restricted cash remains restricted.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2025, the Company had $2.9 of outstanding short-term indebtedness related to the financing of various insurance premiums, which is included in the Accrued liabilities line item in the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6 - Fair Value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 quoted prices for identical assets and liabilities in markets that are not active or observable inputs other than quoted prices in active markets for identical assets and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3 – unobservable inputs in which there is little or no market data available, which require the reporting entity to develop its own assumptions.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carrying amounts of cash and cash equivalents, restricted cash, accounts receivable-trade and accounts payable represent their respective fair values due to their short-term nature. There was $40.0 debt outstanding under the New ABL Facility as of September 30, 2025. The fair value of the New ABL Facility approximates its carrying value as of September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the Senior Secured Notes, based on market prices for publicly traded debt, as of September 30, 2025 and December 31, 2024:</w:t>
      </w:r>
    </w:p>
    <w:p>
      <w:pPr>
        <w:pStyle w:val="TextBody"/>
        <w:bidi w:val="0"/>
        <w:spacing w:before="0" w:after="0"/>
        <w:jc w:val="both"/>
        <w:rPr/>
      </w:pPr>
      <w:r>
        <w:rPr/>
      </w:r>
    </w:p>
    <w:tbl>
      <w:tblPr>
        <w:tblW w:w="8303" w:type="dxa"/>
        <w:jc w:val="left"/>
        <w:tblInd w:w="0" w:type="dxa"/>
        <w:tblLayout w:type="fixed"/>
        <w:tblCellMar>
          <w:top w:w="28" w:type="dxa"/>
          <w:left w:w="28" w:type="dxa"/>
          <w:bottom w:w="28" w:type="dxa"/>
          <w:right w:w="28" w:type="dxa"/>
        </w:tblCellMar>
      </w:tblPr>
      <w:tblGrid>
        <w:gridCol w:w="856"/>
        <w:gridCol w:w="753"/>
        <w:gridCol w:w="760"/>
        <w:gridCol w:w="407"/>
        <w:gridCol w:w="1193"/>
        <w:gridCol w:w="214"/>
        <w:gridCol w:w="109"/>
        <w:gridCol w:w="109"/>
        <w:gridCol w:w="109"/>
        <w:gridCol w:w="259"/>
        <w:gridCol w:w="499"/>
        <w:gridCol w:w="134"/>
        <w:gridCol w:w="134"/>
        <w:gridCol w:w="134"/>
        <w:gridCol w:w="134"/>
        <w:gridCol w:w="259"/>
        <w:gridCol w:w="499"/>
        <w:gridCol w:w="134"/>
        <w:gridCol w:w="134"/>
        <w:gridCol w:w="134"/>
        <w:gridCol w:w="134"/>
        <w:gridCol w:w="259"/>
        <w:gridCol w:w="757"/>
        <w:gridCol w:w="189"/>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Senior Notes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258" w:type="dxa"/>
        <w:jc w:val="left"/>
        <w:tblInd w:w="0" w:type="dxa"/>
        <w:tblLayout w:type="fixed"/>
        <w:tblCellMar>
          <w:top w:w="28" w:type="dxa"/>
          <w:left w:w="28" w:type="dxa"/>
          <w:bottom w:w="28" w:type="dxa"/>
          <w:right w:w="28" w:type="dxa"/>
        </w:tblCellMar>
      </w:tblPr>
      <w:tblGrid>
        <w:gridCol w:w="856"/>
        <w:gridCol w:w="753"/>
        <w:gridCol w:w="760"/>
        <w:gridCol w:w="397"/>
        <w:gridCol w:w="1165"/>
        <w:gridCol w:w="207"/>
        <w:gridCol w:w="109"/>
        <w:gridCol w:w="109"/>
        <w:gridCol w:w="109"/>
        <w:gridCol w:w="259"/>
        <w:gridCol w:w="499"/>
        <w:gridCol w:w="134"/>
        <w:gridCol w:w="134"/>
        <w:gridCol w:w="134"/>
        <w:gridCol w:w="134"/>
        <w:gridCol w:w="259"/>
        <w:gridCol w:w="757"/>
        <w:gridCol w:w="134"/>
        <w:gridCol w:w="134"/>
        <w:gridCol w:w="134"/>
        <w:gridCol w:w="134"/>
        <w:gridCol w:w="259"/>
        <w:gridCol w:w="499"/>
        <w:gridCol w:w="189"/>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Senior Notes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Assets Held for Sale, as disclosed in Note 4 - Property and Equipment, Net, based on sales contracts and comparative price quotes, as of September 30, 2025 and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850"/>
                <wp:effectExtent l="0" t="0" r="0" b="0"/>
                <wp:wrapNone/>
                <wp:docPr id="12"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tbl>
      <w:tblPr>
        <w:tblW w:w="8662" w:type="dxa"/>
        <w:jc w:val="left"/>
        <w:tblInd w:w="0" w:type="dxa"/>
        <w:tblLayout w:type="fixed"/>
        <w:tblCellMar>
          <w:top w:w="28" w:type="dxa"/>
          <w:left w:w="28" w:type="dxa"/>
          <w:bottom w:w="28" w:type="dxa"/>
          <w:right w:w="28" w:type="dxa"/>
        </w:tblCellMar>
      </w:tblPr>
      <w:tblGrid>
        <w:gridCol w:w="803"/>
        <w:gridCol w:w="705"/>
        <w:gridCol w:w="712"/>
        <w:gridCol w:w="527"/>
        <w:gridCol w:w="1014"/>
        <w:gridCol w:w="274"/>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17" w:type="dxa"/>
        <w:jc w:val="left"/>
        <w:tblInd w:w="0" w:type="dxa"/>
        <w:tblLayout w:type="fixed"/>
        <w:tblCellMar>
          <w:top w:w="28" w:type="dxa"/>
          <w:left w:w="28" w:type="dxa"/>
          <w:bottom w:w="28" w:type="dxa"/>
          <w:right w:w="28" w:type="dxa"/>
        </w:tblCellMar>
      </w:tblPr>
      <w:tblGrid>
        <w:gridCol w:w="803"/>
        <w:gridCol w:w="705"/>
        <w:gridCol w:w="712"/>
        <w:gridCol w:w="514"/>
        <w:gridCol w:w="989"/>
        <w:gridCol w:w="267"/>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2025, the before-tax loss related to Assets Held for Sale was $— and $0.4. During the three and nine months ended September 30, 2024, there was no before-tax loss (gain) related to Assets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 Commitments, Contingencies and Off-Balance-Sheet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 Regulations &amp;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our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pStyle w:val="TextBody"/>
        <w:bidi w:val="0"/>
        <w:spacing w:before="0" w:after="0"/>
        <w:jc w:val="both"/>
        <w:rPr/>
      </w:pPr>
      <w:r>
        <w:rPr/>
      </w:r>
    </w:p>
    <w:p>
      <w:pPr>
        <w:pStyle w:val="TextBody"/>
        <w:bidi w:val="0"/>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850"/>
                <wp:effectExtent l="0" t="0" r="0" b="0"/>
                <wp:wrapNone/>
                <wp:docPr id="13"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 Equity and 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Equity Distribution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the Company’s common stock, par value $0.01 per share (“Common Stock”), having an aggregate offering price of up to $50.0. On November 16, 2022, the Company entered into Amendment No. 1 to the Equity Distribution Agreement, which, among other things, allows for debt-for-equity exchanges in accordance with Section 3(a)(9) of the Securities Act of 1933, as amended (the “Securities Act”). On March 14, 2025, the Company entered into Amendment No. 2 to the Equity Distribution Agreement (the “EDA Amendment”), which, among other things, increased the aggregate offering price to up to approximately $57.8 (which amount includes all of the Common Stock previously sold pursuant to the Equity Distribution Agreement prior to the EDA Amendment) and provides for the Company's election not to deliver a placement notice.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Common Stock offered and sold in the ATM Offering may be issued pursuant to the Company’s shelf registration statement on Form S-3 (Registration No. 333-271182) filed with the SEC on April 7, 2023 and declared effective on April 19, 2023 (the “Registration Statement”), the prospectus supplement relating to the ATM Offering filed with the SEC on March 14, 2025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During the three and nine months ended September 30, 2025, the Company sold — and 167,769</w:t>
      </w:r>
      <w:r>
        <w:rPr>
          <w:color w:val="000000"/>
        </w:rPr>
        <w:t xml:space="preserve"> </w:t>
      </w:r>
      <w:r>
        <w:rPr>
          <w:rFonts w:ascii="Arial;sans-serif" w:hAnsi="Arial;sans-serif"/>
          <w:b w:val="false"/>
          <w:color w:val="000000"/>
          <w:sz w:val="20"/>
        </w:rPr>
        <w:t>shares of Common Stock, respectively, in exchange for gross proceeds of approximately $— and $0.6, respectively, and incurred legal and administrative fees of $0.1 and $0.3,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2024, the Company did not sell any shares of Common Stock and incurred legal and administrative fees of $— and $0.2,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850"/>
                <wp:effectExtent l="0" t="0" r="0" b="0"/>
                <wp:wrapNone/>
                <wp:docPr id="14" name="Frame1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or equity-related awards. Compensation cost for the LTIP grants is generally recorded on a straight-line basis over the vesting term of the shares based on the grant date value using the closing trading price.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10, 2023, the stockholders of KLXE approved the Second Amended and Restated KLX Energy Services Holdings, Inc. Long-Term Incentive Plan, amended and restated as of March 8, 2023 (the “Amended and Restated LTIP”), which, among other things, increased the total number of shares of Company Common Stock, par value $0.01 per share, for issuance by 1,200,000 shares, resulting in an increase of the total number of shares of our Common Stock reserved for issuance to 1,256,289, and extended the expiration date to March 8, 2033. A description of the Amended and Restated LTIP is included in the Company’s proxy statement, filed with the SEC on March 28,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Compensation cost recognized during the three and nine months ended September 30, 2025 and September 30, 2024 was related to grants of restricted stock as approved by the Compensation Committee. Stock-based compensation was $0.6 and $1.0 for the three months ended September 30, 2025 and 2024, respectively, and $2.0 and $2.9 for the nine months ended September 30, 2025 and 2024, respectively. Unrecognized compensation cost related to restricted stock awards made by the Company was $3.7 at September 30, 2025 and $3.9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9 -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expense was $0.2 and $0.2 for the three months ended September 30, 2025 and 2024, respectively, and $0.6 and $0.6 for the nine months ended September 30, 2025 and 2024, respectively, and was comprised primarily of state and local taxes. The Company has a full valuation allowance recorded against its net deferred tax assets and, as a result, it was unable to recognize a federal tax benefit on its year-to-date losses.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4, 2025, President Trump signed into law the legislation known as the One Big Beautiful Bill Act (“OBBBA”).  The OBBBA permanently extends several key expiring provisions from the Tax Cut and Jobs Act of 2017, including 100% bonus depreciation, domestic research cost expensing and the business interest expense limitation.  “Accounting Standards Codification on Income Taxes” (Topic 740) requires the effects of changes of new income tax legislation to be recognized in the period in which the legislation is enacted. Due to the full valuation allowance against the Company's net deferred tax assets, the tax effects from the OBBBA were not material to the financial statements.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continues to monitor additional guidance issued by the U.S. Treasury Department, the Internal Revenue Service and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10 - Segment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for capital expenditures and acquisition funding to the Chief Operating Decision Maker (“CODM”). The Company's CODM is our Chief Executive Officer. As a result, the Company has three reportable segments.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present revenues, significant expenses and operating (loss) income by reportable segment: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850"/>
                <wp:effectExtent l="0" t="0" r="0" b="0"/>
                <wp:wrapNone/>
                <wp:docPr id="15" name="Frame1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tbl>
      <w:tblPr>
        <w:tblW w:w="12561" w:type="dxa"/>
        <w:jc w:val="left"/>
        <w:tblInd w:w="0" w:type="dxa"/>
        <w:tblLayout w:type="fixed"/>
        <w:tblCellMar>
          <w:top w:w="28" w:type="dxa"/>
          <w:left w:w="28" w:type="dxa"/>
          <w:bottom w:w="28" w:type="dxa"/>
          <w:right w:w="28" w:type="dxa"/>
        </w:tblCellMar>
      </w:tblPr>
      <w:tblGrid>
        <w:gridCol w:w="456"/>
        <w:gridCol w:w="401"/>
        <w:gridCol w:w="35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1"/>
        <w:gridCol w:w="480"/>
        <w:gridCol w:w="130"/>
        <w:gridCol w:w="109"/>
        <w:gridCol w:w="109"/>
        <w:gridCol w:w="109"/>
        <w:gridCol w:w="196"/>
        <w:gridCol w:w="55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1"/>
        <w:gridCol w:w="480"/>
        <w:gridCol w:w="130"/>
        <w:gridCol w:w="109"/>
        <w:gridCol w:w="109"/>
        <w:gridCol w:w="109"/>
        <w:gridCol w:w="196"/>
        <w:gridCol w:w="55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Selling, general and administrative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Reconciliation of profit or loss (segment profit/(loss))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Unallocated corporate expenses</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Note that the Selling, general and administrative line item in the Consolidated Statement of Operations contains the Other segment items line item here, less the Research and development costs line item.</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For the three months ended September 30, 2025, these consist of $0.7 of cost of sales, $0.4 of depreciation and amortization, $6.5 of selling, general and administrative, and $0.4 of other expenses. For the three months ended September 30, 2024, these consist of $0.7 of cost of sales, $0.3 of depreciation and amortization, $9.9 of selling, general and administrative, and $0.4 of other expenses.</w:t>
      </w:r>
    </w:p>
    <w:p>
      <w:pPr>
        <w:pStyle w:val="TextBody"/>
        <w:bidi w:val="0"/>
        <w:spacing w:before="0" w:after="0"/>
        <w:jc w:val="left"/>
        <w:rPr/>
      </w:pPr>
      <w:r>
        <w:rPr/>
      </w:r>
    </w:p>
    <w:tbl>
      <w:tblPr>
        <w:tblW w:w="13101" w:type="dxa"/>
        <w:jc w:val="left"/>
        <w:tblInd w:w="0" w:type="dxa"/>
        <w:tblLayout w:type="fixed"/>
        <w:tblCellMar>
          <w:top w:w="28" w:type="dxa"/>
          <w:left w:w="28" w:type="dxa"/>
          <w:bottom w:w="28" w:type="dxa"/>
          <w:right w:w="28" w:type="dxa"/>
        </w:tblCellMar>
      </w:tblPr>
      <w:tblGrid>
        <w:gridCol w:w="456"/>
        <w:gridCol w:w="401"/>
        <w:gridCol w:w="35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1"/>
        <w:gridCol w:w="480"/>
        <w:gridCol w:w="130"/>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1"/>
        <w:gridCol w:w="480"/>
        <w:gridCol w:w="130"/>
        <w:gridCol w:w="109"/>
        <w:gridCol w:w="109"/>
        <w:gridCol w:w="109"/>
        <w:gridCol w:w="196"/>
        <w:gridCol w:w="55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Selling, general and administrative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Reconciliation of profit or loss (segment profit/(loss))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Unallocated corporate expenses</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Note that the Selling, general and administrative line item in the Consolidated Statement of Operations contains the Other segment items line item here, less the Research and development costs line item.</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For the nine months ended September 30, 2025, these consist of $2.1 of cost of sales, $1.4 of depreciation and amortization, $23.5 of selling, general and administrative, and $1.2 of other expenses. For the nine months ended September 30, 2024, these consist of $3.5 of cost of sales, $1.3 of depreciation and amortization, $28.3 of selling, general and administrative, and $1.0 of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850"/>
                <wp:effectExtent l="0" t="0" r="0" b="0"/>
                <wp:wrapNone/>
                <wp:docPr id="16" name="Frame1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segment items include research and development costs, allocations and other expenses.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tables present revenues by service offering by reportable segment:</w:t>
      </w:r>
    </w:p>
    <w:p>
      <w:pPr>
        <w:pStyle w:val="TextBody"/>
        <w:bidi w:val="0"/>
        <w:spacing w:before="0" w:after="0"/>
        <w:jc w:val="both"/>
        <w:rPr/>
      </w:pPr>
      <w:r>
        <w:rPr/>
      </w:r>
    </w:p>
    <w:tbl>
      <w:tblPr>
        <w:tblW w:w="11994" w:type="dxa"/>
        <w:jc w:val="left"/>
        <w:tblInd w:w="0" w:type="dxa"/>
        <w:tblLayout w:type="fixed"/>
        <w:tblCellMar>
          <w:top w:w="28" w:type="dxa"/>
          <w:left w:w="28" w:type="dxa"/>
          <w:bottom w:w="28" w:type="dxa"/>
          <w:right w:w="28" w:type="dxa"/>
        </w:tblCellMar>
      </w:tblPr>
      <w:tblGrid>
        <w:gridCol w:w="352"/>
        <w:gridCol w:w="309"/>
        <w:gridCol w:w="315"/>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6"/>
        <w:gridCol w:w="472"/>
        <w:gridCol w:w="133"/>
        <w:gridCol w:w="109"/>
        <w:gridCol w:w="109"/>
        <w:gridCol w:w="109"/>
        <w:gridCol w:w="196"/>
        <w:gridCol w:w="55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236"/>
        <w:gridCol w:w="472"/>
        <w:gridCol w:w="133"/>
        <w:gridCol w:w="109"/>
        <w:gridCol w:w="109"/>
        <w:gridCol w:w="109"/>
        <w:gridCol w:w="196"/>
        <w:gridCol w:w="556"/>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Drilling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Completion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Production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Intervention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2534" w:type="dxa"/>
        <w:jc w:val="left"/>
        <w:tblInd w:w="0" w:type="dxa"/>
        <w:tblLayout w:type="fixed"/>
        <w:tblCellMar>
          <w:top w:w="28" w:type="dxa"/>
          <w:left w:w="28" w:type="dxa"/>
          <w:bottom w:w="28" w:type="dxa"/>
          <w:right w:w="28" w:type="dxa"/>
        </w:tblCellMar>
      </w:tblPr>
      <w:tblGrid>
        <w:gridCol w:w="352"/>
        <w:gridCol w:w="309"/>
        <w:gridCol w:w="315"/>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6"/>
        <w:gridCol w:w="472"/>
        <w:gridCol w:w="133"/>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6"/>
        <w:gridCol w:w="472"/>
        <w:gridCol w:w="133"/>
        <w:gridCol w:w="109"/>
        <w:gridCol w:w="109"/>
        <w:gridCol w:w="109"/>
        <w:gridCol w:w="196"/>
        <w:gridCol w:w="556"/>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Drilling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Completion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Intervention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total assets by segment:</w:t>
      </w:r>
    </w:p>
    <w:tbl>
      <w:tblPr>
        <w:tblW w:w="5635" w:type="dxa"/>
        <w:jc w:val="left"/>
        <w:tblInd w:w="0" w:type="dxa"/>
        <w:tblLayout w:type="fixed"/>
        <w:tblCellMar>
          <w:top w:w="28" w:type="dxa"/>
          <w:left w:w="28" w:type="dxa"/>
          <w:bottom w:w="28" w:type="dxa"/>
          <w:right w:w="28" w:type="dxa"/>
        </w:tblCellMar>
      </w:tblPr>
      <w:tblGrid>
        <w:gridCol w:w="608"/>
        <w:gridCol w:w="535"/>
        <w:gridCol w:w="537"/>
        <w:gridCol w:w="407"/>
        <w:gridCol w:w="1193"/>
        <w:gridCol w:w="214"/>
        <w:gridCol w:w="109"/>
        <w:gridCol w:w="109"/>
        <w:gridCol w:w="109"/>
        <w:gridCol w:w="390"/>
        <w:gridCol w:w="1138"/>
        <w:gridCol w:w="286"/>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Unallocated assets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358.2 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456.3 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cash capital expenditures by reportable segment:</w:t>
      </w:r>
    </w:p>
    <w:tbl>
      <w:tblPr>
        <w:tblW w:w="10205" w:type="dxa"/>
        <w:jc w:val="left"/>
        <w:tblInd w:w="0" w:type="dxa"/>
        <w:tblLayout w:type="fixed"/>
        <w:tblCellMar>
          <w:top w:w="28" w:type="dxa"/>
          <w:left w:w="28" w:type="dxa"/>
          <w:bottom w:w="28" w:type="dxa"/>
          <w:right w:w="28" w:type="dxa"/>
        </w:tblCellMar>
      </w:tblPr>
      <w:tblGrid>
        <w:gridCol w:w="802"/>
        <w:gridCol w:w="666"/>
        <w:gridCol w:w="669"/>
        <w:gridCol w:w="417"/>
        <w:gridCol w:w="1015"/>
        <w:gridCol w:w="218"/>
        <w:gridCol w:w="109"/>
        <w:gridCol w:w="109"/>
        <w:gridCol w:w="109"/>
        <w:gridCol w:w="417"/>
        <w:gridCol w:w="1015"/>
        <w:gridCol w:w="218"/>
        <w:gridCol w:w="109"/>
        <w:gridCol w:w="109"/>
        <w:gridCol w:w="109"/>
        <w:gridCol w:w="417"/>
        <w:gridCol w:w="1015"/>
        <w:gridCol w:w="218"/>
        <w:gridCol w:w="109"/>
        <w:gridCol w:w="109"/>
        <w:gridCol w:w="109"/>
        <w:gridCol w:w="417"/>
        <w:gridCol w:w="1015"/>
        <w:gridCol w:w="218"/>
        <w:gridCol w:w="109"/>
        <w:gridCol w:w="109"/>
        <w:gridCol w:w="109"/>
        <w:gridCol w:w="160"/>
      </w:tblGrid>
      <w:tr>
        <w:trPr/>
        <w:tc>
          <w:tcPr>
            <w:tcW w:w="80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Unallocated expenditures</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capital expenditures</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850"/>
                <wp:effectExtent l="0" t="0" r="0" b="0"/>
                <wp:wrapNone/>
                <wp:docPr id="17" name="Frame1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 Net Loss Per Common Share</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Basic net loss per common share is computed using the weighted average common shares outstanding during the period. Diluted net loss per common share is computed by using the weighted average common shares outstanding, including the dilutive effect of restricted shares based on an average share price during the period. For the three months ended September 30, 2025 and 2024, 0.8 million shares and 0.7 million shares of the Company’s Common Stock, respectively, and for the nine months ended September 30, 2025 and 2024, 0.7 million shares and 0.4 million shares of the Company’s Common Stock, respectively,</w:t>
      </w:r>
      <w:r>
        <w:rPr>
          <w:color w:val="000000"/>
        </w:rPr>
        <w:t xml:space="preserve"> </w:t>
      </w:r>
      <w:r>
        <w:rPr>
          <w:rFonts w:ascii="Arial;sans-serif" w:hAnsi="Arial;sans-serif"/>
          <w:b w:val="false"/>
          <w:color w:val="000000"/>
          <w:sz w:val="20"/>
        </w:rPr>
        <w:t>were excluded from the determination of diluted net loss per common share because their effect would have been anti-dilutive. The computations of basic and diluted net loss per share for the three and nine months ended September 30, 2025 and 2024 are as follows:</w:t>
      </w:r>
    </w:p>
    <w:tbl>
      <w:tblPr>
        <w:tblW w:w="10205" w:type="dxa"/>
        <w:jc w:val="left"/>
        <w:tblInd w:w="0" w:type="dxa"/>
        <w:tblLayout w:type="fixed"/>
        <w:tblCellMar>
          <w:top w:w="28" w:type="dxa"/>
          <w:left w:w="28" w:type="dxa"/>
          <w:bottom w:w="28" w:type="dxa"/>
          <w:right w:w="28" w:type="dxa"/>
        </w:tblCellMar>
      </w:tblPr>
      <w:tblGrid>
        <w:gridCol w:w="999"/>
        <w:gridCol w:w="829"/>
        <w:gridCol w:w="836"/>
        <w:gridCol w:w="378"/>
        <w:gridCol w:w="944"/>
        <w:gridCol w:w="196"/>
        <w:gridCol w:w="109"/>
        <w:gridCol w:w="109"/>
        <w:gridCol w:w="109"/>
        <w:gridCol w:w="378"/>
        <w:gridCol w:w="944"/>
        <w:gridCol w:w="196"/>
        <w:gridCol w:w="109"/>
        <w:gridCol w:w="109"/>
        <w:gridCol w:w="109"/>
        <w:gridCol w:w="378"/>
        <w:gridCol w:w="944"/>
        <w:gridCol w:w="196"/>
        <w:gridCol w:w="109"/>
        <w:gridCol w:w="109"/>
        <w:gridCol w:w="109"/>
        <w:gridCol w:w="378"/>
        <w:gridCol w:w="944"/>
        <w:gridCol w:w="196"/>
        <w:gridCol w:w="109"/>
        <w:gridCol w:w="109"/>
        <w:gridCol w:w="109"/>
        <w:gridCol w:w="161"/>
      </w:tblGrid>
      <w:tr>
        <w:trPr/>
        <w:tc>
          <w:tcPr>
            <w:tcW w:w="99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in millions)</w:t>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 - dilutive securities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loss per common share</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per common share</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Securities and Exchange Commission (the “SEC”), in particular those discussed under the headings “Risk Factors” in our Annual Report on Form 10-K for the year ended December 31, 2024 and in this Quarterly Report, including the following factors:</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general economic conditions, such as market volatility, inflation and government efforts to reduce inflation or a recession;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persistent volatility in national and global crude oil demand and crude oil prices;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inefficiencies, curtailments or shutdowns in our customers’ operations whether in response to reductions in demand or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uncertainty regarding our future operating results;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regulation of and dependence upon the energy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0850"/>
                <wp:effectExtent l="0" t="0" r="0" b="0"/>
                <wp:wrapNone/>
                <wp:docPr id="18" name="Frame1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cyclical nature of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fluctuations in market prices for fuel, oil and natural gas;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overall domestic and global political and economic conditions, including the imposition of increased, new and retaliatory tariffs or trade or other economic sanctions, political instability or armed conflict, including the ongoing conflicts in Ukraine, the Israel-Gaza region and elsewhere in the Middle East, including the conflict with Iran;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maintain acceptable pricing for our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competitive conditions within the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loss of or interruption in operations of one or more key suppliers;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legislative or regulatory changes and potential liability under federal and state laws and regulations;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decreases in the rate at which oil and/or natural gas reserves are discovered and/or developed;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technological advances on the demand for our products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customers' delays in obtaining permits for their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hazards and operational risks that may not be fully covered by insurance;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write-off of a significant portion of intangible assets;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liquidity levels and the need to obtain additional capital or financing, and the availability and/or cost of obtaining such capital or financing;</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changes in supply, demand and costs of equipment, including as a result of tariffs;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oilfield anti-indemnity provisions;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seasonal and adverse weather conditions that can affect oil and natural gas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reliance on information technology resources and the inability to implement new technology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terrorist or cyber attacks and the consequences of any such events;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labor costs or our ability to employ, or maintain the employment of, a sufficient number of key employees, technical personnel, and other skilled and qualified workers;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market environment and impacts resulting from a global pandemic and subsequent variants;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inability to successfully consummate or integrate our acquisitions or inability to manage potential growth; and</w:t>
      </w:r>
    </w:p>
    <w:p>
      <w:pPr>
        <w:pStyle w:val="TextBody"/>
        <w:bidi w:val="0"/>
        <w:spacing w:lineRule="auto" w:line="276" w:before="0" w:after="0"/>
        <w:ind w:left="0" w:right="0" w:hanging="180"/>
        <w:jc w:val="both"/>
        <w:rPr/>
      </w:pPr>
      <w:r>
        <w:rPr>
          <w:color w:val="000000"/>
        </w:rPr>
        <w:t>•</w:t>
      </w:r>
      <w:r>
        <w:rPr>
          <w:rFonts w:ascii="Arial;sans-serif" w:hAnsi="Arial;sans-serif"/>
          <w:b w:val="false"/>
          <w:color w:val="000000"/>
          <w:sz w:val="20"/>
        </w:rPr>
        <w:t>our ability to remediate any material weakness in, or to maintain effective, internal controls over financial reporting and disclosure controls and procedures.</w:t>
      </w:r>
    </w:p>
    <w:p>
      <w:pPr>
        <w:pStyle w:val="TextBody"/>
        <w:bidi w:val="0"/>
        <w:spacing w:before="0" w:after="0"/>
        <w:ind w:left="0" w:right="0" w:firstLine="18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0850"/>
                <wp:effectExtent l="0" t="0" r="0" b="0"/>
                <wp:wrapNone/>
                <wp:docPr id="19" name="Frame1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 (U.S. dollars in millions, except per share data)</w:t>
      </w:r>
    </w:p>
    <w:p>
      <w:pPr>
        <w:pStyle w:val="TextBody"/>
        <w:bidi w:val="0"/>
        <w:spacing w:before="0" w:after="0"/>
        <w:ind w:left="0" w:right="0" w:hanging="720"/>
        <w:jc w:val="left"/>
        <w:rPr/>
      </w:pPr>
      <w:r>
        <w:rPr/>
      </w:r>
    </w:p>
    <w:p>
      <w:pPr>
        <w:pStyle w:val="TextBody"/>
        <w:bidi w:val="0"/>
        <w:spacing w:lineRule="auto" w:line="256" w:before="0" w:after="0"/>
        <w:jc w:val="both"/>
        <w:rPr/>
      </w:pPr>
      <w:r>
        <w:rPr>
          <w:rFonts w:ascii="Arial;sans-serif" w:hAnsi="Arial;sans-serif"/>
          <w:b w:val="false"/>
          <w:i/>
          <w:color w:val="000000"/>
          <w:sz w:val="20"/>
        </w:rPr>
        <w:t>The following discussion and analysis should be read in conjunction with the historical condensed consolidated financial statements and related notes included elsewhere in this Quarterly Report as well as our Annual Report on Form 10-K for the year ended December 31, 2024</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and analysis addresses the results of our operations for the three and nine months ended September 30, 2025, as compared to our results of operations for the three and nine months ended September 30, 2024. Note that these results are presented after intercompany eliminations. In addition, the discussion and analysis addresses our liquidity, financial condition and other matters for these periods.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Company History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was initially formed from the combination of seven private oilfield service companies acquired during 2013 and 2014. The Company continued to selectively acquire regional and product line specific businesses through 2019 to expand our service capabilities and broaden our geographic presence. Once the acquisitions were completed, we undertook a comprehensive integration of these businesses to align our services, our people and our assets across all the geographic regions where we maintain a presence. We acquired Quintana Energy Services, Inc. (“QES”) during the second quarter of 2020 and, by doing so, helped establish KLXE as an industry leading provider of asset-light oilfield solutions across the full well lifecycle to the major onshore oil and gas producing regions of the United States.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merger of KLXE and QES (the “QES Merger”) provided increased scale to serve a blue-chip customer base across the onshore oil and gas basins in the United States. The QES Merger combined two strong company cultures comprised of highly talented teams with shared commitments to safety, performance, customer service and profitability. The combination leveraged two of the largest fleets of coiled tubing and wireline assets, resulting in KLXE becoming a leading diversified provider of drilling, completions and production services, with market leadership positions in coiled tubing and fishing services. After closing the QES Merger, the Company integrated personnel, facilities, processes and systems across all functional areas of the organization.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 an all-stock transaction, including $1.7 in cash remaining at Greene's, which was subsequently adjusted to $1.1 due to a $0.6 working capital adjustment.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the Company expects to continue to pursue opportunistic, strategic, accretive acquisitions that would be expected to further strengthen the Company’s competitive positioning and capital structure and drive efficiencies, accelerate growth and create long</w:t>
        <w:noBreakHyphen/>
        <w:t>term stockholder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60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0850"/>
                <wp:effectExtent l="0" t="0" r="0" b="0"/>
                <wp:wrapNone/>
                <wp:docPr id="20" name="Frame2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geographic segments. While we manage our business based upon these geographic groupings, our assets and our technical personnel are deployed on a dynamic basis across all of our service facilities to optimize utilization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and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39 patents and 6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0850"/>
                <wp:effectExtent l="0" t="0" r="0" b="0"/>
                <wp:wrapNone/>
                <wp:docPr id="21" name="Frame2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Trends and Outlook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So far in 2025, factors affecting oil prices have included instability and conflict in the Middle East, output increases from the largest oil-producing countries and changes in the growth rate of the U.S. and world economies. Oil and natural gas prices have been, and may remain, volatile, which impacts demand for our business. West Texas Intermediate’s (“WTI") average daily price per barrel increased by approximately 1.9%, to $65.78 per Bbl during the three months ended September 30, 2025, compared to the WTI average daily price per barrel of $64.57 per Bbl during the three months ended June 30, 2025. In early April 2025, after the introduction of tariffs by the U.S. government and an announced increase in production from the Organization of the Petroleum Exporting Countries and its allies (“OPEC+”), the price of oil dropped by approximately 15%, from $71.87 per Bbl to $61.05 per Bbl. In July and August 2025, OPEC+ announced additional production increases of about 548 and 547 thousand barrels per day, respectively, followed by smaller increases announced in September and October 2025. By the middle of October 2025, WTI price per barrel decreased to just under $60. Per the U.S. Energy Information Administration, U.S. crude oil production is expected to remain constant between 2025 and 2026. Natural gas prices in the third quarter of 2025 were about 11.0% higher than the two-year average. As of September 30, 2025, U.S. land rig count stood at 532, a decrease of 7.2% compared to December 31, 2024, when the U.S. land rig count was 573.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to the year ending December 31, 2025, assuming economic activity holds at the recent level and commodity prices remain volatile, we anticipate that our customers will continue to cautiously allocate capital. So far in the year ending December 31, 2025, WTI prices have increased slightly in the first quarter, before suddenly decreasing due to the above events, making it difficult to anticipate future changes in price. Currently, global oil flows supplied from OPEC+ and other oil producing nations are expected to increase and therefore put downwards pricing pressure globally. As oil price remains above the break-even level for most operators, we expect the industry to retain a cautious approach to drilling and completion expansion.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Oil and natural gas prices may fluctuate with changes in demand due to, among other things, the ongoing war in Ukraine, the Israel-Hamas conflict, the conflict with Iran, international sanctions, speculation as to future actions by OPEC+, gas prices, interest rates, inflation and government efforts to reduce inflation, and possible changes in the overall health of the global economy, including a perceived economic recovery or any increased volatility in financial and credit markets, the imposition of increased, new and retaliatory tariffs or a recession.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that are not within our control and cannot be accurately predicted.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diverse product and service offerings uniquely position KLXE to respond to a rapidly evolving marketplace where we can provide a comprehensive suite of engineered solutions for our customers with one call and one master services agreement.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Generate Revenue and the Costs of Conducting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services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Demand for services in the oil and natural gas industry is cyclical and subject to sudden and significant volatility. We remain focused on serving the needs of our customers by providing a broad portfolio of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0850"/>
                <wp:effectExtent l="0" t="0" r="0" b="0"/>
                <wp:wrapNone/>
                <wp:docPr id="22" name="Frame2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service lines across major basins, while preserving a solid balance sheet, maintaining sufficient operating liquidity and prudently managing our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we have strong management systems in place, which will allow us to manage our operating resources and associated expenses relative to market conditions. Historically, we believe our services have generated margins superior to our competitors based upon the differential quality of our performance, and that these margins may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0850"/>
                <wp:effectExtent l="0" t="0" r="0" b="0"/>
                <wp:wrapNone/>
                <wp:docPr id="23" name="Frame2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Three Months Ended September 30, 2025 Compared to Three Months Ended September 30, 2024</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8120"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418"/>
        <w:gridCol w:w="1282"/>
        <w:gridCol w:w="219"/>
        <w:gridCol w:w="109"/>
        <w:gridCol w:w="109"/>
        <w:gridCol w:w="109"/>
        <w:gridCol w:w="418"/>
        <w:gridCol w:w="1282"/>
        <w:gridCol w:w="219"/>
        <w:gridCol w:w="109"/>
        <w:gridCol w:w="109"/>
        <w:gridCol w:w="109"/>
        <w:gridCol w:w="299"/>
        <w:gridCol w:w="30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7522" w:type="dxa"/>
        <w:jc w:val="left"/>
        <w:tblInd w:w="0" w:type="dxa"/>
        <w:tblLayout w:type="fixed"/>
        <w:tblCellMar>
          <w:top w:w="28" w:type="dxa"/>
          <w:left w:w="28" w:type="dxa"/>
          <w:bottom w:w="28" w:type="dxa"/>
          <w:right w:w="28" w:type="dxa"/>
        </w:tblCellMar>
      </w:tblPr>
      <w:tblGrid>
        <w:gridCol w:w="521"/>
        <w:gridCol w:w="456"/>
        <w:gridCol w:w="464"/>
        <w:gridCol w:w="109"/>
        <w:gridCol w:w="109"/>
        <w:gridCol w:w="109"/>
        <w:gridCol w:w="418"/>
        <w:gridCol w:w="1282"/>
        <w:gridCol w:w="219"/>
        <w:gridCol w:w="109"/>
        <w:gridCol w:w="109"/>
        <w:gridCol w:w="109"/>
        <w:gridCol w:w="418"/>
        <w:gridCol w:w="1282"/>
        <w:gridCol w:w="219"/>
        <w:gridCol w:w="109"/>
        <w:gridCol w:w="109"/>
        <w:gridCol w:w="109"/>
        <w:gridCol w:w="299"/>
        <w:gridCol w:w="301"/>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September 30, 2025, revenues were $166.7, a decrease of $22.2, or 11.8%, as compared with the prior year period. The overall decrease in revenues reflects a decline in activity during the quarter, leading to lower demand for our services. Lower weighted average price contributed to approximately 47% of the $22.2 decrease, and lower weighted average volume contributed to the remaining approximately 53%. On a segment basis, Rocky Mountains segment revenue decreased by $17.1 or 25.2%. Lower weighted average volume contributed to approximately all of the dollar decrease in the Rocky Mountains segment. Southwest segment revenue decreased by $12.0 or 17.5%. Lower weighted average price contributed to approximately 33% of the dollar decrease in the Southwest segment, and lower weighted average volume contributed to the remaining approximately 67%. Northeast/Mid-Con segment revenue increased by $6.9 or 13.2%. Higher weighted average price contributed to approximately all of the dollar increase in the Northeast/Mid-Con segment.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quarter ended September 30, 2025, cost of sales were $130.5, or 78.3% of sales, as compared to the three months ended September 30, 2024 of $142.3, or 75.3% of sales. Cost of sales as a percentage of revenues increased primarily due to lower leverage of fixed costs during the quarter. The two largest components of cost of sales are labor and repair &amp; maintenance. As cost of sales as a percentage of revenues increased, labor costs per employee increased by 0.5% as compared with the three months ended September 30, 2024. Repair &amp; maintenance costs as a percentage of revenues increased by 4.1% as compared to the three months ended September 30, 2024, due to the higher cost during the quarter.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quarter ended September 30, 2025, SG&amp;A expenses were $15.6, or 9.4% of revenues, as compared with $21.2, or 11.2% of revenues, in the prior year period. SG&amp;A expenses decreased at a faster rate than revenues during the quarter, which caused the decrease in percentage of revenues compared to the three months ended September 30,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(loss) income</w:t>
      </w:r>
      <w:r>
        <w:rPr>
          <w:rFonts w:ascii="Arial;sans-serif" w:hAnsi="Arial;sans-serif"/>
          <w:b w:val="false"/>
          <w:color w:val="000000"/>
          <w:sz w:val="20"/>
        </w:rPr>
        <w:t>. The following is a summary of operating (loss) income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0850"/>
                <wp:effectExtent l="0" t="0" r="0" b="0"/>
                <wp:wrapNone/>
                <wp:docPr id="24" name="Frame2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tbl>
      <w:tblPr>
        <w:tblW w:w="9076" w:type="dxa"/>
        <w:jc w:val="center"/>
        <w:tblInd w:w="0" w:type="dxa"/>
        <w:tblLayout w:type="fixed"/>
        <w:tblCellMar>
          <w:top w:w="28" w:type="dxa"/>
          <w:left w:w="28" w:type="dxa"/>
          <w:bottom w:w="28" w:type="dxa"/>
          <w:right w:w="28" w:type="dxa"/>
        </w:tblCellMar>
      </w:tblPr>
      <w:tblGrid>
        <w:gridCol w:w="956"/>
        <w:gridCol w:w="841"/>
        <w:gridCol w:w="843"/>
        <w:gridCol w:w="109"/>
        <w:gridCol w:w="109"/>
        <w:gridCol w:w="109"/>
        <w:gridCol w:w="536"/>
        <w:gridCol w:w="1106"/>
        <w:gridCol w:w="278"/>
        <w:gridCol w:w="109"/>
        <w:gridCol w:w="109"/>
        <w:gridCol w:w="109"/>
        <w:gridCol w:w="536"/>
        <w:gridCol w:w="1106"/>
        <w:gridCol w:w="278"/>
        <w:gridCol w:w="109"/>
        <w:gridCol w:w="109"/>
        <w:gridCol w:w="109"/>
        <w:gridCol w:w="322"/>
        <w:gridCol w:w="324"/>
        <w:gridCol w:w="597"/>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September 30, 2025, operating loss was $3.0 compared to operating income of $1.1 in the prior year period, due to a reduction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across our three geographic segments broadly declined as a function of lower revenues compared to the prior year period. Rocky Mountains segment operating income was $1.8, Southwest segment operating loss was $3.4, and Northeast/Mid-Con segment operating income was $6.6 for the three months ended September 30,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w:t>
      </w:r>
      <w:r>
        <w:rPr>
          <w:rFonts w:ascii="Arial;sans-serif" w:hAnsi="Arial;sans-serif"/>
          <w:b w:val="false"/>
          <w:color w:val="000000"/>
          <w:sz w:val="20"/>
        </w:rPr>
        <w:t>. For the quarter ended September 30, 2025, income tax expense was $0.2, consistent with income tax expense of $0.2 in the prior year period, and was comprised primarily of state and local taxes. The Company did not recognize a federal tax benefit on its year-to-date losses because it has a full valuation allowance recorded against its net deferred tax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loss</w:t>
      </w:r>
      <w:r>
        <w:rPr>
          <w:rFonts w:ascii="Arial;sans-serif" w:hAnsi="Arial;sans-serif"/>
          <w:b w:val="false"/>
          <w:color w:val="000000"/>
          <w:sz w:val="20"/>
        </w:rPr>
        <w:t>. For the quarter ended September 30, 2025, net loss was $14.3, as compared to net loss of $8.2 in the prior year period, decreasing primarily as a result of lower revenues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0850"/>
                <wp:effectExtent l="0" t="0" r="0" b="0"/>
                <wp:wrapNone/>
                <wp:docPr id="25" name="Frame2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Nine Months Ended September 30, 2025 Compared to Nine Months Ended September 30, 2024</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8120"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418"/>
        <w:gridCol w:w="1282"/>
        <w:gridCol w:w="219"/>
        <w:gridCol w:w="109"/>
        <w:gridCol w:w="109"/>
        <w:gridCol w:w="109"/>
        <w:gridCol w:w="418"/>
        <w:gridCol w:w="1282"/>
        <w:gridCol w:w="219"/>
        <w:gridCol w:w="109"/>
        <w:gridCol w:w="109"/>
        <w:gridCol w:w="109"/>
        <w:gridCol w:w="299"/>
        <w:gridCol w:w="30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7522" w:type="dxa"/>
        <w:jc w:val="left"/>
        <w:tblInd w:w="0" w:type="dxa"/>
        <w:tblLayout w:type="fixed"/>
        <w:tblCellMar>
          <w:top w:w="28" w:type="dxa"/>
          <w:left w:w="28" w:type="dxa"/>
          <w:bottom w:w="28" w:type="dxa"/>
          <w:right w:w="28" w:type="dxa"/>
        </w:tblCellMar>
      </w:tblPr>
      <w:tblGrid>
        <w:gridCol w:w="521"/>
        <w:gridCol w:w="456"/>
        <w:gridCol w:w="464"/>
        <w:gridCol w:w="109"/>
        <w:gridCol w:w="109"/>
        <w:gridCol w:w="109"/>
        <w:gridCol w:w="418"/>
        <w:gridCol w:w="1282"/>
        <w:gridCol w:w="219"/>
        <w:gridCol w:w="109"/>
        <w:gridCol w:w="109"/>
        <w:gridCol w:w="109"/>
        <w:gridCol w:w="418"/>
        <w:gridCol w:w="1282"/>
        <w:gridCol w:w="219"/>
        <w:gridCol w:w="109"/>
        <w:gridCol w:w="109"/>
        <w:gridCol w:w="109"/>
        <w:gridCol w:w="299"/>
        <w:gridCol w:w="301"/>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nine months ended September 30, 2025, revenues were $479.7, a decrease of $64.1, or 11.8%, as compared with the prior year period. The overall decrease in revenues reflects a decline in activity during the nine months ended, leading to lower demand for our services. Lower weighted average volume contributed to approximately all of the decrease. On a segment basis, Rocky Mountains segment revenue decreased by $22.2 or 12.7%. Lower weighted average volume contributed to approximately all of the dollar decrease in the Rocky Mountains segment. Southwest segment revenue decreased by $27.3 or 13.1%. Lower weighted average volume contributed to approximately all of the dollar decrease in the Southwest segment. Northeast/Mid-Con segment revenue decreased by $14.6 or 9.1%. Lower weighted average volume contributed to approximately all of the dollar decrease in the Northeast/Mid-Con segment.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nine months ended September 30, 2025, cost of sales were $379.9, or 79.2% of sales, as compared to the nine months ended September 30, 2024 of $422.3, or 77.7% of sales. Cost of sales as a percentage of revenues increased primarily due to lower leverage of fixed costs during the nine months ended. The two largest components of cost of sales are labor and repair &amp; maintenance. As cost of sales as a percentage of revenues increased, labor costs per employee decreased by (0.5)% as compared with the nine months ended September 30, 2024. Repair &amp; maintenance costs as a percentage of revenues increased by 1.1% as compared to the nine months ended September 30, 2024, due to higher cost during the nine months ended.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nine months ended September 30, 2025, SG&amp;A expenses were $55.2, or 11.5% of revenues, as compared with $62.1, or 11.4% of revenues, in the prior year period. The percentage of revenues has remained the same as SG&amp;A decreased at the same rate as revenues during the nine months ended September 30,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(loss) income</w:t>
      </w:r>
      <w:r>
        <w:rPr>
          <w:rFonts w:ascii="Arial;sans-serif" w:hAnsi="Arial;sans-serif"/>
          <w:b w:val="false"/>
          <w:color w:val="000000"/>
          <w:sz w:val="20"/>
        </w:rPr>
        <w:t>. The following is a summary of operating (loss) income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0850"/>
                <wp:effectExtent l="0" t="0" r="0" b="0"/>
                <wp:wrapNone/>
                <wp:docPr id="26" name="Frame2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tbl>
      <w:tblPr>
        <w:tblW w:w="8907"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470"/>
        <w:gridCol w:w="1206"/>
        <w:gridCol w:w="243"/>
        <w:gridCol w:w="109"/>
        <w:gridCol w:w="109"/>
        <w:gridCol w:w="109"/>
        <w:gridCol w:w="470"/>
        <w:gridCol w:w="1206"/>
        <w:gridCol w:w="243"/>
        <w:gridCol w:w="109"/>
        <w:gridCol w:w="109"/>
        <w:gridCol w:w="109"/>
        <w:gridCol w:w="351"/>
        <w:gridCol w:w="354"/>
        <w:gridCol w:w="597"/>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nine months ended September 30, 2025, operating loss was $28.2 compared to operating loss of $10.6 in the prior year period, due to a reduction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across our three geographic segments declined as a function of lower revenues compared to the prior year period. Rocky Mountains segment operating income was $4.9, Southwest segment operating loss was $2.1, and Northeast/Mid-Con segment operating loss was $2.8 for the nine months ended September 30,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w:t>
      </w:r>
      <w:r>
        <w:rPr>
          <w:rFonts w:ascii="Arial;sans-serif" w:hAnsi="Arial;sans-serif"/>
          <w:b w:val="false"/>
          <w:color w:val="000000"/>
          <w:sz w:val="20"/>
        </w:rPr>
        <w:t>. For the nine months ended September 30, 2025, income tax expense was $0.6, compared to income tax expense of $0.6 in the prior year period, and was comprised primarily of state and local taxes. The Company did not recognize a federal tax benefit on its year-to-date losses because it has a full valuation allowance recorded against its net deferred tax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loss</w:t>
      </w:r>
      <w:r>
        <w:rPr>
          <w:rFonts w:ascii="Arial;sans-serif" w:hAnsi="Arial;sans-serif"/>
          <w:b w:val="false"/>
          <w:color w:val="000000"/>
          <w:sz w:val="20"/>
        </w:rPr>
        <w:t>. For the nine months ended September 30, 2025, net loss was $62.1, as compared to net loss of $38.4 in the prior year period, decreasing primarily as a result of lower revenues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our Prior ABL Facility (as defined below) and New ABL Facility (as defined below) and cash flows from operations. At September 30, 2025, we had $8.3 of cash and cash equivalents, and $56.9 available on the New ABL Facility August Borrowing Base Certificate, which resulted in a total liquidity position of $65.2.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taken several actions to continue to improve our liquidity position, including equity issuances under our ATM Offering program, debt-for-equity exchanges that have reduced interest burden and monetized non-core and obsolete assets. Most recently, we completed a refinancing of our long-term indebtedness on March 12, 2025, as described in greater detail under “—Refinancing”, “—ABL Facilities—New ABL Facility” and “—Senior Secured Notes—2030 Senior Notes” below. As market conditions warrant and subject to our contractual restrictions, liquidity position and other factors, we may further access the public or private debt and equity markets or seek to recapitalize, refinance or otherwise restructure our capital structure.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ability to pay the principal and interest on our debt and to satisfy our other liabilities will depend on our future operating performance. Our future operating performance will be affected by prevailing economic and political conditions, the level of drilling, completion, production and intervention services activity for North American onshore oil and natural gas resources, the willingness of capital providers to lend to our industry and other financial and business factors, many of which are beyond our control. In addition, incurring additional debt in excess of our existing outstanding indebtedness would result in increased interest expense and financial leverage, and issuing Common Stock may result in dilution to our current stockholders.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27" name="Frame2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actively manage our capital spending and are focused primarily on required maintenance spending. For the past couple of years, due to increasing oil prices leading to an increase in demand for our services, our operating cash flow has been positive. Based on our current forecasts, we believe our cash on hand, availability under the New ABL Facility and our cash flows will provide us with the ability to fund our operations for at least the next twelve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Refinancing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On March 7, 2025, the Company and certain of our subsidiaries party thereto entered into a Securities Purchase Agreement with certain holders (the “Investors”) of our 11.5% senior secured notes due 2025 (the “2025 Senior Notes”), pursuant to which the Company agreed to issue and sell to the Investors (a) approximately $232.2 in aggregate principal amount of the Senior Secured Floating Rate Cash / PIK Notes due 2030 (the “2030 Senior Notes” and, together with the 2025 Senior Notes, the “Senior Secured Notes”) and (b) warrants entitling the holders thereof to purchase, in the aggregate, up to 2,373,187 shares of Common Stock, at an exercise price of $0.01</w:t>
      </w:r>
      <w:r>
        <w:rPr>
          <w:color w:val="000000"/>
        </w:rPr>
        <w:t xml:space="preserve"> </w:t>
      </w:r>
      <w:r>
        <w:rPr>
          <w:rFonts w:ascii="Arial;sans-serif" w:hAnsi="Arial;sans-serif"/>
          <w:b w:val="false"/>
          <w:color w:val="000000"/>
          <w:sz w:val="20"/>
        </w:rPr>
        <w:t>per share, subject to adjustment in exchange for (i) approximately $78.4 in aggregate cash consideration and (ii) approximately $143.6 aggregate principal amount of the 2025 Senior Notes, which were cancelled by the Company upon receipt thereof (collectively, the “Refinancing”). The Company consummated the Refinancing on March 12, 2025.</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Senior Secured Notes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2030 Senior Notes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12, 2025, as part of the Refinancing, the Company and certain of its subsidiaries entered into an indenture, dated as of March 12, 2025 (the “2030 Senior Notes Indenture”), with U.S. Bank Trust Company, National Association, as the trustee and notes collateral agent, pursuant to which $232.2 of the 2030 Senior Notes were issued. The 2030 Senior Notes will 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w:t>
      </w:r>
      <w:r>
        <w:rPr>
          <w:color w:val="000000"/>
        </w:rPr>
        <w:t xml:space="preserve"> </w:t>
      </w:r>
      <w:r>
        <w:rPr>
          <w:rFonts w:ascii="Arial;sans-serif" w:hAnsi="Arial;sans-serif"/>
          <w:b w:val="false"/>
          <w:color w:val="000000"/>
          <w:sz w:val="20"/>
        </w:rPr>
        <w:t>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were initially fully and unconditionally guaranteed by each of the Company’s current subsidiaries. The 2030 Senior Notes will also be guaranteed by each of the Company’s future subsidiaries that guarantee the Company’s indebtedness or indebtedness of guarantors, including under the New ABL Facility (as defined below)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New ABL Facility on a first priority basis) and a second priority security interest on the guarantors’ assets which secure the New ABL Facility on a first priority basis, subject in each case to certain excluded assets.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Company will be required to redeem the 2030 Senior Notes in an amount equal to 2.00%</w:t>
      </w:r>
      <w:r>
        <w:rPr>
          <w:color w:val="000000"/>
        </w:rPr>
        <w:t xml:space="preserve"> </w:t>
      </w:r>
      <w:r>
        <w:rPr>
          <w:rFonts w:ascii="Arial;sans-serif" w:hAnsi="Arial;sans-serif"/>
          <w:b w:val="false"/>
          <w:color w:val="000000"/>
          <w:sz w:val="20"/>
        </w:rPr>
        <w:t>per annum of all 2030 Senior Notes outstanding as of the prior applicable Interest Payment Date (as defined in the 2030 Senior Notes Indenture) on the last business day of each of March, June, September and December, commencing on March 31, 2025. Additionally, upon certain changes of control, consummation of certain asset sales and other events, the Company will be required to repurchase the 2030 Senior Notes at the applicable redemption prices.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2030 Senior Notes Indenture contains certain financial covenants that include (i) a maximum total net leverage ratio of not greater than 4.50</w:t>
      </w:r>
      <w:r>
        <w:rPr>
          <w:color w:val="000000"/>
        </w:rPr>
        <w:t xml:space="preserve"> </w:t>
      </w:r>
      <w:r>
        <w:rPr>
          <w:rFonts w:ascii="Arial;sans-serif" w:hAnsi="Arial;sans-serif"/>
          <w:b w:val="false"/>
          <w:color w:val="000000"/>
          <w:sz w:val="20"/>
        </w:rPr>
        <w:t>to 1.0 for the test periods ending March 31, 2025 through December 31, 2025, stepping down to 4.00</w:t>
      </w:r>
      <w:r>
        <w:rPr>
          <w:color w:val="000000"/>
        </w:rPr>
        <w:t xml:space="preserve"> </w:t>
      </w:r>
      <w:r>
        <w:rPr>
          <w:rFonts w:ascii="Arial;sans-serif" w:hAnsi="Arial;sans-serif"/>
          <w:b w:val="false"/>
          <w:color w:val="000000"/>
          <w:sz w:val="20"/>
        </w:rPr>
        <w:t xml:space="preserve">to 1.0 for the test periods ending March 31, 2026 through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28" name="Frame2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2026, 3.50 to 1.0 for the test periods ending March 31, 2027 through December 31, 2027, 3.00</w:t>
      </w:r>
      <w:r>
        <w:rPr>
          <w:color w:val="000000"/>
        </w:rPr>
        <w:t xml:space="preserve"> </w:t>
      </w:r>
      <w:r>
        <w:rPr>
          <w:rFonts w:ascii="Arial;sans-serif" w:hAnsi="Arial;sans-serif"/>
          <w:b w:val="false"/>
          <w:color w:val="000000"/>
          <w:sz w:val="20"/>
        </w:rPr>
        <w:t>to 1.0 for the test periods ending March 31, 2028 through December 31, 2028, and 2.50</w:t>
      </w:r>
      <w:r>
        <w:rPr>
          <w:color w:val="000000"/>
        </w:rPr>
        <w:t xml:space="preserve"> </w:t>
      </w:r>
      <w:r>
        <w:rPr>
          <w:rFonts w:ascii="Arial;sans-serif" w:hAnsi="Arial;sans-serif"/>
          <w:b w:val="false"/>
          <w:color w:val="000000"/>
          <w:sz w:val="20"/>
        </w:rPr>
        <w:t>to 1.0 for each test period thereafter and (ii) restrictions on making net capital expenditures in any test period in excess of the greater of (x) $65.0</w:t>
      </w:r>
      <w:r>
        <w:rPr>
          <w:color w:val="000000"/>
        </w:rPr>
        <w:t xml:space="preserve"> </w:t>
      </w:r>
      <w:r>
        <w:rPr>
          <w:rFonts w:ascii="Arial;sans-serif" w:hAnsi="Arial;sans-serif"/>
          <w:b w:val="false"/>
          <w:color w:val="000000"/>
          <w:sz w:val="20"/>
        </w:rPr>
        <w:t>in the aggregate or (y) 7%</w:t>
      </w:r>
      <w:r>
        <w:rPr>
          <w:color w:val="000000"/>
        </w:rPr>
        <w:t xml:space="preserve"> </w:t>
      </w:r>
      <w:r>
        <w:rPr>
          <w:rFonts w:ascii="Arial;sans-serif" w:hAnsi="Arial;sans-serif"/>
          <w:b w:val="false"/>
          <w:color w:val="000000"/>
          <w:sz w:val="20"/>
        </w:rPr>
        <w:t>of revenues during such test period. As of September 30, 2025, the Company was in full compliance with its debt covenants under the 2030 Senior Notes Indenture.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September 30, 2025, the principal amount outstanding under the 2030 Senior Notes was $241.7. On a net basis, after taking into consideration unamortized debt issuance costs and original issue discount for the 2030 Senior Notes, total debt related to the 2030 Senior Notes as of September 30, 2025 was $219.2. The effective interest rate under the 2030 Senior Notes was approximately 12.67% on September 30, 2025. Accrued interest related to the 2030 Senior Notes was $0.8 as of September 30, 2025.</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2025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previously-issued 2025 Senior Notes were redeemed on March 30, 2025 and the related indenture was satisfied and discharged. On a net basis, after taking into consideration the debt issuance costs for the 2025 Senior Notes, total debt related to the 2025 Senior Notes as of December 31, 2024 was $235.1. The 2025 Senior Notes bore interest at an annual rate of 11.5%, payable semi-annually in arrears on May 1 and November 1. Accrued interest as of December 31, 2024 was $4.5.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ABL Facilities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New ABL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29" name="Frame2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7, 2025, the Company entered into a Credit Agreement, dated as of March 7, 2025 (the “New ABL Facility”), with the Company, as borrower, Eclipse Business Capital LLC, as administrative agent, as collateral agent and as FILO administrative agent and the lenders party thereto. The New ABL Facility is comprised of an asset-based revolving credit facility with a $125.0 commitment (the “Revolving Facility”), a first-in-last-out asset-based credit facility with a $10.0</w:t>
      </w:r>
      <w:r>
        <w:rPr>
          <w:color w:val="000000"/>
        </w:rPr>
        <w:t xml:space="preserve"> </w:t>
      </w:r>
      <w:r>
        <w:rPr>
          <w:rFonts w:ascii="Arial;sans-serif" w:hAnsi="Arial;sans-serif"/>
          <w:b w:val="false"/>
          <w:color w:val="000000"/>
          <w:sz w:val="20"/>
        </w:rPr>
        <w:t>commitment (the “FILO Facility”), and a committed incremental loan option under the Revolving Facility with a $25.0</w:t>
      </w:r>
      <w:r>
        <w:rPr>
          <w:color w:val="000000"/>
        </w:rPr>
        <w:t xml:space="preserve"> </w:t>
      </w:r>
      <w:r>
        <w:rPr>
          <w:rFonts w:ascii="Arial;sans-serif" w:hAnsi="Arial;sans-serif"/>
          <w:b w:val="false"/>
          <w:color w:val="000000"/>
          <w:sz w:val="20"/>
        </w:rPr>
        <w:t>commitment (the “Incremental Revolving Loans”). 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$5.0</w:t>
      </w:r>
      <w:r>
        <w:rPr>
          <w:color w:val="000000"/>
        </w:rPr>
        <w:t xml:space="preserve"> </w:t>
      </w:r>
      <w:r>
        <w:rPr>
          <w:rFonts w:ascii="Arial;sans-serif" w:hAnsi="Arial;sans-serif"/>
          <w:b w:val="false"/>
          <w:color w:val="000000"/>
          <w:sz w:val="20"/>
        </w:rPr>
        <w:t>over-advance provided on the initial funding date under the Revolving Facility. The New ABL Facility is secured by, among other things, a first priority lien on accounts receivable and inventory and contains customary conditions precedent to borrowing and affirmative and negative covenants.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The initial funding under the New ABL Facility occurred on March 12, 2025, and the proceeds therefrom were used to repay the Prior ABL Facility in full. After giving effect to the foregoing, we had approximately $39.9</w:t>
      </w:r>
      <w:r>
        <w:rPr>
          <w:color w:val="000000"/>
        </w:rPr>
        <w:t xml:space="preserve"> </w:t>
      </w:r>
      <w:r>
        <w:rPr>
          <w:rFonts w:ascii="Arial;sans-serif" w:hAnsi="Arial;sans-serif"/>
          <w:b w:val="false"/>
          <w:color w:val="000000"/>
          <w:sz w:val="20"/>
        </w:rPr>
        <w:t>of available borrowing capacity under the New ABL Facility. Our New ABL Facility matures in 2028.</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New ABL Facility includes a springing financial covenant which requires the Company’s consolidated fixed charge coverage ratio to be at least 1.0 to 1.0 if availability under the Revolving Facility falls below $7.0. The New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New ABL Facility could result in an event of default, which could permit acceleration of the debt, termination of undrawn commitments and enforcement against any liens securing the debt. The New ABL Facility contains certain other covenants (including the ability to incur indebtedness for the purpose of consummating permitted acquisitions, subject to the terms of the New ABL Facility), events of default and other customary provisions. As of September 30, 2025, the Company was in full compliance with its debt covenants under the New ABL Facility.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September 30, 2025, the borrowings outstanding under the New ABL Facility were $40.0. The effective interest rate under the New ABL Facility was approximately 9.02% on September 30, 2025. Accrued interest related to the New ABL Facility was $0.4 as of September 30, 2025.</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Prior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12, 2025, in connection with the completion of the Refinancing, the Prior ABL Facility was repaid in full using borrowings under the New ABL Facility and the commitments thereunder terminated. As of December 31, 2024, $50.0 was outstanding under the Prior ABL Facility and the effective interest rate under the Prior ABL Facility was approximately 7.44%.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 debt-related items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uses standby letters of credit to facilitate commercial transactions with third parties and to secure our performance to certain vendors. Total letters of credit outstanding under the New ABL Facility were $5.6 at September 30, 2025 and under the Prior ABL Facility were $6.5 at December 31, 2024. To the extent liabilities are incurred as a result of the activities covered by the letters of credit, such liabilities are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0850"/>
                <wp:effectExtent l="0" t="0" r="0" b="0"/>
                <wp:wrapNone/>
                <wp:docPr id="30" name="Frame3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the accompanying consolidated balance sheets. Restricted cash on the balance sheet is largely tied to cash collateralized letters of credit as we shift from our Prior ABL Facility to the New ABL Facility. As of the date of filing, none of the restricted cash remains restricted.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2025, the Company had $2.9 of outstanding short-term indebtedness related to the financing of various insurance premiums, which is included in the Accrued liabilities line item in the balance sheet.</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capital expenditures were $39.7 during the nine months ended September 30, 2025, compared to $49.8 in the nine months ended September 30, 2024. We offset $10.6 of capital spending during the nine months ended September 30, 2025 with the same amount of proceeds from asset sales and other proceeds. Based on current industry conditions and our significant investments in capital expenditures over the past several years, we expect to incur between $42.5 and $47.5 in total capital expenditures for the year ending December 31, 2025.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Equity Distribution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the Company’s common stock, par value $0.01 per share (“Common Stock”), having an aggregate offering price of up to $50.0. On November 16, 2022, the Company entered into Amendment No. 1 to the Equity Distribution Agreement, which, among other things, allows for debt-for-equity exchanges in accordance with Section 3(a)(9) of the Securities Act of 1933, as amended (the “Securities Act”). On March 14, 2025, the Company entered into Amendment No. 2 to the Equity Distribution Agreement (the “EDA Amendment”), which, among other things, increased the aggregate offering price to up to approximately $57.75 (which amount includes all of the Common Stock previously sold pursuant to the Equity Distribution Agreement prior to the EDA Amendment) and provides for the Company's election not to deliver a placement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31" name="Frame3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notice.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Common Stock offered and sold in the ATM Offering may be issued pursuant to the Company’s shelf registration statement on Form S-3 (Registration No. 333-271182) filed with the SEC on April 7, 2023 and declared effective on April 19, 2023 (the “Registration Statement”), the prospectus supplement relating to the ATM Offering filed with the SEC on March 14, 2025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During the three and nine months ended September 30, 2025, the Company sold — and 167,769</w:t>
      </w:r>
      <w:r>
        <w:rPr>
          <w:color w:val="000000"/>
        </w:rPr>
        <w:t xml:space="preserve"> </w:t>
      </w:r>
      <w:r>
        <w:rPr>
          <w:rFonts w:ascii="Arial;sans-serif" w:hAnsi="Arial;sans-serif"/>
          <w:b w:val="false"/>
          <w:color w:val="000000"/>
          <w:sz w:val="20"/>
        </w:rPr>
        <w:t>shares of Common Stock, respectively, in exchange for gross proceeds of approximately $— and $0.6, respectively, and incurred legal and administrative fees of $0.1 and $0.3,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2024, the Company did not sell any shares of Common Stock and incurred legal and administrative fees of $— and $0.2, respectively.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0850"/>
                <wp:effectExtent l="0" t="0" r="0" b="0"/>
                <wp:wrapNone/>
                <wp:docPr id="32" name="Frame3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cash flows used in operating activities for the nine months ended September 30, 2025 were approximately $5.0 as compared to approximately $28.2 provided by operating activities for the nine months ended September 30, 2024.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At September 30, 2025, we had $8.3 of cash and cash equivalents and $0.1</w:t>
      </w:r>
      <w:r>
        <w:rPr>
          <w:color w:val="000000"/>
        </w:rPr>
        <w:t xml:space="preserve"> </w:t>
      </w:r>
      <w:r>
        <w:rPr>
          <w:rFonts w:ascii="Arial;sans-serif" w:hAnsi="Arial;sans-serif"/>
          <w:b w:val="false"/>
          <w:color w:val="000000"/>
          <w:sz w:val="20"/>
        </w:rPr>
        <w:t>of restricted cash. Cash on hand at September 30, 2025 decreased by $83.2, as a result of $5.0 of cash flows used in operating activities, $29.1 of cash flows used in investing activities and $49.1 used in financing activities. Our liquidity requirements consist of working capital needs, debt service obligations and ongoing capital expenditure requirements. Our primary requirements for working capital are directly related to the activity level of our operations.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our cash flows for the periods presented below:</w:t>
      </w:r>
    </w:p>
    <w:tbl>
      <w:tblPr>
        <w:tblW w:w="10205" w:type="dxa"/>
        <w:jc w:val="left"/>
        <w:tblInd w:w="0" w:type="dxa"/>
        <w:tblLayout w:type="fixed"/>
        <w:tblCellMar>
          <w:top w:w="28" w:type="dxa"/>
          <w:left w:w="28" w:type="dxa"/>
          <w:bottom w:w="28" w:type="dxa"/>
          <w:right w:w="28" w:type="dxa"/>
        </w:tblCellMar>
      </w:tblPr>
      <w:tblGrid>
        <w:gridCol w:w="1991"/>
        <w:gridCol w:w="1721"/>
        <w:gridCol w:w="1734"/>
        <w:gridCol w:w="109"/>
        <w:gridCol w:w="109"/>
        <w:gridCol w:w="109"/>
        <w:gridCol w:w="505"/>
        <w:gridCol w:w="1043"/>
        <w:gridCol w:w="262"/>
        <w:gridCol w:w="109"/>
        <w:gridCol w:w="109"/>
        <w:gridCol w:w="109"/>
        <w:gridCol w:w="443"/>
        <w:gridCol w:w="1137"/>
        <w:gridCol w:w="229"/>
        <w:gridCol w:w="109"/>
        <w:gridCol w:w="109"/>
        <w:gridCol w:w="109"/>
        <w:gridCol w:w="159"/>
      </w:tblGrid>
      <w:tr>
        <w:trPr/>
        <w:tc>
          <w:tcPr>
            <w:tcW w:w="199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provided by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operating activities was $5.0 for the nine months ended September 30, 2025, as compared to net cash provided by operating activities of $28.2 for the nine months ended September 30, 2024. The negative operating cash flows were attributable to the net loss position and an increase in days receivable outstanding.</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investing activities was $29.1 for the nine months ended September 30, 2025, as compared to net cash used in investing activities of $40.6 for the nine months ended September 30, 2024. The cash flows used in investing activities for the nine months ended September 30, 2025 were primarily driven by maintenance capital spending tied to the operation of our existing asset base offset by sales of property and equipment.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financing activities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Net cash used in financing activities was $49.1 for the nine months ended September 30, 2025, compared to net cash used in financing activities of $17.4 for the nine months ended September 30, 2024. We refinanced both our 2025 Senior Notes and Prior ABL Facility during the nine months ended September 30, 2025, which brought additional cash outlays. We also restarted sales under our ATM Offering program, which generated gross proceeds of $0.6 during the nine months ended September 30, 2025</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0850"/>
                <wp:effectExtent l="0" t="0" r="0" b="0"/>
                <wp:wrapNone/>
                <wp:docPr id="33" name="Frame3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Other than the critical accounting policy included below, we believe that our critical accounting policies are limited to those described in the Critical Accounting Estimates section of Management’s Discussion and Analysis of Financial Condition and Results of Operations included in our 2024 Annual Report on Form 10-K filed with the SEC on March 13,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evaluate any recently issued accounting pronouncements for future adoption.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Evaluate Our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Key Financial Performance Indicators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 the highly cyclical nature of our business and the need for metrics to (1) best measure the trends in our operations and (2) provide baselines and targets to assess the performance of our managers.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measures we believe most effective to achieve the above stated goals include: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Revenue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Operating income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Adjusted Earnings before interest, taxes, depreciation and amortization (</w:t>
      </w:r>
      <w:r>
        <w:rPr>
          <w:color w:val="000000"/>
        </w:rPr>
        <w:t>“</w:t>
      </w:r>
      <w:r>
        <w:rPr>
          <w:rFonts w:ascii="Arial;sans-serif" w:hAnsi="Arial;sans-serif"/>
          <w:b w:val="false"/>
          <w:color w:val="000000"/>
          <w:sz w:val="20"/>
        </w:rPr>
        <w:t>Adjusted EBITDA”</w:t>
      </w:r>
      <w:r>
        <w:rPr>
          <w:rFonts w:ascii="Arial;sans-serif" w:hAnsi="Arial;sans-serif"/>
          <w:b w:val="false"/>
          <w:i/>
          <w:color w:val="000000"/>
          <w:sz w:val="20"/>
        </w:rPr>
        <w:t>)</w:t>
      </w:r>
      <w:r>
        <w:rPr>
          <w:rFonts w:ascii="Arial;sans-serif" w:hAnsi="Arial;sans-serif"/>
          <w:b w:val="false"/>
          <w:color w:val="000000"/>
          <w:sz w:val="20"/>
        </w:rPr>
        <w:t>: 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Adjusted EBITDA Margin: </w:t>
      </w:r>
      <w:r>
        <w:rPr>
          <w:rFonts w:ascii="Arial;sans-serif" w:hAnsi="Arial;sans-serif"/>
          <w:b w:val="false"/>
          <w:color w:val="000000"/>
          <w:sz w:val="20"/>
        </w:rPr>
        <w:t>Adjusted EBITDA Margin is defined as Adjusted EBITDA, as defined above, as a percentage of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0850"/>
                <wp:effectExtent l="0" t="0" r="0" b="0"/>
                <wp:wrapNone/>
                <wp:docPr id="34" name="Frame3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EBITDA. Our computations of Adjusted EBITDA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18" w:type="dxa"/>
        <w:jc w:val="center"/>
        <w:tblInd w:w="0" w:type="dxa"/>
        <w:tblLayout w:type="fixed"/>
        <w:tblCellMar>
          <w:top w:w="28" w:type="dxa"/>
          <w:left w:w="28" w:type="dxa"/>
          <w:bottom w:w="28" w:type="dxa"/>
          <w:right w:w="28" w:type="dxa"/>
        </w:tblCellMar>
      </w:tblPr>
      <w:tblGrid>
        <w:gridCol w:w="319"/>
        <w:gridCol w:w="281"/>
        <w:gridCol w:w="284"/>
        <w:gridCol w:w="2060"/>
        <w:gridCol w:w="2060"/>
        <w:gridCol w:w="2914"/>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3. </w:t>
            </w:r>
          </w:p>
        </w:tc>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05" w:type="dxa"/>
        <w:jc w:val="center"/>
        <w:tblInd w:w="0" w:type="dxa"/>
        <w:tblLayout w:type="fixed"/>
        <w:tblCellMar>
          <w:top w:w="28" w:type="dxa"/>
          <w:left w:w="28" w:type="dxa"/>
          <w:bottom w:w="28" w:type="dxa"/>
          <w:right w:w="28" w:type="dxa"/>
        </w:tblCellMar>
      </w:tblPr>
      <w:tblGrid>
        <w:gridCol w:w="320"/>
        <w:gridCol w:w="282"/>
        <w:gridCol w:w="283"/>
        <w:gridCol w:w="914"/>
        <w:gridCol w:w="914"/>
        <w:gridCol w:w="1292"/>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ind w:left="0" w:right="0" w:hanging="40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ind w:left="0" w:right="0" w:hanging="405"/>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this Quarterly Report for the quarter ended September 30, 2025,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September 30, 2025.</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period covered by this Quarterly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475" w:type="dxa"/>
        <w:jc w:val="center"/>
        <w:tblInd w:w="0" w:type="dxa"/>
        <w:tblLayout w:type="fixed"/>
        <w:tblCellMar>
          <w:top w:w="28" w:type="dxa"/>
          <w:left w:w="28" w:type="dxa"/>
          <w:bottom w:w="28" w:type="dxa"/>
          <w:right w:w="28" w:type="dxa"/>
        </w:tblCellMar>
      </w:tblPr>
      <w:tblGrid>
        <w:gridCol w:w="298"/>
        <w:gridCol w:w="262"/>
        <w:gridCol w:w="265"/>
        <w:gridCol w:w="1362"/>
        <w:gridCol w:w="1362"/>
        <w:gridCol w:w="1926"/>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PROCEEDINGS (U.S. dollars in millions)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9, 2021, the Company filed claims in the District Court of Harris County, Texas against Magellan E&amp;P Holdings, Inc. (“Magellan”), Redmon-Keys Insurance Group, Inc. (“Redmon-Keys”) and certain underwriters at Lloyd's (the “Magellan Underwriters”) to recover $4.6 owed on invoices duly issued by the Company for services rendered on behalf of the defendants in response to an offshore well blowout near Bob Hall Pier in Corpus Christi, Texas. On March 30, 2021, Magellan filed for bankruptcy pursuant to Chapter 7 of the U.S. bankruptcy code. During the fiscal year ended January 31, 2021, the Company reserved the full amount of its invoices totaling $4.6 as a prudent action in light of the Chapter 7 filing. Through the bankruptcy proceedings, the Company recovered $1.0 in March 2024 and, following a settlement by the Chapter 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0850"/>
                <wp:effectExtent l="0" t="0" r="0" b="0"/>
                <wp:wrapNone/>
                <wp:docPr id="35" name="Frame3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Trustee with the Magellan Underwriters in December 2024 and approved by the District Court of Harris County, Texas in January 2025, the Company recovered an additional $1.3 in August 2025. The Company continues to pursue claims against Redmon-Keys.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64" w:type="dxa"/>
        <w:jc w:val="left"/>
        <w:tblInd w:w="0" w:type="dxa"/>
        <w:tblLayout w:type="fixed"/>
        <w:tblCellMar>
          <w:top w:w="28" w:type="dxa"/>
          <w:left w:w="28" w:type="dxa"/>
          <w:bottom w:w="28" w:type="dxa"/>
          <w:right w:w="28" w:type="dxa"/>
        </w:tblCellMar>
      </w:tblPr>
      <w:tblGrid>
        <w:gridCol w:w="346"/>
        <w:gridCol w:w="305"/>
        <w:gridCol w:w="308"/>
        <w:gridCol w:w="469"/>
        <w:gridCol w:w="469"/>
        <w:gridCol w:w="667"/>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the information set forth in this Quarterly Report, you should carefully consider the risk factors previously described in Part I, Item IA. “Risk Factors”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24" w:type="dxa"/>
        <w:jc w:val="center"/>
        <w:tblInd w:w="0" w:type="dxa"/>
        <w:tblLayout w:type="fixed"/>
        <w:tblCellMar>
          <w:top w:w="28" w:type="dxa"/>
          <w:left w:w="28" w:type="dxa"/>
          <w:bottom w:w="28" w:type="dxa"/>
          <w:right w:w="28" w:type="dxa"/>
        </w:tblCellMar>
      </w:tblPr>
      <w:tblGrid>
        <w:gridCol w:w="298"/>
        <w:gridCol w:w="262"/>
        <w:gridCol w:w="265"/>
        <w:gridCol w:w="2105"/>
        <w:gridCol w:w="2105"/>
        <w:gridCol w:w="298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UNREGISTERED SALES OF EQUITY SECURITIES AND USE OF PROCEEDS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Purchases of Equity Securities by the Issuer and Affiliated Purchasers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total number of shares of our Common Stock that we repurchased during the three months ended September 30,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4"/>
        <w:gridCol w:w="387"/>
        <w:gridCol w:w="389"/>
        <w:gridCol w:w="491"/>
        <w:gridCol w:w="491"/>
        <w:gridCol w:w="492"/>
        <w:gridCol w:w="109"/>
        <w:gridCol w:w="109"/>
        <w:gridCol w:w="109"/>
        <w:gridCol w:w="350"/>
        <w:gridCol w:w="674"/>
        <w:gridCol w:w="182"/>
        <w:gridCol w:w="109"/>
        <w:gridCol w:w="109"/>
        <w:gridCol w:w="109"/>
        <w:gridCol w:w="754"/>
        <w:gridCol w:w="754"/>
        <w:gridCol w:w="756"/>
        <w:gridCol w:w="109"/>
        <w:gridCol w:w="109"/>
        <w:gridCol w:w="109"/>
        <w:gridCol w:w="393"/>
        <w:gridCol w:w="2015"/>
        <w:gridCol w:w="292"/>
      </w:tblGrid>
      <w:tr>
        <w:trPr/>
        <w:tc>
          <w:tcPr>
            <w:tcW w:w="8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plans or programs</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1, 2025 - July 31, 2025</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 2025 - August 31, 2025</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1, 2025 - September 30, 2025</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Includes shares purchased from employees in connection with the settlement of income tax and related benefit withholding obligations arising from vesting of restricted stock grants under the Company’s Amended and Restated LTIP.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(2) The average price paid per share of Common Stock repurchased includes commissions paid to the brokers.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(3) In August 2019, our Board authorized a share repurchase program for the repurchase of outstanding shares of the Company’s Common Stock having an aggregate purchase price up to $50.0 million.</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79" w:type="dxa"/>
        <w:jc w:val="left"/>
        <w:tblInd w:w="0" w:type="dxa"/>
        <w:tblLayout w:type="fixed"/>
        <w:tblCellMar>
          <w:top w:w="28" w:type="dxa"/>
          <w:left w:w="28" w:type="dxa"/>
          <w:bottom w:w="28" w:type="dxa"/>
          <w:right w:w="28" w:type="dxa"/>
        </w:tblCellMar>
      </w:tblPr>
      <w:tblGrid>
        <w:gridCol w:w="298"/>
        <w:gridCol w:w="262"/>
        <w:gridCol w:w="265"/>
        <w:gridCol w:w="1128"/>
        <w:gridCol w:w="1128"/>
        <w:gridCol w:w="159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DEFAULTS UPON SENIOR SECURITIES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39" w:type="dxa"/>
        <w:jc w:val="left"/>
        <w:tblInd w:w="0" w:type="dxa"/>
        <w:tblLayout w:type="fixed"/>
        <w:tblCellMar>
          <w:top w:w="28" w:type="dxa"/>
          <w:left w:w="28" w:type="dxa"/>
          <w:bottom w:w="28" w:type="dxa"/>
          <w:right w:w="28" w:type="dxa"/>
        </w:tblCellMar>
      </w:tblPr>
      <w:tblGrid>
        <w:gridCol w:w="319"/>
        <w:gridCol w:w="281"/>
        <w:gridCol w:w="284"/>
        <w:gridCol w:w="865"/>
        <w:gridCol w:w="865"/>
        <w:gridCol w:w="1225"/>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MINE SAFETY DISCLOSURES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75" w:type="dxa"/>
        <w:jc w:val="left"/>
        <w:tblInd w:w="0" w:type="dxa"/>
        <w:tblLayout w:type="fixed"/>
        <w:tblCellMar>
          <w:top w:w="28" w:type="dxa"/>
          <w:left w:w="28" w:type="dxa"/>
          <w:bottom w:w="28" w:type="dxa"/>
          <w:right w:w="28" w:type="dxa"/>
        </w:tblCellMar>
      </w:tblPr>
      <w:tblGrid>
        <w:gridCol w:w="298"/>
        <w:gridCol w:w="262"/>
        <w:gridCol w:w="265"/>
        <w:gridCol w:w="659"/>
        <w:gridCol w:w="659"/>
        <w:gridCol w:w="9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50850"/>
                <wp:effectExtent l="0" t="0" r="0" b="0"/>
                <wp:wrapNone/>
                <wp:docPr id="36" name="Frame3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b50c53d1bec47ecb21892c7f7384d1f_7">
        <w:r>
          <w:rPr>
            <w:rStyle w:val="InternetLink"/>
            <w:rFonts w:ascii="Arial;sans-serif" w:hAnsi="Arial;sans-serif"/>
            <w:b w:val="false"/>
            <w:color w:val="0563C1"/>
            <w:sz w:val="20"/>
            <w:u w:val="single"/>
          </w:rPr>
          <w:t>Table of Contents</w:t>
        </w:r>
      </w:hyperlink>
    </w:p>
    <w:tbl>
      <w:tblPr>
        <w:tblW w:w="1891" w:type="dxa"/>
        <w:jc w:val="left"/>
        <w:tblInd w:w="0" w:type="dxa"/>
        <w:tblLayout w:type="fixed"/>
        <w:tblCellMar>
          <w:top w:w="28" w:type="dxa"/>
          <w:left w:w="28" w:type="dxa"/>
          <w:bottom w:w="28" w:type="dxa"/>
          <w:right w:w="28" w:type="dxa"/>
        </w:tblCellMar>
      </w:tblPr>
      <w:tblGrid>
        <w:gridCol w:w="298"/>
        <w:gridCol w:w="262"/>
        <w:gridCol w:w="265"/>
        <w:gridCol w:w="312"/>
        <w:gridCol w:w="312"/>
        <w:gridCol w:w="44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62"/>
        <w:gridCol w:w="215"/>
        <w:gridCol w:w="221"/>
        <w:gridCol w:w="2895"/>
        <w:gridCol w:w="2730"/>
        <w:gridCol w:w="3882"/>
      </w:tblGrid>
      <w:tr>
        <w:trPr/>
        <w:tc>
          <w:tcPr>
            <w:tcW w:w="2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20"/>
                  <w:u w:val="single"/>
                </w:rPr>
                <w:t>Amended and Restated Certificate of Incorporation of KLX Energy Services Holdings, Inc. (incorporated by reference to Exhibit 3.1 of KLX Energy Services Holdings, Inc.’s Quarterly Report on Form 10-Q, filed on September 8, 2020, File No. 001-38609).</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 xml:space="preserve">Fourth Amended and Restated Bylaws of KLX Energy Services Holdings, Inc. (incorporated by reference to Exhibit 3.1 of KLX Energy Services Holdings, Inc.'s Current Report on Form 8-K, filed on September 9, 2021, File No. 001-38609). </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510-qex311chrisklx.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5ex312keeferklx.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510-qex321chrisklx.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5ex322keeferklx.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Instance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600"/>
        <w:jc w:val="left"/>
        <w:rPr/>
      </w:pPr>
      <w:hyperlink w:anchor="i1b50c53d1bec47ecb21892c7f7384d1f_7">
        <w:r>
          <w:rPr>
            <w:rStyle w:val="InternetLink"/>
            <w:rFonts w:ascii="Arial;sans-serif" w:hAnsi="Arial;sans-serif"/>
            <w:b w:val="false"/>
            <w:color w:val="0563C1"/>
            <w:sz w:val="20"/>
            <w:u w:val="single"/>
          </w:rPr>
          <w:t>Table of Contents</w:t>
        </w:r>
      </w:hyperlink>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16" w:type="dxa"/>
        <w:jc w:val="right"/>
        <w:tblInd w:w="0" w:type="dxa"/>
        <w:tblLayout w:type="fixed"/>
        <w:tblCellMar>
          <w:top w:w="28" w:type="dxa"/>
          <w:left w:w="28" w:type="dxa"/>
          <w:bottom w:w="28" w:type="dxa"/>
          <w:right w:w="28" w:type="dxa"/>
        </w:tblCellMar>
      </w:tblPr>
      <w:tblGrid>
        <w:gridCol w:w="482"/>
        <w:gridCol w:w="422"/>
        <w:gridCol w:w="422"/>
        <w:gridCol w:w="422"/>
        <w:gridCol w:w="422"/>
        <w:gridCol w:w="422"/>
        <w:gridCol w:w="1357"/>
        <w:gridCol w:w="1357"/>
        <w:gridCol w:w="2010"/>
      </w:tblGrid>
      <w:tr>
        <w:trPr/>
        <w:tc>
          <w:tcPr>
            <w:tcW w:w="4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KLX ENERGY SERVICES HOLDINGS, INC.</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Chief Executive Officer and Director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November 6, 2025</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November 6, 2025</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Senior Vice President and Chief Accounting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November 6, 2025</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50850"/>
                <wp:effectExtent l="0" t="0" r="0" b="0"/>
                <wp:wrapNone/>
                <wp:docPr id="38" name="Frame3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Christopher J. Baker,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for the quarter ended September 30, 2025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6943"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J. Baker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Christopher J. Baker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Keefer M. Lehner,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for the quarter ended September 30, 2025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8174" w:type="dxa"/>
        <w:jc w:val="left"/>
        <w:tblInd w:w="0" w:type="dxa"/>
        <w:tblLayout w:type="fixed"/>
        <w:tblCellMar>
          <w:top w:w="28" w:type="dxa"/>
          <w:left w:w="28" w:type="dxa"/>
          <w:bottom w:w="28" w:type="dxa"/>
          <w:right w:w="28" w:type="dxa"/>
        </w:tblCellMar>
      </w:tblPr>
      <w:tblGrid>
        <w:gridCol w:w="761"/>
        <w:gridCol w:w="669"/>
        <w:gridCol w:w="670"/>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Keefer M. Lehner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Keefer M. Lehner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in connection with the Quarterly Report of KLX Energy Services Holdings, Inc. (the “Company”) on Form 10-Q for the period ended September 30, 2025, as filed with the Securities and Exchange Commission on the date hereof (the “Periodic Report”), I, Christopher J. Baker, as President and Chief Executive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tbl>
      <w:tblPr>
        <w:tblW w:w="6944" w:type="dxa"/>
        <w:jc w:val="left"/>
        <w:tblInd w:w="0" w:type="dxa"/>
        <w:tblLayout w:type="fixed"/>
        <w:tblCellMar>
          <w:top w:w="28" w:type="dxa"/>
          <w:left w:w="28" w:type="dxa"/>
          <w:bottom w:w="28" w:type="dxa"/>
          <w:right w:w="28" w:type="dxa"/>
        </w:tblCellMar>
      </w:tblPr>
      <w:tblGrid>
        <w:gridCol w:w="761"/>
        <w:gridCol w:w="669"/>
        <w:gridCol w:w="670"/>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Christopher J. Baker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Christopher J. Baker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in connection with the Quarterly Report of KLX Energy Services Holdings, Inc. (the “Company”) on Form 10-Q for the period ended September 30, 2025, as filed with the Securities and Exchange Commission on the date hereof (the “Periodic Report”), I, Keefer M. Lehner, as Executive Vice President and Chief Financial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tbl>
      <w:tblPr>
        <w:tblW w:w="8174" w:type="dxa"/>
        <w:jc w:val="left"/>
        <w:tblInd w:w="0" w:type="dxa"/>
        <w:tblLayout w:type="fixed"/>
        <w:tblCellMar>
          <w:top w:w="28" w:type="dxa"/>
          <w:left w:w="28" w:type="dxa"/>
          <w:bottom w:w="28" w:type="dxa"/>
          <w:right w:w="28" w:type="dxa"/>
        </w:tblCellMar>
      </w:tblPr>
      <w:tblGrid>
        <w:gridCol w:w="761"/>
        <w:gridCol w:w="669"/>
        <w:gridCol w:w="670"/>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Keefer M. Lehner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Keefer M. Lehner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8827/000173882720000004/klxenergy-archarter2020.htm" TargetMode="External"/><Relationship Id="rId3" Type="http://schemas.openxmlformats.org/officeDocument/2006/relationships/hyperlink" Target="https://www.sec.gov/Archives/edgar/data/0001738827/000173882721000031/fourthamendedandrestatedby.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18918</Words>
  <Characters>103439</Characters>
  <CharactersWithSpaces>121359</CharactersWithSpaces>
  <Paragraphs>2160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