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KLX ENERGY SERVICES HOLDINGS,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217170</wp:posOffset>
            </wp:positionV>
            <wp:extent cx="1954530"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453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KLX Energy Services Holdings,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3040 Post Oak Boulevard, 15th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(832) 844-1015</w:t>
      </w:r>
    </w:p>
    <w:p>
      <w:pPr>
        <w:spacing w:after="0" w:line="20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KLX Energy Services Holdings, Inc.: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Notice is hereby given that KLX Energy Services Holdings, Inc. (“KLXE,” “we,” “our,” “us” or the “Company”) will hold its 2026 Annual Meeting of Stockholders (including any adjournment or postponement thereof, the “Annual Meeting”) virtually at </w:t>
      </w:r>
      <w:r>
        <w:rPr>
          <w:rFonts w:ascii="Times New Roman" w:cs="Times New Roman" w:eastAsia="Times New Roman" w:hAnsi="Times New Roman"/>
          <w:sz w:val="18"/>
          <w:szCs w:val="18"/>
          <w:i w:val="1"/>
          <w:iCs w:val="1"/>
          <w:color w:val="auto"/>
        </w:rPr>
        <w:t>www.meetnow.global/MXZW7V6</w:t>
      </w:r>
      <w:r>
        <w:rPr>
          <w:rFonts w:ascii="Times New Roman" w:cs="Times New Roman" w:eastAsia="Times New Roman" w:hAnsi="Times New Roman"/>
          <w:sz w:val="18"/>
          <w:szCs w:val="18"/>
          <w:color w:val="auto"/>
        </w:rPr>
        <w:t>, on Wednesday, May 6, 2026. The Annual Meeting will begin at approximately 9:00 a.m., Central Daylight Time. If you were a KLXE stockholder as of the close of business on Tuesday, March 17, 2026, the record date for the Annual Meeting set by the Board of Directors of the Company (the “Board”), you are entitled to notice of and to vote at the Annual Meeting.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Annual Meeting is being held for the following purposes:</w:t>
      </w:r>
    </w:p>
    <w:p>
      <w:pPr>
        <w:spacing w:after="0" w:line="131" w:lineRule="exact"/>
        <w:rPr>
          <w:sz w:val="20"/>
          <w:szCs w:val="20"/>
          <w:color w:val="auto"/>
        </w:rPr>
      </w:pPr>
    </w:p>
    <w:p>
      <w:pPr>
        <w:ind w:left="1080" w:right="6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and Restated Certificate of Incorporation of the Company (the “Amended and Restated Certificate of Incorporation”) to declassify the Board;</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 Directors, each for a term that expires at the 2029 Annual Meeting of Stockholders (or until the 2027 Annual Meeting of Stockholders if Proposal 1 is approved and the Declassification Amendment (as defined in the accompanying proxy statement (the “Proxy Statement”)) is filed and becomes effective as described in the Proxy Statement) and until such director’s successor is duly elected or qualified;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the Company’s named executive officers (“NEOs”);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and Restated Certificate of Incorporation to eliminate the supermajority voting requirement to amend the Company’s bylaws;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and Restated Certificate of Incorporation to eliminate the supermajority voting requirement to amend the Company’s certificate of incorporation;</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Deloitte &amp; Touche LLP to serve as the Company’s independent auditor for the fiscal year ending December 31, 2026;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action as appropriate upon such other matters that may be properly presented at the Annual Meeting or at any and all adjournments or postponements thereof.</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These proposals are further described, and comprehensive information provided to enable a full and fair evaluation, in the Proxy Statement, which is being furnished to you in connection with the solicitation by the Board of proxies to be voted at the Annual Meeting.</w:t>
      </w:r>
    </w:p>
    <w:p>
      <w:pPr>
        <w:spacing w:after="0" w:line="162"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We are pleased to take advantage of the U.S. Securities and Exchange Commission (the “SEC”) rules that allow us to provide our Notice of Annual Meeting of Stockholders, Proxy Statement and 2025 annual report to stockholders (the “2025 Annual Report”) online, with paper copies available free of charge upon request. 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82"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about March 26, 2026, we began mailing a Notice of Internet Availability of Proxy Materials (“Notice of Internet Availability”) instead of a paper copy of our proxy materials. The Notice of Internet Availability contains instructions on how to access these documents and how to cast your vote via the Internet. The Notice of Internet Availability also contains instructions on how to request a paper copy of our proxy materials. All stockholders who have so requested will receive a paper copy of the proxy materials by mail. We believe that this process allows us to provide our stockholders with the information they need on a more timely basis, while lowering the costs of printing and distributing our proxy materials.</w:t>
      </w:r>
    </w:p>
    <w:p>
      <w:pPr>
        <w:spacing w:after="0" w:line="179" w:lineRule="exact"/>
        <w:rPr>
          <w:sz w:val="20"/>
          <w:szCs w:val="20"/>
          <w:color w:val="auto"/>
        </w:rPr>
      </w:pPr>
    </w:p>
    <w:p>
      <w:pPr>
        <w:ind w:left="120" w:right="3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Your vote is important to us</w:t>
      </w:r>
      <w:r>
        <w:rPr>
          <w:rFonts w:ascii="Times New Roman" w:cs="Times New Roman" w:eastAsia="Times New Roman" w:hAnsi="Times New Roman"/>
          <w:sz w:val="17"/>
          <w:szCs w:val="17"/>
          <w:color w:val="auto"/>
        </w:rPr>
        <w:t>. Regardless of the number of shares that you own, it is important that your shares are represented at the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as a quorum of the stockholders must be present, either in person or represented by proxy, in order to conduct the Annual Meeting.</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Thank you for your continued support of the Company. We look forward to your participation at our virtual Annual Meeting.</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Max L. Bouthillette</w:t>
      </w:r>
    </w:p>
    <w:p>
      <w:pPr>
        <w:spacing w:after="0" w:line="1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MAX L. BOUTHILLETTE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General Counsel, Chief</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Compliance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7003415" cy="883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883285"/>
                    </a:xfrm>
                    <a:prstGeom prst="rect">
                      <a:avLst/>
                    </a:prstGeom>
                    <a:noFill/>
                  </pic:spPr>
                </pic:pic>
              </a:graphicData>
            </a:graphic>
          </wp:anchor>
        </w:drawing>
      </w:r>
    </w:p>
    <w:p>
      <w:pPr>
        <w:spacing w:after="0" w:line="345" w:lineRule="exact"/>
        <w:rPr>
          <w:sz w:val="20"/>
          <w:szCs w:val="20"/>
          <w:color w:val="auto"/>
        </w:rPr>
      </w:pPr>
    </w:p>
    <w:p>
      <w:pPr>
        <w:jc w:val="center"/>
        <w:ind w:left="600" w:right="5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MAY 6, 2026.</w:t>
      </w:r>
    </w:p>
    <w:p>
      <w:pPr>
        <w:spacing w:after="0" w:line="186" w:lineRule="exact"/>
        <w:rPr>
          <w:sz w:val="20"/>
          <w:szCs w:val="20"/>
          <w:color w:val="auto"/>
        </w:rPr>
      </w:pPr>
    </w:p>
    <w:p>
      <w:pPr>
        <w:ind w:left="280" w:right="2400"/>
        <w:spacing w:after="0" w:line="282" w:lineRule="auto"/>
        <w:rPr>
          <w:sz w:val="20"/>
          <w:szCs w:val="20"/>
          <w:color w:val="auto"/>
        </w:rPr>
      </w:pPr>
      <w:r>
        <w:rPr>
          <w:rFonts w:ascii="Times New Roman" w:cs="Times New Roman" w:eastAsia="Times New Roman" w:hAnsi="Times New Roman"/>
          <w:sz w:val="18"/>
          <w:szCs w:val="18"/>
          <w:color w:val="auto"/>
        </w:rPr>
        <w:t xml:space="preserve">The Company’s Notice of Annual Meeting, Proxy Statement and 2025 Annual Report are available on the Internet at </w:t>
      </w:r>
      <w:r>
        <w:rPr>
          <w:rFonts w:ascii="Times New Roman" w:cs="Times New Roman" w:eastAsia="Times New Roman" w:hAnsi="Times New Roman"/>
          <w:sz w:val="18"/>
          <w:szCs w:val="18"/>
          <w:i w:val="1"/>
          <w:iCs w:val="1"/>
          <w:color w:val="auto"/>
        </w:rPr>
        <w:t>www.edocumentview.com/KLXE</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82"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260" w:type="dxa"/>
            <w:vAlign w:val="bottom"/>
            <w:gridSpan w:val="4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2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0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Notice of Annual Meeting of Stockholders</w:t>
            </w:r>
          </w:p>
        </w:tc>
        <w:tc>
          <w:tcPr>
            <w:tcW w:w="7060" w:type="dxa"/>
            <w:vAlign w:val="bottom"/>
            <w:gridSpan w:val="1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Table of Contents</w:t>
            </w:r>
          </w:p>
        </w:tc>
        <w:tc>
          <w:tcPr>
            <w:tcW w:w="8860" w:type="dxa"/>
            <w:vAlign w:val="bottom"/>
            <w:gridSpan w:val="3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Our Commitments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9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Proxy Statement Summary</w:t>
            </w:r>
          </w:p>
        </w:tc>
        <w:tc>
          <w:tcPr>
            <w:tcW w:w="8200" w:type="dxa"/>
            <w:vAlign w:val="bottom"/>
            <w:gridSpan w:val="2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33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Matters to be Voted on at the Annual Meeting</w:t>
            </w:r>
          </w:p>
        </w:tc>
        <w:tc>
          <w:tcPr>
            <w:tcW w:w="6840" w:type="dxa"/>
            <w:vAlign w:val="bottom"/>
            <w:gridSpan w:val="1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1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5"/>
              </w:rPr>
              <w:t>Voting Your Shares</w:t>
            </w:r>
          </w:p>
        </w:tc>
        <w:tc>
          <w:tcPr>
            <w:tcW w:w="8740" w:type="dxa"/>
            <w:vAlign w:val="bottom"/>
            <w:gridSpan w:val="3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2025 Performance</w:t>
            </w:r>
          </w:p>
        </w:tc>
        <w:tc>
          <w:tcPr>
            <w:tcW w:w="8800" w:type="dxa"/>
            <w:vAlign w:val="bottom"/>
            <w:gridSpan w:val="38"/>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6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Governance Highlights</w:t>
            </w:r>
          </w:p>
        </w:tc>
        <w:tc>
          <w:tcPr>
            <w:tcW w:w="8460" w:type="dxa"/>
            <w:vAlign w:val="bottom"/>
            <w:gridSpan w:val="3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2025 Executive Compensation Highlights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tcBorders>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Amendment to the Company’s Amended and Restated Certificate of Incorporation to Declassify the Board</w:t>
            </w:r>
          </w:p>
        </w:tc>
        <w:tc>
          <w:tcPr>
            <w:tcW w:w="160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Proposal 2: Election of Directors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120" w:type="dxa"/>
            <w:vAlign w:val="bottom"/>
          </w:tcPr>
          <w:p>
            <w:pPr>
              <w:spacing w:after="0"/>
              <w:rPr>
                <w:sz w:val="17"/>
                <w:szCs w:val="17"/>
                <w:color w:val="auto"/>
              </w:rPr>
            </w:pPr>
          </w:p>
        </w:tc>
        <w:tc>
          <w:tcPr>
            <w:tcW w:w="236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Board of Directors</w:t>
            </w:r>
          </w:p>
        </w:tc>
        <w:tc>
          <w:tcPr>
            <w:tcW w:w="7780" w:type="dxa"/>
            <w:vAlign w:val="bottom"/>
            <w:gridSpan w:val="2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6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w:t>
            </w:r>
          </w:p>
        </w:tc>
        <w:tc>
          <w:tcPr>
            <w:tcW w:w="8500" w:type="dxa"/>
            <w:vAlign w:val="bottom"/>
            <w:gridSpan w:val="3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Meetings of the Board and Its Committees</w:t>
            </w:r>
          </w:p>
        </w:tc>
        <w:tc>
          <w:tcPr>
            <w:tcW w:w="7080" w:type="dxa"/>
            <w:vAlign w:val="bottom"/>
            <w:gridSpan w:val="1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Committees of the Board</w:t>
            </w:r>
          </w:p>
        </w:tc>
        <w:tc>
          <w:tcPr>
            <w:tcW w:w="8320" w:type="dxa"/>
            <w:vAlign w:val="bottom"/>
            <w:gridSpan w:val="2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Nomination of Directors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Board Composition</w:t>
            </w:r>
          </w:p>
        </w:tc>
        <w:tc>
          <w:tcPr>
            <w:tcW w:w="340" w:type="dxa"/>
            <w:vAlign w:val="bottom"/>
            <w:tcBorders>
              <w:top w:val="single" w:sz="8" w:color="0000EE"/>
            </w:tcBorders>
            <w:gridSpan w:val="5"/>
          </w:tcPr>
          <w:p>
            <w:pPr>
              <w:spacing w:after="0"/>
              <w:rPr>
                <w:sz w:val="17"/>
                <w:szCs w:val="17"/>
                <w:color w:val="auto"/>
              </w:rPr>
            </w:pPr>
          </w:p>
        </w:tc>
        <w:tc>
          <w:tcPr>
            <w:tcW w:w="8380" w:type="dxa"/>
            <w:vAlign w:val="bottom"/>
            <w:gridSpan w:val="3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316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Plurality Plus Majority Voting for Directors</w:t>
            </w:r>
          </w:p>
        </w:tc>
        <w:tc>
          <w:tcPr>
            <w:tcW w:w="6980" w:type="dxa"/>
            <w:vAlign w:val="bottom"/>
            <w:gridSpan w:val="16"/>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Risk Oversight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Our Commitment to Corporate Governance</w:t>
            </w:r>
          </w:p>
        </w:tc>
        <w:tc>
          <w:tcPr>
            <w:tcW w:w="7000" w:type="dxa"/>
            <w:vAlign w:val="bottom"/>
            <w:gridSpan w:val="1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Our Commitment to Sustainable and Efficient Operations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Code of Business Conduct</w:t>
            </w:r>
          </w:p>
        </w:tc>
        <w:tc>
          <w:tcPr>
            <w:tcW w:w="2220" w:type="dxa"/>
            <w:vAlign w:val="bottom"/>
            <w:tcBorders>
              <w:top w:val="single" w:sz="8" w:color="0000EE"/>
            </w:tcBorders>
            <w:gridSpan w:val="19"/>
          </w:tcPr>
          <w:p>
            <w:pPr>
              <w:spacing w:after="0"/>
              <w:rPr>
                <w:sz w:val="17"/>
                <w:szCs w:val="17"/>
                <w:color w:val="auto"/>
              </w:rPr>
            </w:pPr>
          </w:p>
        </w:tc>
        <w:tc>
          <w:tcPr>
            <w:tcW w:w="6000" w:type="dxa"/>
            <w:vAlign w:val="bottom"/>
            <w:gridSpan w:val="9"/>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Stockholder Communications with our Board of Directors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4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Committee Interlocks and Insider Participation</w:t>
            </w:r>
          </w:p>
        </w:tc>
        <w:tc>
          <w:tcPr>
            <w:tcW w:w="5680" w:type="dxa"/>
            <w:vAlign w:val="bottom"/>
            <w:gridSpan w:val="7"/>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Delinquent Section 16(A) Reports</w:t>
            </w:r>
          </w:p>
        </w:tc>
        <w:tc>
          <w:tcPr>
            <w:tcW w:w="7680" w:type="dxa"/>
            <w:vAlign w:val="bottom"/>
            <w:gridSpan w:val="2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Anti-Hedging and Anti-Pledging Policy</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1180" w:type="dxa"/>
            <w:vAlign w:val="bottom"/>
            <w:tcBorders>
              <w:top w:val="single" w:sz="8" w:color="0000EE"/>
            </w:tcBorders>
            <w:gridSpan w:val="12"/>
          </w:tcPr>
          <w:p>
            <w:pPr>
              <w:spacing w:after="0"/>
              <w:rPr>
                <w:sz w:val="17"/>
                <w:szCs w:val="17"/>
                <w:color w:val="auto"/>
              </w:rPr>
            </w:pPr>
          </w:p>
        </w:tc>
        <w:tc>
          <w:tcPr>
            <w:tcW w:w="7280" w:type="dxa"/>
            <w:vAlign w:val="bottom"/>
            <w:gridSpan w:val="2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0" w:type="dxa"/>
            <w:vAlign w:val="bottom"/>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620" w:type="dxa"/>
            <w:vAlign w:val="bottom"/>
            <w:tcBorders>
              <w:bottom w:val="single" w:sz="8" w:color="0000EE"/>
            </w:tcBorders>
            <w:gridSpan w:val="4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3: Advisory, Non-Binding Vote to Approve the Compensation of Our Named Executive Officers</w:t>
            </w:r>
          </w:p>
        </w:tc>
        <w:tc>
          <w:tcPr>
            <w:tcW w:w="2520" w:type="dxa"/>
            <w:vAlign w:val="bottom"/>
            <w:gridSpan w:val="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18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8340" w:type="dxa"/>
            <w:vAlign w:val="bottom"/>
            <w:gridSpan w:val="3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7"/>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2025 Fiscal Year-End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Additional Narrative Disclosures</w:t>
            </w:r>
          </w:p>
        </w:tc>
        <w:tc>
          <w:tcPr>
            <w:tcW w:w="1380" w:type="dxa"/>
            <w:vAlign w:val="bottom"/>
            <w:tcBorders>
              <w:top w:val="single" w:sz="8" w:color="0000EE"/>
            </w:tcBorders>
            <w:gridSpan w:val="11"/>
          </w:tcPr>
          <w:p>
            <w:pPr>
              <w:spacing w:after="0"/>
              <w:rPr>
                <w:sz w:val="17"/>
                <w:szCs w:val="17"/>
                <w:color w:val="auto"/>
              </w:rPr>
            </w:pPr>
          </w:p>
        </w:tc>
        <w:tc>
          <w:tcPr>
            <w:tcW w:w="638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20" w:type="dxa"/>
            <w:vAlign w:val="bottom"/>
          </w:tcPr>
          <w:p>
            <w:pPr>
              <w:spacing w:after="0"/>
              <w:rPr>
                <w:sz w:val="17"/>
                <w:szCs w:val="17"/>
                <w:color w:val="auto"/>
              </w:rPr>
            </w:pPr>
          </w:p>
        </w:tc>
        <w:tc>
          <w:tcPr>
            <w:tcW w:w="17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Pay versus Performance</w:t>
            </w:r>
          </w:p>
        </w:tc>
        <w:tc>
          <w:tcPr>
            <w:tcW w:w="8400" w:type="dxa"/>
            <w:vAlign w:val="bottom"/>
            <w:gridSpan w:val="3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Proposal 4: Amendment to the Company’s Amended and Restated Certificate of Incorporation to Eliminate the Supermajority Voting</w:t>
            </w:r>
          </w:p>
        </w:tc>
        <w:tc>
          <w:tcPr>
            <w:tcW w:w="8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2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Requirement to Amend the Company’s Bylaws</w:t>
            </w:r>
          </w:p>
        </w:tc>
        <w:tc>
          <w:tcPr>
            <w:tcW w:w="5980" w:type="dxa"/>
            <w:vAlign w:val="bottom"/>
            <w:tcBorders>
              <w:top w:val="single" w:sz="8" w:color="0000EE"/>
            </w:tcBorders>
            <w:gridSpan w:val="12"/>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Proposal 5: Amendment to the Company’s Amended and Restated Certificate of Incorporation to Eliminate the Supermajority Voting</w:t>
            </w:r>
          </w:p>
        </w:tc>
        <w:tc>
          <w:tcPr>
            <w:tcW w:w="8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00" w:type="dxa"/>
            <w:vAlign w:val="bottom"/>
            <w:tcBorders>
              <w:top w:val="single" w:sz="8" w:color="0000EE"/>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Requirement to Amend the Company’s Charter</w:t>
            </w:r>
          </w:p>
        </w:tc>
        <w:tc>
          <w:tcPr>
            <w:tcW w:w="6000" w:type="dxa"/>
            <w:vAlign w:val="bottom"/>
            <w:tcBorders>
              <w:top w:val="single" w:sz="8" w:color="0000EE"/>
            </w:tcBorders>
            <w:gridSpan w:val="13"/>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20" w:type="dxa"/>
            <w:vAlign w:val="bottom"/>
          </w:tcPr>
          <w:p>
            <w:pPr>
              <w:spacing w:after="0"/>
              <w:rPr>
                <w:sz w:val="17"/>
                <w:szCs w:val="17"/>
                <w:color w:val="auto"/>
              </w:rPr>
            </w:pPr>
          </w:p>
        </w:tc>
        <w:tc>
          <w:tcPr>
            <w:tcW w:w="38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6300" w:type="dxa"/>
            <w:vAlign w:val="bottom"/>
            <w:gridSpan w:val="11"/>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Proposal 6: Ratification of the Selection of Independent Registered Public Accounting Firm</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2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Audit Matters</w:t>
            </w:r>
          </w:p>
        </w:tc>
        <w:tc>
          <w:tcPr>
            <w:tcW w:w="5520" w:type="dxa"/>
            <w:vAlign w:val="bottom"/>
            <w:tcBorders>
              <w:top w:val="single" w:sz="8" w:color="0000EE"/>
            </w:tcBorders>
            <w:gridSpan w:val="37"/>
          </w:tcPr>
          <w:p>
            <w:pPr>
              <w:spacing w:after="0"/>
              <w:rPr>
                <w:sz w:val="17"/>
                <w:szCs w:val="17"/>
                <w:color w:val="auto"/>
              </w:rPr>
            </w:pPr>
          </w:p>
        </w:tc>
        <w:tc>
          <w:tcPr>
            <w:tcW w:w="354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0" w:type="dxa"/>
            <w:vAlign w:val="bottom"/>
          </w:tcPr>
          <w:p>
            <w:pPr>
              <w:spacing w:after="0"/>
              <w:rPr>
                <w:sz w:val="17"/>
                <w:szCs w:val="17"/>
                <w:color w:val="auto"/>
              </w:rPr>
            </w:pPr>
          </w:p>
        </w:tc>
        <w:tc>
          <w:tcPr>
            <w:tcW w:w="410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Report of the Audit Committee of the Board of Directors</w:t>
            </w:r>
          </w:p>
        </w:tc>
        <w:tc>
          <w:tcPr>
            <w:tcW w:w="604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Questions and Answers About the Proxy Statement and the Annual Meeting</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12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w:t>
            </w:r>
          </w:p>
        </w:tc>
        <w:tc>
          <w:tcPr>
            <w:tcW w:w="3860" w:type="dxa"/>
            <w:vAlign w:val="bottom"/>
            <w:tcBorders>
              <w:top w:val="single" w:sz="8" w:color="0000EE"/>
            </w:tcBorders>
            <w:gridSpan w:val="30"/>
          </w:tcPr>
          <w:p>
            <w:pPr>
              <w:spacing w:after="0"/>
              <w:rPr>
                <w:sz w:val="17"/>
                <w:szCs w:val="17"/>
                <w:color w:val="auto"/>
              </w:rPr>
            </w:pPr>
          </w:p>
        </w:tc>
        <w:tc>
          <w:tcPr>
            <w:tcW w:w="4660" w:type="dxa"/>
            <w:vAlign w:val="bottom"/>
            <w:gridSpan w:val="5"/>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12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Appendix A</w:t>
            </w:r>
          </w:p>
        </w:tc>
        <w:tc>
          <w:tcPr>
            <w:tcW w:w="9140" w:type="dxa"/>
            <w:vAlign w:val="bottom"/>
            <w:gridSpan w:val="4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Appendix B</w:t>
            </w:r>
          </w:p>
        </w:tc>
        <w:tc>
          <w:tcPr>
            <w:tcW w:w="9260" w:type="dxa"/>
            <w:vAlign w:val="bottom"/>
            <w:gridSpan w:val="4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196"/>
        </w:trPr>
        <w:tc>
          <w:tcPr>
            <w:tcW w:w="12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Appendix C</w:t>
            </w:r>
          </w:p>
        </w:tc>
        <w:tc>
          <w:tcPr>
            <w:tcW w:w="9260" w:type="dxa"/>
            <w:vAlign w:val="bottom"/>
            <w:gridSpan w:val="43"/>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196"/>
        </w:trPr>
        <w:tc>
          <w:tcPr>
            <w:tcW w:w="120" w:type="dxa"/>
            <w:vAlign w:val="bottom"/>
          </w:tcPr>
          <w:p>
            <w:pPr>
              <w:spacing w:after="0"/>
              <w:rPr>
                <w:sz w:val="17"/>
                <w:szCs w:val="17"/>
                <w:color w:val="auto"/>
              </w:rPr>
            </w:pPr>
          </w:p>
        </w:tc>
        <w:tc>
          <w:tcPr>
            <w:tcW w:w="1014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Appendix 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73"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to encourage companies to provide prospective information to investors. This Proxy Statement includes forward-looking statements that reflect our current expectations and projections about our future results, performance and prospects. Forward-looking statements include all statements that are not historical in nature or are not current facts. When used in this Proxy Statement,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 These forward-looking statements are subject to a number of risks, uncertainties, assumptions and other factors that could cause our actual results, performance and prospects to differ materially from those expressed in, or implied by, these forward-looking statements, including, but are not limited to, risks and uncertainties listed in our filings with the SEC, including our Current Reports on Form 8-K that we file from time to time, Quarterly Reports on Form 10-Q and Annual Reports on Form 10-K. Readers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 except as required by law.</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OUR COMMITMENTS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AND HOW WE WORK.</w:t>
      </w: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OUR BUSINESS FOCUS AND</w:t>
      </w:r>
    </w:p>
    <w:p>
      <w:pPr>
        <w:spacing w:after="0" w:line="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HOW WE MOVE FORWARD.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customers have a choice when it comes to mission critical oilfield services, and how we perform determines whether they choose us. We aim high, set ambitious goals and deliver superior results, and we use customer feedback to recalibrate as necessary. We move quickly but make well-reasoned decisions because our future depends on them.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OPPORTUNITY</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employees’ ideas and inspiration create opportunities everywhere, and without limits. We strive to continuously improve all aspects of what we do as a company and as individuals. We support and pursue lifelong learning and to expand our knowledge and capabilities and to engage with the world outside KLXE. We take prudent risks, we experiment, we cooperate with each other and, importantly, we learn from the consequences of our 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KLXE is a preferred investment because we set aggressive targets and always strive to outperform our goals. We communicate honestly and forthrightly to investors, and strive to deliver consistently against our communicated goals. We are a company of realists and optimists and we believe we project these values in everything we do.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INNOVATION</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a company of ideas that are nurtured by a commitment to continuous improvement and product and service enhancements. Our prior achievements inspire us to reach for excellence in everything we do. We seek and share ideas openly and encourage a broad range of experience and opinion.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RESPONSIBILITY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aim to maintain the highest ethical, environmental and safety standards and we encourage and celebrate our employees’ active participation in achieving these goals.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60"/>
          </w:cols>
          <w:pgMar w:left="320" w:top="482"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PROXY STATEMENT SUMMARY</w:t>
      </w:r>
    </w:p>
    <w:p>
      <w:pPr>
        <w:spacing w:after="0" w:line="227"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in this Proxy Statement. Please review the entire Proxy Statement and the 2025 Annual Report before voting. Our 2025 fiscal year ended on December 31, 2025.</w:t>
      </w:r>
    </w:p>
    <w:p>
      <w:pPr>
        <w:spacing w:after="0" w:line="16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This Proxy Statement contains information related to the KLX Energy Services Holdings, Inc. (“KLXE,” “we,” “our,” “us” or the “Company”) 2026 Annual Meeting of Stockholders (the “Annual Meeting”). We are providing a Notice of Internet Availability of Proxy Materials (“Notice of Internet Availability”) instead of a paper copy of our proxy materials. The foregoing Notice of Annual Meeting of Stockholders, this Proxy Statement and the proxy card (“Proxy Card”), together with the Company’s 2025 Annual Report to Stockholders (the “2025 Annual Report”), which includes the Company’s Annual Report on Form 10-K for the fiscal year ended December 31, 2025 (collectively, the “Proxy Materials”), are available to stockholders in connection with the solicitation of proxies by the Board for use at the Annual Meeting. The Notice of Internet Availability contains instructions on how to access these documents and how to cast your vote via the Internet. The Notice of Internet Availability also contains instructions on how to request a paper copy of our Proxy Materials. All stockholders who have so requested will receive a paper copy of the Proxy Materials by mail. We believe that this process allows us to provide our stockholders with the information they need on a more timely basis, while lowering the costs of printing and distributing our Proxy Materials.</w:t>
      </w:r>
    </w:p>
    <w:p>
      <w:pPr>
        <w:spacing w:after="0" w:line="19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or about March 26, 2026, we began mailing a Notice of Internet Availability to our stockholders entitled to notice of and to vote at the Annual Meeting. We have also made the Proxy Materials available free of charge on our website at </w:t>
      </w:r>
      <w:r>
        <w:rPr>
          <w:rFonts w:ascii="Times New Roman" w:cs="Times New Roman" w:eastAsia="Times New Roman" w:hAnsi="Times New Roman"/>
          <w:sz w:val="18"/>
          <w:szCs w:val="18"/>
          <w:i w:val="1"/>
          <w:iCs w:val="1"/>
          <w:color w:val="auto"/>
        </w:rPr>
        <w:t>investor.klx.com</w:t>
      </w:r>
      <w:r>
        <w:rPr>
          <w:rFonts w:ascii="Times New Roman" w:cs="Times New Roman" w:eastAsia="Times New Roman" w:hAnsi="Times New Roman"/>
          <w:sz w:val="18"/>
          <w:szCs w:val="18"/>
          <w:color w:val="auto"/>
        </w:rPr>
        <w:t>. Any information contained on or available through our website is not a part of, or incorporated into, this Proxy Statement and you should not consider it a part of the Proxy Materials. Interested parties may also obtain an electronic or printed copy of the Proxy Materials, free of charge, by sending a written request to KLX Energy Services Holdings, Inc. at 3040 Post Oak Boulevard, 15th Floor, Houston, TX 77056, Attn: Corporate Secretary, or by emailing ir@klx.com.</w:t>
      </w:r>
    </w:p>
    <w:p>
      <w:pPr>
        <w:spacing w:after="0" w:line="287" w:lineRule="exact"/>
        <w:rPr>
          <w:sz w:val="20"/>
          <w:szCs w:val="20"/>
          <w:color w:val="auto"/>
        </w:rPr>
      </w:pPr>
    </w:p>
    <w:p>
      <w:pPr>
        <w:jc w:val="right"/>
        <w:ind w:right="6080"/>
        <w:spacing w:after="0"/>
        <w:rPr>
          <w:sz w:val="20"/>
          <w:szCs w:val="20"/>
          <w:color w:val="auto"/>
        </w:rPr>
      </w:pPr>
      <w:r>
        <w:rPr>
          <w:rFonts w:ascii="Times New Roman" w:cs="Times New Roman" w:eastAsia="Times New Roman" w:hAnsi="Times New Roman"/>
          <w:sz w:val="18"/>
          <w:szCs w:val="18"/>
          <w:b w:val="1"/>
          <w:bCs w:val="1"/>
          <w:color w:val="auto"/>
        </w:rPr>
        <w:t>MATTERS TO BE VOTED ON AT THE ANNUAL MEETING</w:t>
      </w:r>
    </w:p>
    <w:p>
      <w:pPr>
        <w:spacing w:after="0" w:line="121" w:lineRule="exact"/>
        <w:rPr>
          <w:sz w:val="20"/>
          <w:szCs w:val="20"/>
          <w:color w:val="auto"/>
        </w:rPr>
      </w:pPr>
    </w:p>
    <w:p>
      <w:pPr>
        <w:jc w:val="right"/>
        <w:ind w:right="6080"/>
        <w:spacing w:after="0"/>
        <w:rPr>
          <w:sz w:val="20"/>
          <w:szCs w:val="20"/>
          <w:color w:val="auto"/>
        </w:rPr>
      </w:pPr>
      <w:r>
        <w:rPr>
          <w:rFonts w:ascii="Times New Roman" w:cs="Times New Roman" w:eastAsia="Times New Roman" w:hAnsi="Times New Roman"/>
          <w:sz w:val="18"/>
          <w:szCs w:val="18"/>
          <w:color w:val="auto"/>
        </w:rPr>
        <w:t>The Annual Meeting is being held for the following purposes:</w:t>
      </w:r>
    </w:p>
    <w:p>
      <w:pPr>
        <w:spacing w:after="0" w:line="131" w:lineRule="exact"/>
        <w:rPr>
          <w:sz w:val="20"/>
          <w:szCs w:val="20"/>
          <w:color w:val="auto"/>
        </w:rPr>
      </w:pPr>
    </w:p>
    <w:p>
      <w:pPr>
        <w:ind w:left="1080" w:right="60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and Restated Certificate of Incorporation to declassify the Board (the “Declassification Amendment”);</w:t>
      </w:r>
    </w:p>
    <w:p>
      <w:pPr>
        <w:spacing w:after="0" w:line="67"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 Directors, each for a term that expires at the 2029 Annual Meeting of Stockholders (or until the 2027 Annual Meeting of Stockholders if Proposal 1 is approved and the Declassification Amendment is filed and becomes effective as herein) and until such director’s successor is duly elected or qualified;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of the Company’s NEOs (the “Say-on-Pay Resolution”);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and Restated Certificate of Incorporation to eliminate the supermajority voting requirement to amend the Company’s bylaws (the “Bylaw Supermajority Amendment”);</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Amended and Restated Certificate of Incorporation to eliminate the supermajority voting requirement to amend the Company’s certificate of incorporation (the “Charter Supermajority Amendment”);</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Deloitte &amp; Touche LLP to serve as the Company’s independent auditor for the fiscal year ending December 31, 2026 (the “Auditor Ratification Proposal”);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action as appropriate upon such other matters that may be properly presented at the Annual Meeting or at any and all adjournments or postponements thereof.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82"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Stockholders as of the record date of March 17, 2026, are entitled to vote. As of March 17, 2026, there were 19,668,752 shares of KLXE common stock outstanding and each share of the Company’s common stock is entitled to one vote for each director nominee and one vote for each of the other proposals. Stockholders of record may vote their shares virtually during the Annual Meeting or before the Annual Meeting by using any of the following methods: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By Internet</w:t>
            </w:r>
          </w:p>
        </w:tc>
        <w:tc>
          <w:tcPr>
            <w:tcW w:w="220" w:type="dxa"/>
            <w:vAlign w:val="bottom"/>
          </w:tcPr>
          <w:p>
            <w:pPr>
              <w:spacing w:after="0"/>
              <w:rPr>
                <w:sz w:val="16"/>
                <w:szCs w:val="16"/>
                <w:color w:val="auto"/>
              </w:rPr>
            </w:pPr>
          </w:p>
        </w:tc>
        <w:tc>
          <w:tcPr>
            <w:tcW w:w="374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By Mail</w:t>
            </w:r>
          </w:p>
        </w:tc>
        <w:tc>
          <w:tcPr>
            <w:tcW w:w="32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By Phone</w:t>
            </w:r>
          </w:p>
        </w:tc>
      </w:tr>
      <w:tr>
        <w:trPr>
          <w:trHeight w:val="191"/>
        </w:trPr>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i w:val="1"/>
                <w:iCs w:val="1"/>
                <w:color w:val="auto"/>
              </w:rPr>
              <w:t>www.investorvote.com/KLXE</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Complete, sign and date the Proxy Card and</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Call toll free 1-800-652-8683</w:t>
            </w:r>
          </w:p>
        </w:tc>
      </w:tr>
      <w:tr>
        <w:trPr>
          <w:trHeight w:val="234"/>
        </w:trPr>
        <w:tc>
          <w:tcPr>
            <w:tcW w:w="3860" w:type="dxa"/>
            <w:vAlign w:val="bottom"/>
          </w:tcPr>
          <w:p>
            <w:pPr>
              <w:spacing w:after="0"/>
              <w:rPr>
                <w:sz w:val="20"/>
                <w:szCs w:val="20"/>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return the Proxy Card in the prepaid envelope</w:t>
            </w:r>
          </w:p>
        </w:tc>
        <w:tc>
          <w:tcPr>
            <w:tcW w:w="3200" w:type="dxa"/>
            <w:vAlign w:val="bottom"/>
          </w:tcPr>
          <w:p>
            <w:pPr>
              <w:spacing w:after="0"/>
              <w:rPr>
                <w:sz w:val="20"/>
                <w:szCs w:val="20"/>
                <w:color w:val="auto"/>
              </w:rPr>
            </w:pPr>
          </w:p>
        </w:tc>
      </w:tr>
    </w:tbl>
    <w:p>
      <w:pPr>
        <w:spacing w:after="0" w:line="19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on attending the virtual Annual Meeting and voting your shares, please see “Questions and Answers About the Proxy Statement and the Annual Meeting”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PERFORMANCE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our financial results as of December 31, 2025 is set forth below:</w:t>
      </w: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840" w:hanging="27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$636.6 million</w:t>
      </w:r>
    </w:p>
    <w:p>
      <w:pPr>
        <w:spacing w:after="0" w:line="19"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net loss, and net loss per diluted share were $(30.3) million, $(77.1) million and $(4.12) per share, respectively</w:t>
      </w:r>
    </w:p>
    <w:p>
      <w:pPr>
        <w:spacing w:after="0" w:line="9"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positive cash flow from operating activities of $7.5 million</w:t>
      </w:r>
    </w:p>
    <w:p>
      <w:pPr>
        <w:spacing w:after="0" w:line="9" w:lineRule="exact"/>
        <w:rPr>
          <w:rFonts w:ascii="Times New Roman" w:cs="Times New Roman" w:eastAsia="Times New Roman" w:hAnsi="Times New Roman"/>
          <w:sz w:val="18"/>
          <w:szCs w:val="18"/>
          <w:color w:val="auto"/>
        </w:rPr>
      </w:pPr>
    </w:p>
    <w:p>
      <w:pPr>
        <w:ind w:left="840" w:hanging="27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$76.1 million (1)</w:t>
      </w:r>
    </w:p>
    <w:p>
      <w:pPr>
        <w:spacing w:after="0" w:line="179"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earnings (loss) before interest, taxes, depreciation and amortization, further adjusted for (i)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 See “Appendix A”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-593725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Our commitment to high ethical standards is reflected in the governance practices our Board follows.</w:t>
      </w:r>
    </w:p>
    <w:p>
      <w:pPr>
        <w:sectPr>
          <w:pgSz w:w="11900" w:h="16838" w:orient="portrait"/>
          <w:cols w:equalWidth="0" w:num="1">
            <w:col w:w="11080"/>
          </w:cols>
          <w:pgMar w:left="320" w:top="482" w:right="499" w:bottom="1440" w:gutter="0" w:footer="0" w:header="0"/>
        </w:sect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Independence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Six of our seven current directors are independent, with the independence of each director assessed by the Board on an annual basis.</w:t>
      </w:r>
    </w:p>
    <w:p>
      <w:pPr>
        <w:spacing w:after="0" w:line="54" w:lineRule="exact"/>
        <w:rPr>
          <w:sz w:val="20"/>
          <w:szCs w:val="20"/>
          <w:color w:val="auto"/>
        </w:rPr>
      </w:pPr>
    </w:p>
    <w:p>
      <w:pPr>
        <w:sectPr>
          <w:pgSz w:w="11900" w:h="16838" w:orient="portrait"/>
          <w:cols w:equalWidth="0" w:num="3">
            <w:col w:w="3800" w:space="720"/>
            <w:col w:w="60" w:space="220"/>
            <w:col w:w="6280"/>
          </w:cols>
          <w:pgMar w:left="320" w:top="482" w:right="49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89" w:lineRule="auto"/>
        <w:rPr>
          <w:sz w:val="20"/>
          <w:szCs w:val="20"/>
          <w:color w:val="auto"/>
        </w:rPr>
      </w:pPr>
      <w:r>
        <w:rPr>
          <w:rFonts w:ascii="Times New Roman" w:cs="Times New Roman" w:eastAsia="Times New Roman" w:hAnsi="Times New Roman"/>
          <w:sz w:val="17"/>
          <w:szCs w:val="17"/>
          <w:color w:val="auto"/>
        </w:rPr>
        <w:t>Intentionally separate roles for the Chairman of the Board and the Chief Executive Officer – the Chairman of the Board is independent, and presides over all meetings of the Board, including regular executive sessions of solely the independent directors.</w:t>
      </w:r>
    </w:p>
    <w:p>
      <w:pPr>
        <w:spacing w:after="0" w:line="50" w:lineRule="exact"/>
        <w:rPr>
          <w:sz w:val="20"/>
          <w:szCs w:val="20"/>
          <w:color w:val="auto"/>
        </w:rPr>
      </w:pPr>
    </w:p>
    <w:p>
      <w:pPr>
        <w:sectPr>
          <w:pgSz w:w="11900" w:h="16838" w:orient="portrait"/>
          <w:cols w:equalWidth="0" w:num="2">
            <w:col w:w="4580" w:space="220"/>
            <w:col w:w="6280"/>
          </w:cols>
          <w:pgMar w:left="320" w:top="482" w:right="49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620"/>
        <w:spacing w:after="0" w:line="266" w:lineRule="auto"/>
        <w:rPr>
          <w:sz w:val="20"/>
          <w:szCs w:val="20"/>
          <w:color w:val="auto"/>
        </w:rPr>
      </w:pPr>
      <w:r>
        <w:rPr>
          <w:rFonts w:ascii="Times New Roman" w:cs="Times New Roman" w:eastAsia="Times New Roman" w:hAnsi="Times New Roman"/>
          <w:sz w:val="18"/>
          <w:szCs w:val="18"/>
          <w:color w:val="auto"/>
        </w:rPr>
        <w:t>Each of our Audit Committee, Compensation Committee, and Nominating and Corporate Governance Committee (together, the “Committees”) is composed exclusively of independent directors.</w:t>
      </w:r>
    </w:p>
    <w:p>
      <w:pPr>
        <w:spacing w:after="0" w:line="64" w:lineRule="exact"/>
        <w:rPr>
          <w:sz w:val="20"/>
          <w:szCs w:val="20"/>
          <w:color w:val="auto"/>
        </w:rPr>
      </w:pPr>
    </w:p>
    <w:p>
      <w:pPr>
        <w:sectPr>
          <w:pgSz w:w="11900" w:h="16838" w:orient="portrait"/>
          <w:cols w:equalWidth="0" w:num="2">
            <w:col w:w="4580" w:space="220"/>
            <w:col w:w="6280"/>
          </w:cols>
          <w:pgMar w:left="320" w:top="482"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Executive Sessions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independent directors regularly meet in private without management.</w:t>
      </w:r>
    </w:p>
    <w:p>
      <w:pPr>
        <w:spacing w:after="0" w:line="129" w:lineRule="exact"/>
        <w:rPr>
          <w:sz w:val="20"/>
          <w:szCs w:val="20"/>
          <w:color w:val="auto"/>
        </w:rPr>
      </w:pPr>
    </w:p>
    <w:p>
      <w:pPr>
        <w:sectPr>
          <w:pgSz w:w="11900" w:h="16838" w:orient="portrait"/>
          <w:cols w:equalWidth="0" w:num="3">
            <w:col w:w="3800" w:space="720"/>
            <w:col w:w="60" w:space="220"/>
            <w:col w:w="6280"/>
          </w:cols>
          <w:pgMar w:left="320" w:top="482" w:right="49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80"/>
        <w:spacing w:after="0" w:line="266" w:lineRule="auto"/>
        <w:rPr>
          <w:sz w:val="20"/>
          <w:szCs w:val="20"/>
          <w:color w:val="auto"/>
        </w:rPr>
      </w:pPr>
      <w:r>
        <w:rPr>
          <w:rFonts w:ascii="Times New Roman" w:cs="Times New Roman" w:eastAsia="Times New Roman" w:hAnsi="Times New Roman"/>
          <w:sz w:val="18"/>
          <w:szCs w:val="18"/>
          <w:color w:val="auto"/>
        </w:rPr>
        <w:t>Our Board Committees regularly meet in executive session in connection with their respective regularly scheduled meetings, and our Audit Committee and our Compensation Committee each meets at least four times per year.</w:t>
      </w:r>
    </w:p>
    <w:p>
      <w:pPr>
        <w:spacing w:after="0" w:line="64" w:lineRule="exact"/>
        <w:rPr>
          <w:sz w:val="20"/>
          <w:szCs w:val="20"/>
          <w:color w:val="auto"/>
        </w:rPr>
      </w:pPr>
    </w:p>
    <w:p>
      <w:pPr>
        <w:sectPr>
          <w:pgSz w:w="11900" w:h="16838" w:orient="portrait"/>
          <w:cols w:equalWidth="0" w:num="2">
            <w:col w:w="4580" w:space="220"/>
            <w:col w:w="6280"/>
          </w:cols>
          <w:pgMar w:left="320" w:top="482"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Board Oversight of Risk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Our Board reviews our systematic approach to identifying and assessing risks faced by the Company.</w:t>
      </w:r>
    </w:p>
    <w:p>
      <w:pPr>
        <w:spacing w:after="0" w:line="54" w:lineRule="exact"/>
        <w:rPr>
          <w:sz w:val="20"/>
          <w:szCs w:val="20"/>
          <w:color w:val="auto"/>
        </w:rPr>
      </w:pPr>
    </w:p>
    <w:p>
      <w:pPr>
        <w:sectPr>
          <w:pgSz w:w="11900" w:h="16838" w:orient="portrait"/>
          <w:cols w:equalWidth="0" w:num="3">
            <w:col w:w="3800" w:space="720"/>
            <w:col w:w="60" w:space="220"/>
            <w:col w:w="6280"/>
          </w:cols>
          <w:pgMar w:left="320" w:top="482" w:right="49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Board reviews our approach to environmental, social and governance matters.</w:t>
      </w:r>
    </w:p>
    <w:p>
      <w:pPr>
        <w:spacing w:after="0" w:line="129" w:lineRule="exact"/>
        <w:rPr>
          <w:sz w:val="20"/>
          <w:szCs w:val="20"/>
          <w:color w:val="auto"/>
        </w:rPr>
      </w:pPr>
    </w:p>
    <w:p>
      <w:pPr>
        <w:sectPr>
          <w:pgSz w:w="11900" w:h="16838" w:orient="portrait"/>
          <w:cols w:equalWidth="0" w:num="2">
            <w:col w:w="4580" w:space="220"/>
            <w:col w:w="6280"/>
          </w:cols>
          <w:pgMar w:left="320" w:top="482" w:right="49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The Audit Committee reviews our overall enterprise risk management policies and practices, financial risk exposures and the delegation of risk oversight responsibilities to other Board Committees.</w:t>
      </w:r>
    </w:p>
    <w:p>
      <w:pPr>
        <w:spacing w:after="0" w:line="68" w:lineRule="exact"/>
        <w:rPr>
          <w:sz w:val="20"/>
          <w:szCs w:val="20"/>
          <w:color w:val="auto"/>
        </w:rPr>
      </w:pPr>
    </w:p>
    <w:p>
      <w:pPr>
        <w:sectPr>
          <w:pgSz w:w="11900" w:h="16838" w:orient="portrait"/>
          <w:cols w:equalWidth="0" w:num="2">
            <w:col w:w="4580" w:space="220"/>
            <w:col w:w="6280"/>
          </w:cols>
          <w:pgMar w:left="320" w:top="482" w:right="49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Our Audit Committee meets regularly with our information technology director to discuss enterprise resource planning and cybersecurity risk matters.</w:t>
      </w:r>
    </w:p>
    <w:p>
      <w:pPr>
        <w:spacing w:after="0" w:line="54" w:lineRule="exact"/>
        <w:rPr>
          <w:sz w:val="20"/>
          <w:szCs w:val="20"/>
          <w:color w:val="auto"/>
        </w:rPr>
      </w:pPr>
    </w:p>
    <w:p>
      <w:pPr>
        <w:sectPr>
          <w:pgSz w:w="11900" w:h="16838" w:orient="portrait"/>
          <w:cols w:equalWidth="0" w:num="2">
            <w:col w:w="4580" w:space="220"/>
            <w:col w:w="6280"/>
          </w:cols>
          <w:pgMar w:left="320" w:top="482" w:right="499"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Audit Committee meets with our independent auditor without management present at each quarterly meeting of the Board and its Committees.</w:t>
      </w:r>
    </w:p>
    <w:p>
      <w:pPr>
        <w:spacing w:after="0" w:line="50" w:lineRule="exact"/>
        <w:rPr>
          <w:sz w:val="20"/>
          <w:szCs w:val="20"/>
          <w:color w:val="auto"/>
        </w:rPr>
      </w:pPr>
    </w:p>
    <w:p>
      <w:pPr>
        <w:sectPr>
          <w:pgSz w:w="11900" w:h="16838" w:orient="portrait"/>
          <w:cols w:equalWidth="0" w:num="2">
            <w:col w:w="4580" w:space="220"/>
            <w:col w:w="6280"/>
          </w:cols>
          <w:pgMar w:left="320" w:top="482" w:right="49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Board Practices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Times New Roman" w:cs="Times New Roman" w:eastAsia="Times New Roman" w:hAnsi="Times New Roman"/>
          <w:sz w:val="17"/>
          <w:szCs w:val="17"/>
          <w:color w:val="auto"/>
        </w:rPr>
        <w:t>Our Board has adopted Corporate Governance Guidelines that serve as a framework within which our Board and its Committees operate. While Nasdaq (as defined below) does not require listed companies to adopt corporate governance guidelines, our Guidelines are intended to align with and reflect the applicable corporate governance requirements of Nasdaq. A copy of our Corporate Governance Guidelines, together with copies of the charters for the Audit Committee, the Compensation Committee and the Nominating and Corporate Governance Committee are available on our website.</w:t>
      </w:r>
    </w:p>
    <w:p>
      <w:pPr>
        <w:spacing w:after="0" w:line="104" w:lineRule="exact"/>
        <w:rPr>
          <w:sz w:val="20"/>
          <w:szCs w:val="20"/>
          <w:color w:val="auto"/>
        </w:rPr>
      </w:pPr>
    </w:p>
    <w:p>
      <w:pPr>
        <w:sectPr>
          <w:pgSz w:w="11900" w:h="16838" w:orient="portrait"/>
          <w:cols w:equalWidth="0" w:num="3">
            <w:col w:w="3800" w:space="720"/>
            <w:col w:w="60" w:space="220"/>
            <w:col w:w="6280"/>
          </w:cols>
          <w:pgMar w:left="320" w:top="482"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80"/>
          </w:cols>
          <w:pgMar w:left="320" w:top="482" w:right="49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720" w:type="dxa"/>
            <w:vAlign w:val="bottom"/>
          </w:tcPr>
          <w:p>
            <w:pPr>
              <w:spacing w:after="0"/>
              <w:rPr>
                <w:sz w:val="17"/>
                <w:szCs w:val="17"/>
                <w:color w:val="auto"/>
              </w:rPr>
            </w:pPr>
          </w:p>
        </w:tc>
      </w:tr>
      <w:tr>
        <w:trPr>
          <w:trHeight w:val="655"/>
        </w:trPr>
        <w:tc>
          <w:tcPr>
            <w:tcW w:w="136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7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Our Board annually reviews its effectiveness as a group.</w:t>
            </w:r>
          </w:p>
        </w:tc>
      </w:tr>
      <w:tr>
        <w:trPr>
          <w:trHeight w:val="306"/>
        </w:trPr>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Nomination policies are adjusted as needed to ensure that our Board as a whole</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continues to reflect the appropriate mix of skills and experience.</w:t>
            </w:r>
          </w:p>
        </w:tc>
      </w:tr>
      <w:tr>
        <w:trPr>
          <w:trHeight w:val="306"/>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Accountability</w:t>
            </w:r>
          </w:p>
        </w:tc>
        <w:tc>
          <w:tcPr>
            <w:tcW w:w="7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Our Board has adopted a Code of Business Conduct and Ethics applicable to all</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directors, officers and employees, in accordance with applicable U.S. federal securities</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laws and Nasdaq rules. A copy of our Code of Business Conduct can be found on our</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website.</w:t>
            </w:r>
          </w:p>
        </w:tc>
      </w:tr>
      <w:tr>
        <w:trPr>
          <w:trHeight w:val="306"/>
        </w:trPr>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Our Corporate Governance Guidelines provide that any nominee for director who</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receives a greater number of “WITHHELD” votes than “FOR” votes in an uncontested</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election shall tender their resignation to the Chairman of the Board. Then the Chairman</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of the Board, considering the best interests of the Company and any current or</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foreseeable factors or circumstances related to this director, shall recommend to the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Board whether or not to accept the resignation, and if so, under what conditions. Within</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ninety days of the stockholder vote, the Board shall decide whether or not to accept the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director’s tendered resignation, and then the Company will make a public</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announcement of the Board’s decision.</w:t>
            </w:r>
          </w:p>
        </w:tc>
      </w:tr>
      <w:tr>
        <w:trPr>
          <w:trHeight w:val="306"/>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tc>
        <w:tc>
          <w:tcPr>
            <w:tcW w:w="77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In 2025, the Board adopted the Stock Ownership Policy, applicable to our executive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officers, including our NEOs, and directors. The Stock Ownership Policy is intended to</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encourage significant ownership of KLXE common stock by the individuals covered by</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 policy and to further align the interests of such covered persons with the long-term</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interests of our stockholders.</w:t>
            </w:r>
          </w:p>
        </w:tc>
      </w:tr>
      <w:tr>
        <w:trPr>
          <w:trHeight w:val="364"/>
        </w:trPr>
        <w:tc>
          <w:tcPr>
            <w:tcW w:w="1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7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4</w:t>
            </w:r>
          </w:p>
        </w:tc>
      </w:tr>
    </w:tbl>
    <w:p>
      <w:pPr>
        <w:ind w:left="2180"/>
        <w:spacing w:after="0"/>
        <w:rPr>
          <w:sz w:val="20"/>
          <w:szCs w:val="20"/>
          <w:color w:val="auto"/>
        </w:rPr>
        <w:sectPr>
          <w:pgSz w:w="11900" w:h="16838" w:orient="portrait"/>
          <w:cols w:equalWidth="0" w:num="1">
            <w:col w:w="11120"/>
          </w:cols>
          <w:pgMar w:left="320" w:top="473"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07"/>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6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r>
      <w:tr>
        <w:trPr>
          <w:trHeight w:val="525"/>
        </w:trPr>
        <w:tc>
          <w:tcPr>
            <w:tcW w:w="3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Prohibition on Hedging;</w:t>
            </w:r>
          </w:p>
        </w:tc>
        <w:tc>
          <w:tcPr>
            <w:tcW w:w="7660" w:type="dxa"/>
            <w:vAlign w:val="bottom"/>
          </w:tcPr>
          <w:p>
            <w:pPr>
              <w:spacing w:after="0"/>
              <w:rPr>
                <w:sz w:val="24"/>
                <w:szCs w:val="24"/>
                <w:color w:val="auto"/>
              </w:rPr>
            </w:pPr>
          </w:p>
        </w:tc>
      </w:tr>
      <w:tr>
        <w:trPr>
          <w:trHeight w:val="220"/>
        </w:trPr>
        <w:tc>
          <w:tcPr>
            <w:tcW w:w="3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Pledging of KLXE Shares</w:t>
            </w:r>
          </w:p>
        </w:tc>
        <w:tc>
          <w:tcPr>
            <w:tcW w:w="7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To avoid conflicts of interest that could undermine the goals of our share ownership</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policy and the focus on sustainable long-term growth, the Company prohibits directors</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and employees from entering into transactions involving short sales of our securities or</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put or call options based on our securities, except for options granted under KLXE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compensation programs. In addition, directors and NEOs are generally prohibited from</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holding Company shares in a margin account or pledging Company shares as collateral</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for a loan.</w:t>
            </w:r>
          </w:p>
        </w:tc>
      </w:tr>
      <w:tr>
        <w:trPr>
          <w:trHeight w:val="306"/>
        </w:trPr>
        <w:tc>
          <w:tcPr>
            <w:tcW w:w="34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Insider Trading Policy</w:t>
            </w:r>
          </w:p>
        </w:tc>
        <w:tc>
          <w:tcPr>
            <w:tcW w:w="76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   The Company has adopted an Insider Trading Policy governing the purchase, sale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and/or other dispositions of its securities by its directors, officers and employees that</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 Company believes is reasonably designed to promote compliance with insider</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trading laws, rules and regulations and the exchange listing standards applicable to the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Company. A copy of the Company’s Insider Trading Policy is incorporated by</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reference to Exhibit 19.1 to the Company’s most recent Annual Report on Form 10-K.</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In addition, with regard to the Company’s trading in its own securities, it is the</w:t>
            </w:r>
          </w:p>
        </w:tc>
      </w:tr>
      <w:tr>
        <w:trPr>
          <w:trHeight w:val="216"/>
        </w:trPr>
        <w:tc>
          <w:tcPr>
            <w:tcW w:w="1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Company’s policy to comply with the federal securities laws as well as the applicable</w:t>
            </w:r>
          </w:p>
        </w:tc>
      </w:tr>
      <w:tr>
        <w:trPr>
          <w:trHeight w:val="234"/>
        </w:trPr>
        <w:tc>
          <w:tcPr>
            <w:tcW w:w="1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rules and regulations of Nasdaq.</w:t>
            </w:r>
          </w:p>
        </w:tc>
      </w:tr>
    </w:tbl>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2025 EXECUTIVE COMPENSATION HIGHLIGHTS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is designed to attract, retain and motivate key executives responsible for our success, to provide incentives that reward achievement of performance goals that directly correlate to the enhancement of stockholder value and to align our executives’ interests with those of our stockholders by rewarding short-term and long-term performance and tying a significant portion of our executive officers’ compensation to increases in stockholder value. We believe our executive compensation program strikes an appropriate balance between the implementation of responsible, measured compensation practices and the effective provision of incentives for our NEOs to exert their best efforts for our success. On the Compensation Committee’s recommendation, the Board approved the compensation for 2025 for our NEOs: Christopher J. Baker, Keefer M. Lehner and Max L. Bouthillette.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Outreach, Board Actions and Disclosure Refinement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Say-on-Pay Advisory Vote</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Every year, we provide stockholders with an opportunity to vote to approve our NEO compensation on an advisory basis. At our 2025 Annual Meeting of Stockholders, approximately 44.9% of our stockholders supported our say-on-pay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Responsiveness Process after 2025 Say-on-Pay Advisory Vote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Board believes that regular dialogue with, and accountability to, our stockholders, is critical to our success, and welcomes communications from the Company’s stockholders and other interested parties. Following the 2025 say-on-pay vote, the Board, led by the Compensation Committee, undertook immediate actions to conduct a fulsome review of our executive compensation program and address the vote outcome. Specifically, ahead of the Annual Meeting, the Board conducted a campaign to contact investors to discuss our executive compensation program, including (1) our short-term incentive compensation program (annual bonus)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60"/>
          </w:cols>
          <w:pgMar w:left="320" w:top="473"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and proposed enhanced proxy disclosure of metrics, targets and performance achievements, and (2) our long-term incentive program (equity awards), including our proposed introduction of performance-based units awards. While our stockholder base is primarily retail, we also offered meetings to eight of our top institutional stockholders, collectively representing approximately 21.66% of shares outstanding, and we met with five of these stockholders. During these meetings, we received feedback primarily regarding enhanced transparency on executive compensation, specifically requesting more detailed disclosures regarding our short-term incentive compensation program. Although we are currently considered a “smaller reporting company” within the meaning of the Securities Act of 1933, as amended (the “Securities Act”), for purposes of the SEC’s executive compensation disclosure rules, which allow for more limited disclosures, we have voluntarily expanded the compensation disclosures in this Proxy Statement.</w:t>
      </w:r>
    </w:p>
    <w:p>
      <w:pPr>
        <w:spacing w:after="0" w:line="17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With strong consideration for the 2025 say-on-pay vote outcome, in its subsequent meetings, the Compensation Committee, with the assistance of the Compensation Committee’s independent compensation consultant, conducted a fulsome evaluation of our executive compensation program, including extensive benchmarking to the selected peer companies with respect to total target compensation, pay for performance, short-term incentive program design and long-term incentive program design. Feedback provided during the shareholder engagement was taken into account when the Compensation Committee determined and approved our executive compensation program for 2026. Additionally, among other actions taken, the Board adopted the Stock Ownership Policy applicable to our executive officers, including our NEOs, and directors of the Company. The Stock Ownership Policy is intended to encourage significant ownership of the Company’s common stock by the individuals covered by the policy and to further align the interests of such covered persons with the long-term interests of our stockholders.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“Executive Compensation” starting on page 28 for a summary of the compensation arrangements for our NEOs.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Engagement</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addition, we regularly meet with stockholders to gather their perspectives on key topics including our performance and strategy, corporate governance, executive compensation, human capital management and corporate responsibility.</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Beyond our governance-focused engagement, we regularly communicate with investors in connection with quarterly earnings calls, investor and industry conferences, analyst meetings and individual discussions with stockholders.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 AMENDMENT TO THE COMPANY’S AMENDED AND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TO DECLASSIFY THE BOARD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Board currently consists of seven directors divided into three classes (Class I, Class II and Class III), and directors in each class are elected to serve three-year staggered terms that expire in successive years. The Board has unanimously approved the Declassification Amendment, subject to stockholder approval. The Board has unanimously determined that the Declassification Amendment is advisable and in the best interests of the Company and our stockholders, and, in accordance with the General Corporation Law of the State of Delaware (“DGCL”), hereby seeks approval of the Declassification Amendment by our stockholders. We have submitted this proposal every year since the 2023 Annual Meeting of Stockholders.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If this proposal is approved, Article V of our Amended and Restated Certificate of Incorporation would be amended to provide for the phased elimination of the classified structure of the Board over three annual meetings, beginning with the Annual Meeting. If this proposal is approved, the Class II directors who are elected at the Annual Meeting shall be elected for a one-year term ending at the 2027 Annual Meeting of Stockholders. The Class I and Class III directors who are elected at the 2027 Annual Meeting of Stockholders shall be elected for a one-year term ending at the 2028 Annual Meeting of Stockholders. Commencing with the election of directors at the 2028 Annual Meeting of Stockholders and for each annual meeting of stockholders thereafter, the Board shall no longer be classified and each director elected at an annual meeting of stockholders shall hold office until the next succeeding annual meeting of stockholders and until such director’s successor has been duly elected and qualified, or until such director’s earlier death, resignation or removal.</w:t>
      </w:r>
    </w:p>
    <w:p>
      <w:pPr>
        <w:spacing w:after="0" w:line="192"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As discussed in connection with Proposal 2, if the Declassification Amendment is approved by our stockholders, the directors who are elected at the Annual Meeting will be elected to one-year terms. However, the Declassification Amendment would not change the terms of the directors whose terms do not expire at the Annual Meeting. If this proposal is approved by our stockholders by the requisite vote at the Annual Meeting, then the amendment will become effective upon the filing of a certificate of amendment setting forth the Declassification Amendment (the “Certificate of Amendment”) with the office of the Secretary of State of the State of Delaware. If this proposal is approved by our stockholders, we intend to file the Certificate of Amendment during the Annual Meeting, immediately after the requisite vote for this Proposal 1 is obtained and prior to the vote on the election of directors.</w:t>
      </w:r>
    </w:p>
    <w:p>
      <w:pPr>
        <w:spacing w:after="0" w:line="18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proposal, if approved, would not change the Board’s authority to change the present number of directors and to fill any vacancies or newly created directorships. However, this proposal provides that any director appointed to fill newly created Board seats or vacancies would hold office for a term expiring at the next annual meeting of stockholders following such director’s appointment.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our Board is classified, our Amended and Restated Certificate of Incorporation currently provides that directors may be removed only for cause, consistent with Delaware law, and requires the vote of 66 2/3% of the total voting power of the outstanding shares of capital stock entitled to vote shall be required to remove a director. This proposal provides that all directors may be removed with or without cause, and requires only a majority of the voting power of the then-outstanding voting stock of the Company shall be required to remove a director.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Declassification Amendment</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is asking our stockholders to approve the amendment to Article V of our Amended and Restated Certificate of Incorporation. The text of the Declassification Amendment is attached hereto as Appendix B, with additions marked with bold, underlined text and deletions indicated by strike-out text.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Declassification Amendment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This proposal is a result of the Board’s ongoing review of the Company’s corporate governance policies. A classified board structure can be viewed as diminishing a board’s accountability to stockholders because such structure does not enable stockholders to express a view on each director’s performance by means of an annual vote. Annual voting allows stockholders to express their views on the individual performance of each director and on the entire board of directors more frequently than with a classified board structure, which provides stockholders a more active role in shaping and implementing corporate governance policies. The Board believes that approval of an accelerated declassification of the Board will further enhance stockholder input, feedback and engagement through the annual meeting of stockholders process.</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Board has also considered the fact that an activist stockholder (or group of stockholders) could gain control of the Company by acquiring or obtaining enough shares to replace the entire Board with its own nominees at a single annual meeting of stockholders, which could result in radical changes to the way the Company is operated.</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view of these considerations, the Board has unanimously determined that it is in the best interests of the Company and its stockholders to further adopt best-in-class corporate governance practices and amend our Amended and Restated Certificate of Incorporation to eliminate the Company’s classified board structure and provide for the annual election of directors. The Board decided to adhere to market’s best practice in corporate governance by having all directors seeking election or re-election every year.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Effectiveness of the Declassification Amendment</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Declassification Amendment is approved by our stockholders, the Declassification Amendment will become effective upon the filing of the Certificate of Amendment with the Delaware Secretary of State, which filing is expected to occur as soon as possible following stockholder approval of the Declassification Amendment during the Annual Meeting and prior to the election of directors at the Annual Meeting.</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the Declassification Amendment is not approved by our stockholders, the Amended and Restated Certificate of Incorporation will not be amended, the Board will remain classified as set forth in the Amended and Restated Certificate of Incorporation, and the Class II directors elected at the Annual Meeting will serve a three-year term expiring at the 2029 Annual Meeting of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Approval of the Declassification Amendment requires the affirmative vote of 66 2/3% in voting power of the outstanding voting stock of the Company, voting together as a single class. As a result, abstentions and broker non-votes will have the same effect as a vote “AGAINST” this proposal.</w:t>
      </w:r>
    </w:p>
    <w:p>
      <w:pPr>
        <w:spacing w:after="0" w:line="14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Proposal 1 is separate from, and is not conditioned on, the approval of Proposal 4 (the Bylaw Supermajority Amendment) or Proposal 5 (the Charter Supermajority Amendment). Your votes on Proposals 4 and 5 do not affect your vote on Proposal 1. You can vote FOR, AGAINST or ABSTAIN from voting on any of these proposals.</w:t>
      </w:r>
    </w:p>
    <w:p>
      <w:pPr>
        <w:spacing w:after="0" w:line="172" w:lineRule="exact"/>
        <w:rPr>
          <w:sz w:val="20"/>
          <w:szCs w:val="20"/>
          <w:color w:val="auto"/>
        </w:rPr>
      </w:pPr>
    </w:p>
    <w:p>
      <w:pPr>
        <w:jc w:val="center"/>
        <w:ind w:left="480" w:right="42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THE PROPOSED AMENDMENT TO THE COMPANY’S AMENDED AND RESTATED CERTIFICATE OF INCORPORATION TO DECLASSIFY THE BOARD.</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PROPOSAL 2: ELECTION OF DIRECTORS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are seeking your support in electing the candidates that we have nominated to serve on our Board. We believe that these nominees have qualifications consistent with our position as a leading independent provider of completion, intervention, production and drilling services to the major onshore oil and gas producing regions of the United States. We also believe that these nominees have the experience and perspective to guide the Company as we continue to compete, and to innovate and adjust to rapidly changing technologies, business cycles and competition.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mailing, we have seven members on our Board. Pursuant to the Company’s Amended and Restated Certificate of Incorporation, the Board is divided into three classes, each as nearly equal in number as possible, so that each director will serve for three years, with one class of directors being elected each year. The directors designated as Class II directors have terms expiring at the Annual Meeting, the directors designated as Class III directors have terms expiring at the 2027 Annual Meeting of Stockholders and the directors designated as Class I directors have terms expiring at the 2028 Annual Meeting of Stockholders.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has nominated the following persons for election as Class II directors to serve until the 2029 Annual Meeting of Stockholders (or until the 2027 Annual Meeting of Stockholders if Proposal 1 is approved and the Declassification Amendment is filed and becomes effective as described herein) and until their successors have been duly elected and qualified, or until their earlier death, resignation or removal:</w:t>
      </w:r>
    </w:p>
    <w:p>
      <w:pPr>
        <w:spacing w:after="0" w:line="1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John T. Collins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Danielle E. Hunter</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persons named in the attached proxy intend to vote each share as to which a proxy has been properly executed and returned or submitted over the telephone or on the Internet and not revoked in favor of the election as directors of the nominees named above, who are now directors of the Company, unless authority to vote for the election of such nominee is withheld by marking the proxy to that effect. The attached proxy cannot be voted for a greater number of persons than three.</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director nominees have consented to being named as a nominee in this Proxy Statement and have indicated a willingness to serve if elected. We have no reason to believe that the director nominees will be unable or unwilling to serve on the Board if elected. However, if the nominees should become unable or unwilling to serve for any reason, proxies may be voted for another person nominated as a substitute by the Board. Stockholders may not cumulate their votes in the election of our directors.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Set forth below under “Board of Directors” is background information with respect to our director nominees, as well as certain information regarding their individual experience, qualifications, attributes and skills that led the Board to conclude that they should serve as directors. There are no family relationships among any of our directors or executive officers. Please see “Security Ownership of Certain Beneficial Owners and Management” for information regarding our current directors’ and director nominees’ holdings of equity securities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121" w:lineRule="exact"/>
        <w:rPr>
          <w:sz w:val="20"/>
          <w:szCs w:val="20"/>
          <w:color w:val="auto"/>
        </w:rPr>
      </w:pPr>
    </w:p>
    <w:p>
      <w:pPr>
        <w:jc w:val="both"/>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To be elected to the Board, a nominee must receive a plurality of the voting power of the shares entitled to vote on the election of directors and present in person or by proxy at the meeting, which means a nominee will be elected in an uncontested election if he or she receives at least one vote “FOR” such nominee. Nevertheless, if a nominee receives a number of “WITHHOLD” votes that equals or exceeds the number of “FOR” votes, that nominee must submit such director’s offer of resignation to the Chairman of the Board. See “Plurality Plus Majority Voting for Directors” below.</w:t>
      </w:r>
    </w:p>
    <w:p>
      <w:pPr>
        <w:spacing w:after="0" w:line="160" w:lineRule="exact"/>
        <w:rPr>
          <w:sz w:val="20"/>
          <w:szCs w:val="20"/>
          <w:color w:val="auto"/>
        </w:rPr>
      </w:pPr>
    </w:p>
    <w:p>
      <w:pPr>
        <w:jc w:val="center"/>
        <w:ind w:left="480" w:right="34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THAT YOU VOTE “FOR” THE ELECTION OF THE DIRECTOR NOMINEES. </w:t>
      </w: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82"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the business experience of, and certain other information regarding, the director nominees and the other continuing directors of the Company. The directors’ ages are as of March 26, 2026.</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Directors and Director Nominee</w:t>
            </w:r>
          </w:p>
        </w:tc>
        <w:tc>
          <w:tcPr>
            <w:tcW w:w="220" w:type="dxa"/>
            <w:vAlign w:val="bottom"/>
          </w:tcPr>
          <w:p>
            <w:pPr>
              <w:spacing w:after="0"/>
              <w:rPr>
                <w:sz w:val="16"/>
                <w:szCs w:val="16"/>
                <w:color w:val="auto"/>
              </w:rPr>
            </w:pPr>
          </w:p>
        </w:tc>
        <w:tc>
          <w:tcPr>
            <w:tcW w:w="458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Position and Offices</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4"/>
              </w:rPr>
              <w:t>Age</w:t>
            </w:r>
          </w:p>
        </w:tc>
      </w:tr>
      <w:tr>
        <w:trPr>
          <w:trHeight w:val="191"/>
        </w:trPr>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J. Baker</w:t>
            </w:r>
          </w:p>
        </w:tc>
        <w:tc>
          <w:tcPr>
            <w:tcW w:w="220" w:type="dxa"/>
            <w:vAlign w:val="bottom"/>
          </w:tcPr>
          <w:p>
            <w:pPr>
              <w:spacing w:after="0"/>
              <w:rPr>
                <w:sz w:val="16"/>
                <w:szCs w:val="16"/>
                <w:color w:val="auto"/>
              </w:rPr>
            </w:pPr>
          </w:p>
        </w:tc>
        <w:tc>
          <w:tcPr>
            <w:tcW w:w="4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Class I Director</w:t>
            </w:r>
          </w:p>
        </w:tc>
        <w:tc>
          <w:tcPr>
            <w:tcW w:w="340" w:type="dxa"/>
            <w:vAlign w:val="bottom"/>
          </w:tcPr>
          <w:p>
            <w:pPr>
              <w:spacing w:after="0"/>
              <w:rPr>
                <w:sz w:val="16"/>
                <w:szCs w:val="16"/>
                <w:color w:val="auto"/>
              </w:rPr>
            </w:pP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2022</w:t>
            </w:r>
          </w:p>
        </w:tc>
        <w:tc>
          <w:tcPr>
            <w:tcW w:w="640" w:type="dxa"/>
            <w:vAlign w:val="bottom"/>
          </w:tcPr>
          <w:p>
            <w:pPr>
              <w:spacing w:after="0"/>
              <w:rPr>
                <w:sz w:val="16"/>
                <w:szCs w:val="16"/>
                <w:color w:val="auto"/>
              </w:rPr>
            </w:pPr>
          </w:p>
        </w:tc>
        <w:tc>
          <w:tcPr>
            <w:tcW w:w="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6"/>
                <w:szCs w:val="16"/>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John T. Collins</w:t>
            </w:r>
          </w:p>
        </w:tc>
        <w:tc>
          <w:tcPr>
            <w:tcW w:w="4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Class II Director</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Gunnar Eliassen</w:t>
            </w:r>
          </w:p>
        </w:tc>
        <w:tc>
          <w:tcPr>
            <w:tcW w:w="4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Class I Director</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Danielle E. Hunter</w:t>
            </w:r>
          </w:p>
        </w:tc>
        <w:tc>
          <w:tcPr>
            <w:tcW w:w="4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Class II Director</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Thomas P. McCaffrey</w:t>
            </w:r>
          </w:p>
        </w:tc>
        <w:tc>
          <w:tcPr>
            <w:tcW w:w="4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Class III Director</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Corbin J. Robertson, Jr</w:t>
            </w:r>
          </w:p>
        </w:tc>
        <w:tc>
          <w:tcPr>
            <w:tcW w:w="4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Non-Executive Chairman and Class III Director</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John T. Whates, Esq.</w:t>
            </w:r>
          </w:p>
        </w:tc>
        <w:tc>
          <w:tcPr>
            <w:tcW w:w="48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Class I Director</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Christopher J. Baker</w:t>
      </w:r>
      <w:r>
        <w:rPr>
          <w:rFonts w:ascii="Times New Roman" w:cs="Times New Roman" w:eastAsia="Times New Roman" w:hAnsi="Times New Roman"/>
          <w:sz w:val="18"/>
          <w:szCs w:val="18"/>
          <w:color w:val="auto"/>
        </w:rPr>
        <w:t>. Christopher J. Baker has been a Director since November 2022 and has been the President and Chief Executive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KLXE since the completion of the merger of Krypton Merger Sub, Inc., an indirect wholly owned subsidiary of KLXE, with and into Quintana Energy Services, Inc. (“QES”), with QES surviving the merger as a subsidiary of KLXE (the “QES Merger”) in July 2020. Additionally, since the completion of the QES Merger in July 2020, Mr. Baker has served as: (i) President, Treasurer and Director of Krypton Intermediate, LLC, Krypton Holdco, LLC, and KLX Energy Services Inc.; (ii) President and Director of KLX Energy Services LLC; and (ii) Vice President of KLX Directional Drilling LLC and Centerline Trucking LLC. Since March 2022, Mr. Baker has also served as a director of NorAm Drilling AS. Previously, Mr. Baker served as President and Chief Executive Officer and as a member of the board of directors of QES from August 2019 through July 2020. Mr. Baker previously served as Executive Vice President and Chief Operating Officer of QES from its formation in 2017 until August 2019 and has served in the same role at Quintana Energy Services LP (“QES LP”) from November 2014 to July 2020. Mr. Baker previously served as Managing Director-Oilfield Services of the Quintana private equity funds (“Quintana”), where he was responsible for sourcing, evaluating and executing oilfield service investments, as well as overseeing the growth of and managing and monitoring the activities of Quintana’s oilfield service portfolio companies beginning in 2008. Prior to joining Quintana, Mr. Baker served as an Associate with Citigroup Global Markets Inc.’s (“Citi”) Corporate and Investment Bank where he conducted corporate finance and valuation activities focused on structuring non-investment grade debt transactions in the energy sector. Prior to his time at Citi, Mr. Baker was Vice President of Operations for Theta II Enterprises, Inc., where he focused on project management of complex subsea and inland marine pipeline construction projects. Mr. Baker attended Louisiana State University, where he earned a B.S. in Mechanical Engineering, and Rice University, where he earned an M.B.A. Our Board benefits from Mr. Baker’s extensive industry experience and his familiarity with the Company.</w:t>
      </w:r>
    </w:p>
    <w:p>
      <w:pPr>
        <w:spacing w:after="0" w:line="19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John T. Collins</w:t>
      </w:r>
      <w:r>
        <w:rPr>
          <w:rFonts w:ascii="Times New Roman" w:cs="Times New Roman" w:eastAsia="Times New Roman" w:hAnsi="Times New Roman"/>
          <w:sz w:val="18"/>
          <w:szCs w:val="18"/>
          <w:color w:val="auto"/>
        </w:rPr>
        <w:t>. John T. Collins has been a Director of KLXE since September 2018. He served as the non-Executive Chairman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completion of the QES Merger in July 2020 until June 2021 and as the Chairman of the Board from May 2020 to July 2020. He served on the board of directors of KLX Inc. from December 2014 until its sale to The Boeing Company in October 2018. From 1986 to 1992, Mr. Collins served as the President and Chief Executive Officer of Quebecor Printing (USA) Inc., which was formed in 1986 by a merger with Semline Inc., where he had served in various positions since 1968, including since 1973 as President. During his term, Mr. Collins guided Quebecor Printing (USA) Inc. through several large acquisitions and situated the company to become one of the leaders in its industry. From 1992 to 2017, Mr. Collins was the Chairman and Chief Executive Officer of The Collins Group, Inc., a manager of a private securities portfolio and minority interest holder in several privately held companies. Mr. Collins currently serves on the board of directors for Federated Funds, Inc., and has done so since 2011, and he has also served on the board of directors for several public companies, including Bank of America Corp. and FleetBoston Financial. In addition, Mr. Collins has served as Chairman of the Board of Trustees of his alma mater, Bentley University. Our Board benefits from Mr. Collins’s many years of experience in the management, acquisition and development of several private and public companies in varied sectors.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Gunnar Eliassen</w:t>
      </w:r>
      <w:r>
        <w:rPr>
          <w:rFonts w:ascii="Times New Roman" w:cs="Times New Roman" w:eastAsia="Times New Roman" w:hAnsi="Times New Roman"/>
          <w:sz w:val="18"/>
          <w:szCs w:val="18"/>
          <w:color w:val="auto"/>
        </w:rPr>
        <w:t>. Gunnar Eliassen became a Director of KLXE upon the completion of the QES Merger in July 2020. Previously, Mr. Eliassen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on the QES board of directors from the company’s formation in 2017 through July 2020. Mr. Eliassen served on the board of directors of the general partner of QES LP from January 2017 until July 2020. He currently also serves as a director of Prosafe SE and as chairman of the board of directors of Scana ASA. From 2016 until 2023, Mr. Eliassen was employed by Seatankers Services (UK) LLP, an affiliated company of Geveran Investment Limited and its affiliates, where he was responsible for overseeing and managing various public and private investments. Mr. Eliassen’s past experience includes serving as a director of Seadrill Ltd., Aquadrill LLC, Valaris Ltd., Noram Drilling AS and Northern Drilling Ltd. as well as executive roles as Chief Executive Officer of ST Energy Transition I Ltd. and Chief Executive Officer of Northern Drilling Ltd. From 2011 through 2015 Mr. Eliassen was a Partner at Pareto Securities where he was responsible for execution of public and private capital markets transactions with emphasis on the energy sector. Mr. Eliassen received a Master in Finance from the Norwegian School of Economics. Our Board benefits from Mr. Eliassen’s extensive experience with public and private investments, including investments in the oil and natural gas industry.</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Danielle E. Hunter</w:t>
      </w:r>
      <w:r>
        <w:rPr>
          <w:rFonts w:ascii="Times New Roman" w:cs="Times New Roman" w:eastAsia="Times New Roman" w:hAnsi="Times New Roman"/>
          <w:sz w:val="18"/>
          <w:szCs w:val="18"/>
          <w:color w:val="auto"/>
        </w:rPr>
        <w:t>. Danielle E. Hunter has served as a member of the Board since February 2024. Previously, Ms. Hunter served as the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Berry Corporation (“Berry”), an upstream energy company engaged in the responsible development and production of conventional oil reserves in the western United States, until its merger with California Resources Corporation (NYSE: CRC) in December 2025. She joined Berry in January 2020 as Executive Vice President, General Counsel and Corporate Secretary, a position she held through her appointment as President, effective January 1, 2023. Prior to joining Berry, Ms. Hunter served as Executive Vice President, General Counsel, Corporate Secretary and Chief Risk and Compliance Officer at C&amp;J Energy Services, Inc. (now part of Patterson UTI, Inc.) (“C&amp;J”), a well construction, completions, and services company, where she provided strategic counsel on a broad range of legal, business and operational matters. She served at C&amp;J from June 2011 through November 2019. From 2007 through 2011, Ms. Hunter practiced corporate law at Vinson &amp; Elkins L.L.P. representing public and private companies in capital markets offerings and mergers and acquisitions, primarily in the oil and natural gas industry. She served as a judicial law clerk to U.S. District Judge Tucker Melancon, U.S. District Court for the Western District of Louisiana, after graduating Magna Cum Laude from Tulane University Law School in 2006. Our Board benefits from Ms. Hunter’s extensive experience with corporate strategy, governance and compliance, enterprise risk management and complex transactions.</w:t>
      </w:r>
    </w:p>
    <w:p>
      <w:pPr>
        <w:spacing w:after="0" w:line="190" w:lineRule="exact"/>
        <w:rPr>
          <w:sz w:val="20"/>
          <w:szCs w:val="20"/>
          <w:color w:val="auto"/>
        </w:rPr>
      </w:pPr>
    </w:p>
    <w:p>
      <w:pPr>
        <w:ind w:left="120" w:right="28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Thomas P. McCaffrey</w:t>
      </w:r>
      <w:r>
        <w:rPr>
          <w:rFonts w:ascii="Times New Roman" w:cs="Times New Roman" w:eastAsia="Times New Roman" w:hAnsi="Times New Roman"/>
          <w:sz w:val="18"/>
          <w:szCs w:val="18"/>
          <w:color w:val="auto"/>
        </w:rPr>
        <w:t>. Thomas P. McCaffrey has served as a member of the Board since May 2020. Mr. McCaffrey served as Chairman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integration committee of the Board upon completion of the QES Merger until the integration committee was disbanded in December 2020.</w:t>
      </w:r>
    </w:p>
    <w:p>
      <w:pPr>
        <w:spacing w:after="0" w:line="1"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18"/>
          <w:szCs w:val="18"/>
          <w:color w:val="auto"/>
        </w:rPr>
        <w:t>Mr. McCaffrey previously served as President, Chief Executive Officer and Chief Financial Officer of KLXE, from April 30, 2020 through the completion of the QES Merger. Previously, Mr. McCaffrey served as Senior Vice President and Chief Financial Officer of KLXE from September 2018 until April 30, 2020. Prior to that, Mr. McCaffrey served as President and Chief Operating Officer of KLX Inc. from December 2014 until its sale to The Boeing Company in October 2018 and as Senior Vice President and Chief Financial Officer of B/E Aerospace from May 1993 until December 2014. Prior to joining B/E Aerospace, Mr. McCaffrey practiced as a Certified Public Accountant for 17 years with a large international accounting firm and a regional accounting firm based in California. Since 2016, Mr. McCaffrey has served as a member of the Board of Trustees of Palm Beach Atlantic University and currently serves as chairman of the board. Previously, he served as a member of various committees. Our Board benefits from</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McCaffrey’s extensive leadership experience, thorough knowledge of the Company’s business and industry, and strategic planning experience.</w:t>
      </w:r>
    </w:p>
    <w:p>
      <w:pPr>
        <w:spacing w:after="0" w:line="203"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Corbin J. Robertson, Jr. </w:t>
      </w:r>
      <w:r>
        <w:rPr>
          <w:rFonts w:ascii="Times New Roman" w:cs="Times New Roman" w:eastAsia="Times New Roman" w:hAnsi="Times New Roman"/>
          <w:sz w:val="18"/>
          <w:szCs w:val="18"/>
          <w:color w:val="auto"/>
        </w:rPr>
        <w:t>Corbin J. Robertson, Jr. became a Director upon the completion of the QES Merger in July 2020 and was appointed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the Board in November 2024. Previously, Mr. Robertson served as Chairman of the QES board of directors since the company’s formation in 2017 through July 2020. Mr. Robertson has served as Chairman of the board of directors of the general partner of QES LP since the board was established. Mr. Robertson has also served as Chief Executive Officer and Chairman of the board of</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directors of GP Natural Resource Partners LLC since 2002. He has served as the Chief Executive Officer and Chairman of the board of directors of the general partners of Western Pocahontas Properties Limited Partnership since 1986, Great Northern Properties Limited Partnership since 1992, Quintana Minerals Corporation since 1978 and as Chairman of the board of directors of New Gauley Coal Corporation since 1986. He also serves as a Principal with Quintana Capital Group, L.P., Chairman of the board of the Cullen Trust for Higher Education and on the boards of the American Petroleum Institute, the National Petroleum Council, Baylor College of Medicine and the World Health and Golf Association. In 2006, Mr. Robertson was inducted into the Texas Business Hall of Fame. Mr. Robertson attended the University of Texas at Austin where he earned a B.B.A. from the Business Honors Program. Our Board benefits from Mr. Robertson’s extensive industry experience, his extensive experience with oil and gas investments and his board service for several companies in the oil and natural gas industry.</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John T. Whates, Esq</w:t>
      </w:r>
      <w:r>
        <w:rPr>
          <w:rFonts w:ascii="Times New Roman" w:cs="Times New Roman" w:eastAsia="Times New Roman" w:hAnsi="Times New Roman"/>
          <w:sz w:val="18"/>
          <w:szCs w:val="18"/>
          <w:color w:val="auto"/>
        </w:rPr>
        <w:t>. John T. Whates, Esq. has served as a member of the Board since September 2018. He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KLX Inc. from December 2014 until its sale to The Boeing Company in October 2018. Mr. Whates has been an independent tax advisor and involved in venture capital and private investing since 2005. He is a member of the board of directors of Dynamic Healthcare Systems, Inc., was a member of the board of directors of Rockwell Collins from April 2017 until February 2018 and was the Chairman of the compensation committee of B/E Aerospace until its sale to Rockwell Collins in April 2017. From 1994 to 2011, Mr. Whates was a tax and financial advisor to B/E Aerospace, providing business and tax advice on essentially all of its significant strategic acquisitions. Previously, Mr. Whates was a tax partner in several of the largest public accounting firms, most recently leading the High Technology Group Tax Practice of Deloitte LLP in Orange County, California. He has extensive experience working with aerospace and other public companies in the fields of tax, equity financing and mergers and acquisitions. Mr. Whates is an attorney licensed to practice in California and was an Adjunct Professor of Taxation at Golden Gate University. Our Board benefits from Mr. Whates’ extensive experience, multi-dimensional educational background, thorough knowledge of the Company’s business and industry, and financial expertise.</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discussed under “Proposal 2: Election of Directors,” the Board currently has seven members. The following table identifies the current members of the Board, the standing Committees of the Board on which they serve and the chair of each Committee as of the date of this Proxy Statement.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880" w:type="dxa"/>
            <w:vAlign w:val="bottom"/>
            <w:gridSpan w:val="4"/>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58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4"/>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Corporate Governance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1880" w:type="dxa"/>
            <w:vAlign w:val="bottom"/>
            <w:gridSpan w:val="4"/>
            <w:vMerge w:val="continue"/>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J. Baker</w:t>
            </w:r>
          </w:p>
        </w:tc>
        <w:tc>
          <w:tcPr>
            <w:tcW w:w="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T. Collins+</w:t>
            </w:r>
          </w:p>
        </w:tc>
        <w:tc>
          <w:tcPr>
            <w:tcW w:w="800" w:type="dxa"/>
            <w:vAlign w:val="bottom"/>
          </w:tcPr>
          <w:p>
            <w:pPr>
              <w:spacing w:after="0"/>
              <w:rPr>
                <w:sz w:val="18"/>
                <w:szCs w:val="18"/>
                <w:color w:val="auto"/>
              </w:rPr>
            </w:pPr>
          </w:p>
        </w:tc>
        <w:tc>
          <w:tcPr>
            <w:tcW w:w="66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Gunnar Eliassen+</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Danielle E. Hunter+</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P. McCaffrey+</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Corbin J. Robertson, Jr.</w:t>
            </w: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(Non-Executive Chairman)+</w:t>
            </w: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T. Whates, Esq.+</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Committee Member</w:t>
            </w: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Committee Chair</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Independent</w:t>
            </w: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After reviewing all relationships each director has with the Company, including the nature and extent of any business relationships between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and such person, the Board has affirmatively determined that each of Messrs. Collins, Eliassen, McCaffrey, Robertson and Whates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Hunter has no material relationships with the Company and is “independent” under the applicable rules and regulations of the SEC and the Nasdaq</w:t>
      </w:r>
    </w:p>
    <w:p>
      <w:pPr>
        <w:spacing w:after="0" w:line="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Global Select Market (“Nasdaq”). When determining whether to consider Mr. McCaffrey as an independent director, the Board also considered Mr. McCaffrey’s previous experience as President, Chief Executive Officer and Chief Financial Officer of KLXE from April 30, 2020 until the completion of the QES Merger in July 2020, and his experience as Senior Vice President and Chief Financial Officer of KLXE from September 2018 until April 30, 2020. Given that Mr. McCaffrey has not served as an executive officer of the Company for over five years, and considering the full transition of the KLXE management team at the time of the QES Merger, the Board believes that Mr. McCaffrey has no relationship which would interfere with the exercise of independent judgment in carrying out his responsibilities as a director, including his ability to be independent from current management.</w:t>
      </w: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believes it is in the best interests of the Company and its stockholders for the Board to have flexibility in determining the Board leadership structure of the Company. As part of our ongoing, proactive efforts to implement effective corporate governance practices, the Nominating and Corporate Governance Committee regularly reviews the leadership structure of the Board, taking into account the Company and its needs, legislative and regulatory developments, and corporate governance trends, among other things. Accordingly, the Board has determined that the roles of Chairman of the Board and President and Chief Executive Officer should presently remain separate and that an independent director should serve as the Chairman of the Board. Mr. Robertson, an independent director, has served as non-executive Chairman of the Board since November 2024. The Board believes that the current leadership of the Board, when combined with the other elements of its corporate governance structure, strikes an appropriate balance between strong leadership and independent oversight of the Company’s business and affairs.</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Board is composed of a majority of independent directors. Six out of the seven members of the Board are independent, and the chair and members of each of the Board’s Audit Committee, Compensation Committee and Nominating and Corporate Governance Committee are independent directors. The Company’s independent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40"/>
          </w:cols>
          <w:pgMar w:left="320" w:top="482" w:right="5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directors bring experience, oversight and expertise from outside the Company. As a result, independent directors oversee all significant matters affecting KLXE, including the Company’s financial statements, executive compensation matters, the nomination and assessment of directors and the risk management practices. Independent directors regularly meet in executive sessions not attended by management in conjunction with each regular Board and Committee meeting and as they otherwise deem appropriate.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each executive session, the respective chair of the Board Committee relating to the specific matter discussed by the independent directors, leads the discussion. For example, the chair of the Nominating and Corporate Governance Committee leads the discussions with respect to director nominations, the current composition of the Board and other Board policy matters.</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Following each executive session, the independent directors report the results of the discussions to the full Board, as appropriate. These discussions are led by the appropriate Committee chair. Additional executive sessions may be convened at any time at the request of an independent director and, in such event, the independent director chair of the Committee most closely associated with the discussed topic leads the discussion and the report to the full Board. During executive sessions, directors also discuss and propose matters to be included in the agenda for future Board meetings.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AND ITS COMMITTEES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During 2025, the Board held twelve meetings and met in executive session on four of those occasions. Committee meetings were held in 2025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6220" w:type="dxa"/>
            <w:vAlign w:val="bottom"/>
            <w:gridSpan w:val="2"/>
          </w:tcPr>
          <w:p>
            <w:pPr>
              <w:ind w:left="1760"/>
              <w:spacing w:after="0"/>
              <w:rPr>
                <w:sz w:val="20"/>
                <w:szCs w:val="20"/>
                <w:color w:val="auto"/>
              </w:rPr>
            </w:pPr>
            <w:r>
              <w:rPr>
                <w:rFonts w:ascii="Times New Roman" w:cs="Times New Roman" w:eastAsia="Times New Roman" w:hAnsi="Times New Roman"/>
                <w:sz w:val="14"/>
                <w:szCs w:val="14"/>
                <w:b w:val="1"/>
                <w:bCs w:val="1"/>
                <w:color w:val="auto"/>
              </w:rPr>
              <w:t>Committee 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Meetings</w:t>
            </w:r>
          </w:p>
        </w:tc>
      </w:tr>
      <w:tr>
        <w:trPr>
          <w:trHeight w:val="209"/>
        </w:trPr>
        <w:tc>
          <w:tcPr>
            <w:tcW w:w="4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16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members of the Board attended all of the meetings of the Board and the meetings held by each Committee on which he served in 2025.</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between meetings, Board and Committee members confer with each other and with management and independent consultants regarding relevant issues, and representatives of management may meet with such consultants on behalf of the relevant Committee.</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Directors are expected to attend meetings of the Board and of Committees on which they serve and to spend the time needed and meet as frequently as necessary to properly discharge their responsibilities. Directors are encouraged but not required to attend our annual stockholder meetings. Each member of our Board attended our 2025 Annual Meeting of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Board has three standing Committees: the Audit Committee, the Compensation Committee and the Nominating and Corporate Governance Committee. Copies of the charters for the Audit Committee, the Compensation Committee and the Nominating and Corporate Governance Committee are available on our website, </w:t>
      </w:r>
      <w:r>
        <w:rPr>
          <w:rFonts w:ascii="Times New Roman" w:cs="Times New Roman" w:eastAsia="Times New Roman" w:hAnsi="Times New Roman"/>
          <w:sz w:val="18"/>
          <w:szCs w:val="18"/>
          <w:i w:val="1"/>
          <w:iCs w:val="1"/>
          <w:color w:val="auto"/>
        </w:rPr>
        <w:t>investor.klx.com</w:t>
      </w:r>
      <w:r>
        <w:rPr>
          <w:rFonts w:ascii="Times New Roman" w:cs="Times New Roman" w:eastAsia="Times New Roman" w:hAnsi="Times New Roman"/>
          <w:sz w:val="18"/>
          <w:szCs w:val="18"/>
          <w:color w:val="auto"/>
        </w:rPr>
        <w:t>, in the Investor Relations section. Please note that the information contained in or connected to our website is not a part of this Proxy Statement and will not be deemed incorporated by reference unless expressly stated otherwise.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is composed of Messrs. Collins, Eliassen and Whates, with Mr. Whates serving as the Chair. All directors serving on the Audit Committee are independent committee members as defined by Nasdaq and SEC rules. Our Board has determined that Mr. Whates is an “audit committee financial expert” in accordance with SEC rules.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the appointment, the approval of funding for, the retention and the oversight of our independent auditors, overseeing the quality and integrity of our financial statements and related disclosures, our compliance with legal and regulatory requirements, assessing our independent auditors’ qualifications, independence and performance, monitoring the performance of our internal audit and control functions, overseeing cybersecurity and data privacy matters, and reviewing our material financial policies.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is composed of Messrs. Collins, Eliassen and Whates and Ms. Hunter, with Ms. Hunter serving as the Chair. All of the members of the Compensation Committee are independent as defined by Nasdaq rules and under the Securities Exchange Act of 1934, as amended (the “Exchange Act”).</w:t>
      </w:r>
    </w:p>
    <w:p>
      <w:pPr>
        <w:spacing w:after="0" w:line="176"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sets and approves the salaries, incentives and other forms of compensation for our executive officers, as well as the compensation for our non-employee directors, and oversees the Company’s incentive, equity and compensation plans. Together with the Committee’s independent compensation consultant and any other advisors or counsel it deems appropriate, the Compensation Committee reviews, discusses and makes determinations regarding each particular executive compensation matter presented. At the Compensation Committee’s discretion, our Chief Executive Officer (with the exception of compensation matters related to our Chief Executive Officer) and other members of management may also participate in discussions with the Compensation Committee. For example, the Compensation Committee reviews and approves, the design of the annual bonus short-term incentive plan each year, evaluates the performance of the Company and the executive officers relative to the achievement of those predetermined goals, and determines the payout achieved based on such performance.</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also reviews and sets the Company’s overall compensation strategy, oversees the Company’s management development and succession planning processes, and reviews the Company’s compensation related policies, including stock ownership guidelines, trading policies and anti-hedging and pledging policies applicable to executive officers and directors of the Company.</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power to delegate its authority and duties to subcommittees or individual members of the Compensation Committee or, to the extent permitted by the terms of any plan, to officers of our Company or other persons in each case as it deems appropriate in accordance with applicable laws and regulations and the requirements of Nasdaq. Management input is taken into consideration in assessing the performance and pay levels of our key management employees as well as the establishment of bonus measures and targets, but final decision-making regarding the compensation of our NEOs remains with the Compensation Committee and ultimately, the Board.</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To gain a perspective on external pay levels, emerging practices and regulatory changes, the Compensation Committee believes it is appropriate and has the authority to engage an independent executive compensation consultant to provide benchmark and survey information and advise the Compensation Committee as it reviews our executive and non-employee director compensation programs. The Compensation Committee selected F.W. Cook (“FWC”) as its independent compensation consultant. Historically, and including with respect to the 2025 compensation of our NEOs and non-employee directors, the Compensation Committee engaged FWC to gather market competitive data, reviewing compensation plan design alternatives and advising the Compensation Committee on executive and non-employee director compensation trends and best practices.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the independent compensation consultant, FWC reports to, and is directed by, the Compensation Committee, which has authority to retain or terminate compensation advisers. On an annual basis, the Compensation Committee reviews the performance and independence of FWC, including based on information regarding any potential conflicts of interest of FWC, taking into account, among other things, the factors set forth in the Nasdaq listing standards. With respect to FWC’s 2025 engagement, based on this review, the Compensation Committee concluded that the engagement of FWC did not raise any conflicts. Other than services provided for the Compensation Committee, FWC did not provide additional services to the Company for the year ended December 31, 2025.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Messrs. Collins, Eliassen, Robertson and Whates and Ms. Hunter, with Mr. Eliassen serving as the Chair. All members of the Nominating and Corporate Governance Committee are independent as defined by the Nasdaq rules.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among other things, assisting the Board by actively identifying individuals qualified to become Board members, recommending to the Board the director nominees for election at the next annual meeting of stockholders, and making recommendations with respect to corporate governance matters, and reviewing and recommending changes to the Company’s Corporate Governance Guidelines. The Nominating and Corporate Governance Committee also reviews and makes recommendations to the Board regarding stockholder proposals and oversees the evaluation of the overall performance of the Board, our Board Committees and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provided in its charter, the Nominating and Corporate Governance Committee identifies and recommends to our Board nominees for election and re-election to the Board and will consider nominations submitted by stockholders. The Nominating and Corporate Governance Committee may, at its discretion, retain a search firm to provide additional candidates. The Nominating and Corporate Governance Committee, in consultation with the Chairman of the Board, evaluates candidates proposed by stockholders using the same criteria as for other candidates.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Chairman of the Board and the Nominating and Corporate Governance Committee seek to create a Board that is strong in its collective knowledge and has a broad range of skills, backgrounds and experience with respect to leadership, business operations, finance and industry knowledge. The Nominating and Corporate Governance Committee reviews with the Chairman of the Board and the full Board, on a periodic basis, the current composition of the Board in light of the characteristics of independence, skills, experience and availability of service to the Company of its members and of the Company’s anticipated needs. The Board also actively seeks refreshment of the Board with directors who can provide depth and breadth of industry expertise, skills, qualifications and experience and add unique value through skills highly relevant to our corporate strategy. Further, the Nominating and Corporate Governance Committee carefully considers the ability of incumbent directors to continue to contribute to the Board and the Company’s evolving needs, as part of the renomination process. All of our independent directors serve on Board Committees, further supporting the Board by providing experience to those Committees. The needs of each Committee are also reviewed when considering nominees to the Board.</w:t>
      </w:r>
    </w:p>
    <w:p>
      <w:pPr>
        <w:spacing w:after="0" w:line="18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When the Nominating and Corporate Governance Committee reviews a potential new candidate, it looks specifically at the candidate’s qualifications in light of the size of the Board and the needs of the Board and the Company at a given point in time. In nominating director candidates, the Nominating and Corporate Governance Committee strives to nominate directors who exhibit high standards of ethics, integrity, commitment and accountability. In addition, all nominations attempt to ensure that the Board shall encompass a range of talent, skills, expertise and industry experience sufficient to provide guidance with respect to our operations and activities.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Under our Nominating and Corporate Governance Committee charter, directors must inform the Chairman of the Board and the Chair of the Nominating and Corporate Governance Committee in advance of accepting an invitation to serve on another public company board. In addition, no director may sit on the board of directors, or beneficially own more than 1% of the outstanding equity securities, of any of our competitors in our principal lines of business. We also discourage our directors from serving on the board of directors of more than three public companies.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To recommend a nominee, a stockholder shall give notice to our Corporate Secretary at our principal executive offices located at 3040 Post Oak Boulevard, 15th Floor, Houston, TX 77056. The form and substance of the nominations must satisfy the requirements established by our Fourth Amended and Restated Bylaws and the SEC. This notice should include the candidate’s brief biographical description, a statement of the qualifications of the candidate, taking into account the qualification requirements set forth above, and the candidate’s signed consent to be named in the Proxy Statement and to serve as a director if elected. The notice must be given (i) with regard to notice of nominations or other business proposed to be brought before an annual meeting of stockholders to be held on a day that is not more than 30 days in advance of the anniversary of the previous year’s annual meeting nor later than 70 days after the anniversary of the previous year’s annual meeting, not later than the close of business on the 90th day, nor earlier than the close of business on the one hundred and 120th day in advance of the anniversary of the previous year’s annual meeting or (ii) with regard to notice of nominations or other business proposed to be brought before any other annual meeting of stockholders, by the close of business on the 10th day following the public announcement of the date of such meeting. Once we receive the nomination and written request for a questionnaire, we will deliver a questionnaire to the candidate that requests additional information about the candidate’s independence, qualifications and other information that would assist the Nominating and Corporate Governance Committee in evaluating the candidate, as well as certain information that must be disclosed about the candidate in our Proxy Statement, if nominated. Candidates must complete and return the questionnaire within the time frame provided to be considered for nomination by the Nominating and Corporate Governance Committee.</w:t>
      </w:r>
    </w:p>
    <w:p>
      <w:pPr>
        <w:spacing w:after="0" w:line="19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has not received any nominations for director from stockholders that require disclosure under applicable SEC rules for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Chairman of the Board and the Nominating and Corporate Governance Committee, in accordance with the Board’s governance principles, seek to create a Board that, as a whole, is strong in its collective knowledge and offers breadth of its perspective, skills and experience with respect to industry knowledge, background, vision and strategy, human resource management, general management and leadership, marketing, business operations, business judgment, crisis management, risk assessment, accounting and finance, capital markets, general corporate governance and global markets.</w:t>
      </w:r>
    </w:p>
    <w:p>
      <w:pPr>
        <w:spacing w:after="0" w:line="183"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considering candidates for the Board, the Nominating and Corporate Governance Committee considers the entirety of each candidate’s credentials in the context of these standards and such other factors that the Nominating and Corporate Governance Committee considers appropriate so that the Board includes members, if suitable, with a variety of backgrounds, perspectives, skills and experience, who are likely to serve the Company’s anticipated needs, enhance Board effectiveness and address the interests of our stockholders. The Nominating and Corporate Governance Committee believes our Board is appropriately balanced with directors from varied sectors, with significant understanding of our business and industries, has extensive experience in general management, human resources, marketing, engineering, capital markets, developing and executing mergers and acquisition strategies, including successful integration activities related thereto, as founders or co-founders of a multitude of businesses, and the collective experiences developed during their business careers in various industries, including oil and natural gas and related industries.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PLURALITY PLUS MAJORITY VOTING FOR DIRECTORS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the Company’s Amended and Restated Certificate of Incorporation, in order for a director to be elected at an annual meeting, a plurality of the votes cast with respect to the director’s election must be cast “FOR” the director. Abstentions and broker non-votes are excluded from calculation of the vote results. In an uncontested election of directors, any director who receives the same or a greater number of “WITHHELD” votes than votes “FOR” their election shall promptly tender their resignation to the Chairman of the Board. The Chairman of the Board then recommends to the Board whether to accept or reject the resignation, and the Board must make a decision by 90 days after the date of the meeting at which the election took place. Any director who tenders a resignation does not participate in this decision. The Company shall then make a public announcement of the Board’s decision to accept or reject the resignation.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Framework</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KLXE has adopted enterprise risk management policies based on the Integrated Framework of the Committee of Sponsoring Organizations. Under KLXE’s policies, the Company’s Senior Vice President and Chief Accounting Officer, in conjunction with Vice President of Operations, is responsible for identifying risks that could affect achievement of business goals and strategies, assessing the likelihood and potential impact of significant risks over various timeframes and prioritizing risks and actions to be taken in response. The Vice President of Operations reports to KLXE’s Chief Executive Officer on actions to monitor and manage significant risks in order to remain within KLXE’s range of risk tolerance.</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Chief Executive Officer, Interim Chief Financial Officer and General Counsel of the Company periodically report on KLXE’s risk management policies, practices and identified risks and mitigation plans to relevant Board Committees and to the full Board. If necessary, the Board has access to any employee without management involvement and access to whistleblower and any other reports of alleged wrongdoing. The Audit Committee annually reviews major financial risk exposures and a number of operational, compliance, reputational and strategic risks, including cyber risks, as well as practices to monitor and manage those risks. The Audit Committee also reviews overall policies and practices for enterprise risk management, including the delegation of practices and a number of significant risks in the course of their reviews of corporate strategy, business plans, reports of Board Committee meetings and other presentations, including presentations from the Company’s director of information technology.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Risk Oversight Responsibilities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4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Board/Committee</w:t>
            </w:r>
          </w:p>
        </w:tc>
        <w:tc>
          <w:tcPr>
            <w:tcW w:w="860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Primary Areas of Risk Oversight</w:t>
            </w:r>
          </w:p>
        </w:tc>
      </w:tr>
      <w:tr>
        <w:trPr>
          <w:trHeight w:val="191"/>
        </w:trPr>
        <w:tc>
          <w:tcPr>
            <w:tcW w:w="2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Full Board</w:t>
            </w:r>
          </w:p>
        </w:tc>
        <w:tc>
          <w:tcPr>
            <w:tcW w:w="220" w:type="dxa"/>
            <w:vAlign w:val="bottom"/>
          </w:tcPr>
          <w:p>
            <w:pPr>
              <w:spacing w:after="0"/>
              <w:rPr>
                <w:sz w:val="16"/>
                <w:szCs w:val="16"/>
                <w:color w:val="auto"/>
              </w:rPr>
            </w:pPr>
          </w:p>
        </w:tc>
        <w:tc>
          <w:tcPr>
            <w:tcW w:w="8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Risk management process and structure, strategic risks associated with business plan, including the transitional and</w:t>
            </w:r>
          </w:p>
        </w:tc>
      </w:tr>
      <w:tr>
        <w:trPr>
          <w:trHeight w:val="216"/>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physical risks of climate on our business over near, medium- and long-term time horizons, and other significant risks</w:t>
            </w:r>
          </w:p>
        </w:tc>
      </w:tr>
      <w:tr>
        <w:trPr>
          <w:trHeight w:val="216"/>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such as major litigation, significant human capital, culture and reputational matters, business development risks and</w:t>
            </w:r>
          </w:p>
        </w:tc>
      </w:tr>
      <w:tr>
        <w:trPr>
          <w:trHeight w:val="234"/>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succession planning.</w:t>
            </w:r>
          </w:p>
        </w:tc>
      </w:tr>
      <w:tr>
        <w:trPr>
          <w:trHeight w:val="30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Material financial risk exposures, significant operational, compliance, reputational and strategic risks, cyber risks and</w:t>
            </w:r>
          </w:p>
        </w:tc>
      </w:tr>
      <w:tr>
        <w:trPr>
          <w:trHeight w:val="234"/>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overall policies and practices for enterprise risk management.</w:t>
            </w:r>
          </w:p>
        </w:tc>
      </w:tr>
      <w:tr>
        <w:trPr>
          <w:trHeight w:val="30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Risks related to executive recruitment, assessment, development, retention and succession policies and programs, risks</w:t>
            </w:r>
          </w:p>
        </w:tc>
      </w:tr>
      <w:tr>
        <w:trPr>
          <w:trHeight w:val="216"/>
        </w:trPr>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associated with compensation policies and practices, including incentive compensation, as they relate to risk</w:t>
            </w:r>
          </w:p>
        </w:tc>
      </w:tr>
      <w:tr>
        <w:trPr>
          <w:trHeight w:val="234"/>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management practices and risk-taking incentives.</w:t>
            </w:r>
          </w:p>
        </w:tc>
      </w:tr>
      <w:tr>
        <w:trPr>
          <w:trHeight w:val="306"/>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and Corporate</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Risks and exposures related to corporate governance, leadership structure, effectiveness of Board and Committee</w:t>
            </w:r>
          </w:p>
        </w:tc>
      </w:tr>
      <w:tr>
        <w:trPr>
          <w:trHeight w:val="234"/>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Governance Committee</w:t>
            </w: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oversight, review of director candidates, stockholder feedback, conflicts of interest and director independence.</w:t>
            </w:r>
          </w:p>
        </w:tc>
      </w:tr>
      <w:tr>
        <w:trPr>
          <w:trHeight w:val="365"/>
        </w:trPr>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Board and the Compensation Committee believe our compensation incentives reflect the appropriate balance between opportunity and risk, and will encourage executives to act in a manner consistent with this balance, which is aligned to the interests of our stockholders. We mitigate compensation-related risks to our long-term performance, ethical standards and reputation in the following ways:</w:t>
      </w:r>
    </w:p>
    <w:p>
      <w:pPr>
        <w:sectPr>
          <w:pgSz w:w="11900" w:h="16838" w:orient="portrait"/>
          <w:cols w:equalWidth="0" w:num="1">
            <w:col w:w="11120"/>
          </w:cols>
          <w:pgMar w:left="320" w:top="482" w:right="459" w:bottom="1440" w:gutter="0" w:footer="0" w:header="0"/>
        </w:sectPr>
      </w:pPr>
    </w:p>
    <w:p>
      <w:pPr>
        <w:spacing w:after="0" w:line="196"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9" w:lineRule="exact"/>
        <w:rPr>
          <w:sz w:val="20"/>
          <w:szCs w:val="20"/>
          <w:color w:val="auto"/>
        </w:rPr>
      </w:pPr>
    </w:p>
    <w:p>
      <w:pPr>
        <w:ind w:left="480" w:right="440" w:hanging="274"/>
        <w:spacing w:after="0" w:line="256"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executive pay to established quantitative metrics and pay for performance through long-term incentive compensation</w:t>
      </w:r>
    </w:p>
    <w:p>
      <w:pPr>
        <w:ind w:left="480" w:right="220" w:hanging="274"/>
        <w:spacing w:after="0" w:line="250"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time-based vesting (usually on a three-year ratable schedule) for equity awards</w:t>
      </w:r>
    </w:p>
    <w:p>
      <w:pPr>
        <w:ind w:left="480" w:right="80" w:hanging="274"/>
        <w:spacing w:after="0" w:line="250"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an independent compensation consultant that reports directly to our Compensation Committee, comprised solely of independent directors</w:t>
      </w:r>
    </w:p>
    <w:p>
      <w:pPr>
        <w:spacing w:after="0" w:line="1" w:lineRule="exact"/>
        <w:rPr>
          <w:rFonts w:ascii="Times New Roman" w:cs="Times New Roman" w:eastAsia="Times New Roman" w:hAnsi="Times New Roman"/>
          <w:sz w:val="18"/>
          <w:szCs w:val="18"/>
          <w:color w:val="auto"/>
        </w:rPr>
      </w:pPr>
    </w:p>
    <w:p>
      <w:pPr>
        <w:ind w:left="480" w:hanging="274"/>
        <w:spacing w:after="0" w:line="253"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Post-employment covenants with every current KLXE executive officer prohibiting acts involving use of proprietary information, soliciting KLXE employees and in certain cases, engaging in competitive activities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909"/>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16510</wp:posOffset>
            </wp:positionV>
            <wp:extent cx="32829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289" w:hanging="289"/>
        <w:spacing w:after="0"/>
        <w:tabs>
          <w:tab w:leader="none" w:pos="2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excise tax gross-ups upon change in control</w:t>
      </w:r>
    </w:p>
    <w:p>
      <w:pPr>
        <w:spacing w:after="0" w:line="19" w:lineRule="exact"/>
        <w:rPr>
          <w:rFonts w:ascii="Times New Roman" w:cs="Times New Roman" w:eastAsia="Times New Roman" w:hAnsi="Times New Roman"/>
          <w:sz w:val="18"/>
          <w:szCs w:val="18"/>
          <w:color w:val="auto"/>
        </w:rPr>
      </w:pPr>
    </w:p>
    <w:p>
      <w:pPr>
        <w:ind w:left="289" w:right="660" w:hanging="289"/>
        <w:spacing w:after="0" w:line="250" w:lineRule="auto"/>
        <w:tabs>
          <w:tab w:leader="none" w:pos="2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hedging or pledging or speculative transactions in our securities by directors and executive officers</w:t>
      </w:r>
    </w:p>
    <w:p>
      <w:pPr>
        <w:ind w:left="289" w:hanging="289"/>
        <w:spacing w:after="0"/>
        <w:tabs>
          <w:tab w:leader="none" w:pos="28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repricing of equity awards without stockholder approval</w:t>
      </w:r>
    </w:p>
    <w:p>
      <w:pPr>
        <w:spacing w:after="0" w:line="20" w:lineRule="exact"/>
        <w:rPr>
          <w:rFonts w:ascii="Times New Roman" w:cs="Times New Roman" w:eastAsia="Times New Roman" w:hAnsi="Times New Roman"/>
          <w:sz w:val="17"/>
          <w:szCs w:val="17"/>
          <w:color w:val="auto"/>
        </w:rPr>
      </w:pPr>
    </w:p>
    <w:p>
      <w:pPr>
        <w:ind w:left="289" w:hanging="289"/>
        <w:spacing w:after="0"/>
        <w:tabs>
          <w:tab w:leader="none" w:pos="2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encouragement of imprudent risk taking</w:t>
      </w:r>
    </w:p>
    <w:p>
      <w:pPr>
        <w:spacing w:after="0" w:line="1513" w:lineRule="exact"/>
        <w:rPr>
          <w:sz w:val="20"/>
          <w:szCs w:val="20"/>
          <w:color w:val="auto"/>
        </w:rPr>
      </w:pPr>
    </w:p>
    <w:p>
      <w:pPr>
        <w:sectPr>
          <w:pgSz w:w="11900" w:h="16838" w:orient="portrait"/>
          <w:cols w:equalWidth="0" w:num="2">
            <w:col w:w="5660" w:space="391"/>
            <w:col w:w="5069"/>
          </w:cols>
          <w:pgMar w:left="320" w:top="482" w:right="459" w:bottom="1440" w:gutter="0" w:footer="0" w:header="0"/>
          <w:type w:val="continuous"/>
        </w:sectPr>
      </w:pPr>
    </w:p>
    <w:p>
      <w:pPr>
        <w:spacing w:after="0" w:line="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COMMITMENT TO CORPORATE GOVERNANCE</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KLXE is committed to strong corporate governance practices designed to maintain high standards of oversight, integrity and ethics, while promoting growth in long-term stockholder value.</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governance structure enables independent, experienced and accomplished directors to provide advice, insight and oversight to advance the interests of the Company and our stockholders. KLXE has developed and follows governance standards, as found in our Code of Business Conduct, Corporate Governance Guidelines, systematic approach to risk management, and our commitment to transparent financial reporting and strong internal controls.</w:t>
      </w:r>
    </w:p>
    <w:p>
      <w:pPr>
        <w:spacing w:after="0" w:line="178"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We encourage you to visit the Governance section of our Investor Relations website (</w:t>
      </w:r>
      <w:r>
        <w:rPr>
          <w:rFonts w:ascii="Times New Roman" w:cs="Times New Roman" w:eastAsia="Times New Roman" w:hAnsi="Times New Roman"/>
          <w:sz w:val="18"/>
          <w:szCs w:val="18"/>
          <w:i w:val="1"/>
          <w:iCs w:val="1"/>
          <w:color w:val="auto"/>
        </w:rPr>
        <w:t>https://investor.klx.com/corporate-governance/governance-overview</w:t>
      </w:r>
      <w:r>
        <w:rPr>
          <w:rFonts w:ascii="Times New Roman" w:cs="Times New Roman" w:eastAsia="Times New Roman" w:hAnsi="Times New Roman"/>
          <w:sz w:val="18"/>
          <w:szCs w:val="18"/>
          <w:color w:val="auto"/>
        </w:rPr>
        <w:t>) where you will find detailed information about corporate governance at KLXE, including:</w:t>
      </w:r>
    </w:p>
    <w:p>
      <w:pPr>
        <w:spacing w:after="0" w:line="66"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Governance Guidelines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Charters for our Board Committees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Code of Business Conduct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COMMITMENT TO SUSTAINABLE AND EFFICIENT OPERATIONS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recognize the impact of our business on the communities we serve, our workforce, the environment and on our business partners. We believe that streamlining our operations and using more sustainable practices is not only good for our many stakeholders, but also for our bottom line and our stockholders. For instance, we continue to work with several of our upstream customers to electrify components of our equipment including wireline units, coil tubing units and pumps and we are very focused on operational efficiency gains that help minimize overall time on location and the required resources to achieve our customers’ ultimate goals to drill wells more efficiently – saving them time and money, helping us deliver goods and services as a preferred partner and mitigating our and our business partners’ operational impacts in the process.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121"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applicable to all employees, directors and officers. The Code of Business Conduct meets the requirements of Item 406 of Regulation S-K, as well as the applicable requirements of a “code of business conduct and ethics” under the Nasdaq listing standards. The Code of Business Conduct covers topics including, but not limited to, conflicts of interest, confidentiality of information and compliance with laws and regulations. A copy of the Code of Business Conduct is available on our website located at </w:t>
      </w:r>
      <w:r>
        <w:rPr>
          <w:rFonts w:ascii="Times New Roman" w:cs="Times New Roman" w:eastAsia="Times New Roman" w:hAnsi="Times New Roman"/>
          <w:sz w:val="17"/>
          <w:szCs w:val="17"/>
          <w:i w:val="1"/>
          <w:iCs w:val="1"/>
          <w:color w:val="auto"/>
        </w:rPr>
        <w:t>investor.klx.com</w:t>
      </w:r>
      <w:r>
        <w:rPr>
          <w:rFonts w:ascii="Times New Roman" w:cs="Times New Roman" w:eastAsia="Times New Roman" w:hAnsi="Times New Roman"/>
          <w:sz w:val="17"/>
          <w:szCs w:val="17"/>
          <w:color w:val="auto"/>
        </w:rPr>
        <w:t xml:space="preserve"> under Investor Relations.</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Amendments to, or waivers of the provisions of, the Code of Business Conduct, if any, made with respect to any of our directors and officers will be posted on our website.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WITH OUR BOARD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facilitate the ability of stockholders to communicate with our Board, communications may be sent to one or more of its members, including the independent and non-management directors as a group. Interested parties may contact the Board, any Board Committee, or any Board member (including the Chairman of the Board), by writing to them at the following address: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KLX Energy Services Holdings,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3040 Post Oak Boulevard, 15th Floor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envelope containing each communication should be clearly marked as “Shareholder Communication with Directors” and clearly identify the intended recipient(s) of the communication so that the communication can be forwarded to the specified parties.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Corporate Secretary reviews all correspondence addressed to the Board and regularly presents to the Board a summary of all such correspondence and forwards to the Board or individual directors, as the case may be, copies of all correspondence that, in the opinion of the Corporate Secretary, deals with the functions of the Board or Committees thereof or that the Corporate Secretary otherwise determines requires their attention. Examples of communications that would be logged, but not automatically forwarded, include solicitations for products and services or items of a personal nature not relevant to us or our stockholders. Directors may at any time review the log of all correspondence received by our Company that is addressed to members of the Board and request copies of any such correspondence. Concerns relating to accounting, internal controls or auditing matters are brought to the attention of the Audit Committee, other than potential ethical and conflict-of-interest situations, which are directed to the Nominating and Corporate Governance Committee.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is currently composed of Messrs. Collins, Eliassen and Whates and Ms. Hunter, with Ms. Hunter serving as the Chair. No person who is or has been an officer or other employee of the Company served as a member of the Company’s Compensation Committee. During the year ended December 31, 2025, no executive officer of the Company served as a member of the compensation committee of the board (or as a director) of any company where an executive officer of such company is a member of the compensation committee or a director of that company. No member of the Compensation Committee was a party to any transaction required to be disclosed as a related-person transaction.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Section 16(a) of the Exchange Act and SEC rules, our directors, executive officers and beneficial owners of more than 10% of any class of equity security are required to file periodic reports of their ownership, and changes in that ownership, with the SEC. Based on our review of the filed reports, we believe that 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Section 16(a) filing requirements were in compliance during the fiscal year ended December 31, 2025, except for (i) Form 4s filed on March 3, 2025 for each of Mr. Bouthillette, Mr. Lehner and Mr. Baker, each a Section 16 officer of the Company, regarding restricted stock awards that vested on February 9, 2025, and (ii) Form 4 filed on July 7, 2025 for Geveran Investments Ltd., previously a director by deputization, regarding a series of dispositions of common stock that commenced on June 20,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ANTI-HEDGING AND ANTI-PLEDGING POLICY</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Our Board previously established a policy that prohibits our directors and executive officers from engaging in short sales of our securities. Our directors and executive officers are also prohibited from selling or purchasing puts or calls, trading in or writing options, or engaging in other hedging activities with respect to our securities. Directors and executive officers are also prohibited from holding Company securities in a margin account or pledging our securities as collateral for a loan, unless pre-clearance is obtained after the director or executive officer clearly demonstrates the financial capability to repay the loan without resorting to the pledged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non-employee director compensation program is designed to attract and retain highly qualified directors and align their interests with those of our stockholders. We compensate our non-employee directors with a combination of cash and equity awards. In 2025, this program provided each non-employee director with the following:</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$120,000, payable quarterly in arrears;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equity-based award in the form of restricted stock with an aggregate grant date fair market value of approximately $55,000, subject to a 12-month vesting period and continued service on the Board through the vesting 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$50,000 for service as Chairman of the Board, payable quarterly in arrears;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retainer of $10,000 for service as Chairman of a Board Committee, payable quarterly in arrears.</w:t>
      </w:r>
    </w:p>
    <w:p>
      <w:pPr>
        <w:spacing w:after="0" w:line="225"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non-employee directors are also entitled to reimbursement for certain reasonable out-of-pocket expenses incurred in connection with their services to us.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Committee’s annual review of our non-employee director compensation program includes a market-based analysis prepared by FWC, the Compensation Committee’s independent compensation consultant, that summarizes compensation trends for non-employee directors and pay levels at the same peer companies used to evaluate the compensation of our executive officers. Effective as of January 1, 2026, our non-employee director compensation program was updated to increase the compensation for serving as chair of each Board Committee from $10,000 to $20,000. These changes were made by the Compensation Committee and ratified by the Board in February 2026 to align with market practice.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Non-Employee Director Compensation</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compensation for our non-employee directors during the fiscal year ended December 31, 2025. The compensation for Mr. Baker, who does not receive any separate compensation for his service as a director, is included in the Summary Compensation Table due to his concurrent role as President and Chief Executive Officer.</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5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2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Awards(1)</w:t>
            </w: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T. Collins</w:t>
            </w:r>
          </w:p>
        </w:tc>
        <w:tc>
          <w:tcPr>
            <w:tcW w:w="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$ 30,386</w:t>
            </w:r>
          </w:p>
        </w:tc>
        <w:tc>
          <w:tcPr>
            <w:tcW w:w="6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— </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$150,386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Gunnar Eliassen</w:t>
            </w: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130,000</w:t>
            </w:r>
          </w:p>
        </w:tc>
        <w:tc>
          <w:tcPr>
            <w:tcW w:w="12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$ 30,386</w:t>
            </w:r>
          </w:p>
        </w:tc>
        <w:tc>
          <w:tcPr>
            <w:tcW w:w="15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$160,386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Danielle Hunter</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130,000</w:t>
            </w:r>
          </w:p>
        </w:tc>
        <w:tc>
          <w:tcPr>
            <w:tcW w:w="126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rPr>
              <w:t>$ 30,386</w:t>
            </w:r>
          </w:p>
        </w:tc>
        <w:tc>
          <w:tcPr>
            <w:tcW w:w="15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$160,386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Thomas P. McCaffrey</w:t>
            </w: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120,000</w:t>
            </w:r>
          </w:p>
        </w:tc>
        <w:tc>
          <w:tcPr>
            <w:tcW w:w="12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$ 30,386</w:t>
            </w:r>
          </w:p>
        </w:tc>
        <w:tc>
          <w:tcPr>
            <w:tcW w:w="15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$150,386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Corbin J. Robertson</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170,000</w:t>
            </w:r>
          </w:p>
        </w:tc>
        <w:tc>
          <w:tcPr>
            <w:tcW w:w="126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rPr>
              <w:t>$ 30,386</w:t>
            </w:r>
          </w:p>
        </w:tc>
        <w:tc>
          <w:tcPr>
            <w:tcW w:w="15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$200,386</w:t>
            </w:r>
          </w:p>
        </w:tc>
        <w:tc>
          <w:tcPr>
            <w:tcW w:w="0" w:type="dxa"/>
            <w:vAlign w:val="bottom"/>
          </w:tcPr>
          <w:p>
            <w:pPr>
              <w:spacing w:after="0"/>
              <w:rPr>
                <w:sz w:val="1"/>
                <w:szCs w:val="1"/>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John T. Whates, Esq.</w:t>
            </w:r>
          </w:p>
        </w:tc>
        <w:tc>
          <w:tcPr>
            <w:tcW w:w="7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130,000</w:t>
            </w:r>
          </w:p>
        </w:tc>
        <w:tc>
          <w:tcPr>
            <w:tcW w:w="12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$ 30,386</w:t>
            </w:r>
          </w:p>
        </w:tc>
        <w:tc>
          <w:tcPr>
            <w:tcW w:w="15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$160,386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line="254"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do not reflect compensation actually received by the non-employee directors, but rather reflect the aggregate grant date fair value of the restricted stock awards granted to our non-employee directors computed in accordance with Financial Accounting Standards Board (“FASB”) Accounting Standards Codification (“ASC”) Topic 718. Each award consisted of 5,658 shares of restricted stock, which was granted on February 1, 2025. The award to each non-employee director above vested in full on the first anniversary of the grant date. As of December 31, 2025, each non-employee director held 5,658 shares of restricted stock. Due to depressed stock prices at the time the 2025 restricted stock awards were granted to our non-employee directors, the Board elected to grant awards consisting of the same number of shares of restricted stock granted to all non-employee directors in 2024 (with the exception of Ms. Hunter, who received a pro-rated award in 2024), resulting in reduction in the grant date fair market value relative to the originally approved restricted stock award with an aggregate grant date fair market value of approximately $55,000.</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Stock Ownership</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Board believes that the alignment of directors’ interests with those of stockholders is strengthened when Board members are also stockholders. Pursuant to the Company’s Stock Ownership Policy, effective as if October 30, 2025 (the “Stock Ownership Policy”), each non-employee director must hold a number of shares that is at least three times the value the non-employee director’s annual cash retainer, calculated by multiplying the number of shares owned by such non-employee director by the average closing price of the Company’s common stock for the 20 trading days immediately preceding the calculation.</w:t>
      </w:r>
    </w:p>
    <w:p>
      <w:pPr>
        <w:spacing w:after="0" w:line="183"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We prohibit our directors from engaging in short sales of our securities, selling or purchasing puts or calls, trading in or writing options, or engaging in other hedging activities with respect to our securities. Our directors are also prohibited from holding Company securities in a margin account or pledging our securities as collateral for a loan, unless pre-clearance is obtained after such director clearly demonstrates the financial capability to repay the loan without resorting to the pledged securities.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82"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as of March 26, 2026. Biographical information for Mr. Baker is set forth above under “Proposal 2: Election of Directors.”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28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7380" w:type="dxa"/>
            <w:vAlign w:val="bottom"/>
            <w:gridSpan w:val="2"/>
          </w:tcPr>
          <w:p>
            <w:pPr>
              <w:ind w:left="33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191"/>
        </w:trPr>
        <w:tc>
          <w:tcPr>
            <w:tcW w:w="3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J. Baker</w:t>
            </w:r>
          </w:p>
        </w:tc>
        <w:tc>
          <w:tcPr>
            <w:tcW w:w="100" w:type="dxa"/>
            <w:vAlign w:val="bottom"/>
          </w:tcPr>
          <w:p>
            <w:pPr>
              <w:spacing w:after="0"/>
              <w:rPr>
                <w:sz w:val="16"/>
                <w:szCs w:val="16"/>
                <w:color w:val="auto"/>
              </w:rPr>
            </w:pPr>
          </w:p>
        </w:tc>
        <w:tc>
          <w:tcPr>
            <w:tcW w:w="7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40" w:type="dxa"/>
            <w:vAlign w:val="bottom"/>
          </w:tcPr>
          <w:p>
            <w:pPr>
              <w:spacing w:after="0"/>
              <w:rPr>
                <w:sz w:val="16"/>
                <w:szCs w:val="16"/>
                <w:color w:val="auto"/>
              </w:rPr>
            </w:pPr>
          </w:p>
        </w:tc>
        <w:tc>
          <w:tcPr>
            <w:tcW w:w="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6"/>
                <w:szCs w:val="16"/>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Max L. Bouthillette</w:t>
            </w:r>
          </w:p>
        </w:tc>
        <w:tc>
          <w:tcPr>
            <w:tcW w:w="7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Executive Vice President, General Counsel, Chief Compliance Officer and Corporate Secretary</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Geoffrey C. Stanford</w:t>
            </w:r>
          </w:p>
        </w:tc>
        <w:tc>
          <w:tcPr>
            <w:tcW w:w="7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Senior Vice President, Chief Accounting Officer and Interim Chief Financial Officer</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Max L. Bouthillette</w:t>
      </w:r>
      <w:r>
        <w:rPr>
          <w:rFonts w:ascii="Times New Roman" w:cs="Times New Roman" w:eastAsia="Times New Roman" w:hAnsi="Times New Roman"/>
          <w:sz w:val="18"/>
          <w:szCs w:val="18"/>
          <w:color w:val="auto"/>
        </w:rPr>
        <w:t>. Max L. Bouthillette became the Executive Vice President, General Counsel, Chief Compliance Officer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of KLXE upon completion of the QES Merger in July 2020. Additionally, Mr. Bouthillette serves as Vice President, General Counsel &amp; Secretary and Director (or Manager, as applicable) of Krypton Intermediate, LLC, Krypton Holdco, LLC, KLX Energy Services LLC, KLX Energy Services Inc., KLX Directional Drilling LLC and Centerline Trucking LLC. Previously, Mr. Bouthillette served as Executive Vice President, General Counsel, Chief Compliance Officer and Corporate Secretary of QES since its formation in 2017 through July 2020. Mr. Bouthillette served on QES LP’s board of directors from April 2016 until July 2017 and Mr. Bouthillette served as QES LP’s Executive Vice President, General Counsel, Chief Compliance Officer and Secretary from July 2017 until February 2018. Prior to joining QES, Mr. Bouthillette was with Archer Limited, where he served as Executive Vice President and General Counsel from 2010 to 2017, as President of Archer’s operations in South and North America since 2016 and as a Director of several of its affiliates. Mr. Bouthillette has more than 34 years of legal experience for oilfield services companies, and previously served as Chief Compliance Officer and Deputy General Counsel for BJ Services from 2006 to 2010, as a partner with Baker Hostetler LLP from 2004 to 2006 and with Schlumberger in North America (Litigation Counsel), Asia (OFS Counsel) and Europe (General Counsel Products) from 1998 to 2003. Mr. Bouthillette holds a B.B.A in Accounting from Texas A&amp;M University and a J.D. from the University of Houston Law Center.</w:t>
      </w:r>
    </w:p>
    <w:p>
      <w:pPr>
        <w:spacing w:after="0" w:line="190"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Geoffrey C. Stanford</w:t>
      </w:r>
      <w:r>
        <w:rPr>
          <w:rFonts w:ascii="Times New Roman" w:cs="Times New Roman" w:eastAsia="Times New Roman" w:hAnsi="Times New Roman"/>
          <w:sz w:val="18"/>
          <w:szCs w:val="18"/>
          <w:color w:val="auto"/>
        </w:rPr>
        <w:t>. Geoffrey C. Stanford became the Interim Chief Financial Officer on January 7, 2026. He also serves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and Chief Accounting Officer of the Company, a position he has held since December 2020. Prior to that, Mr. Stanford served as Vice President and Chief Accounting Officer, a position he held from the completion of the Company’s merger with QES in July 2020. He served in that same role at QES from 2018 until the merger in 2020. Before joining QES, Mr. Stanford served as Vice President of Accounting at Amedisys Home Health &amp; Hospice and as Vice President and Chief Accounting Officer at Willbros Construction, where he led corporate accounting initiatives. His career also includes key roles at The Shaw Group and Albemarle Corporation, where he focused on corporate operations and financial management. Mr. Stanford is a licensed Certified Public Accountant. He earned a Master of Business Administration degree from Tulane University and bachelor’s degrees in Accounting and Finance from Louisiana State University.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To our knowledge, the following table and accompanying footnotes show information as of March 17, 2026 (except as noted in the footnotes below) regarding the beneficial ownership of KLXE common stock by:</w:t>
      </w:r>
    </w:p>
    <w:p>
      <w:pPr>
        <w:spacing w:after="0" w:line="67"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beneficially own more than 5% of the outstanding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Board and our executive officers as a group.</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common stock that he, she or it beneficially owns.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Included in the tables below are shares over which the person could have acquired voting power or investment power within 60 days after March 17, 2026. Voting power includes the power to direct the voting of shares held, and investment power includes the power to direct the disposition of shares held. Applicable percentage ownership and voting power is based on 19,668,752 shares of KLXE common stock outstanding as of March 17, 2026.</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noted below, each of the below has sole voting and investment power over the shares of common stock reflected in the table and their address is c/o KLX Energy Services Holdings, Inc., 3040 Post Oak Boulevard, 15th Floor, Houston, TX 77056.</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2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15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6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Greene’s Investment Holdings LLC(2)</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1,891,063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Tontine Asset Associates, LLC and its affiliates(3)</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1,693,219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Cross Ocean Partners Management LP(4)</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1,174,325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CastleKnight Master Fund LP(5)</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998,601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J. Baker(6)</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454,726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Keefer M. Lehner(7)</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24,895</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C. Stanford(7)</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74,840</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 L. Bouthillette(6)</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181,020</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T. Collins(8)</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36,169</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Gunnar Eliassen(8)</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41,083</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Danielle E. Hunter(8)</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25,797</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P. McCaffrey(8)(9)</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158,524</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Corbin J. Robertson, Jr.(8)</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58,006</w:t>
            </w:r>
          </w:p>
        </w:tc>
        <w:tc>
          <w:tcPr>
            <w:tcW w:w="9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T. Whates, Esq.(8)</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39,188</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 as Group (9 persons)(7)</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1,069,353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7"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19,668,752 shares of common stock outstanding as of March 17, 2026.</w:t>
      </w:r>
    </w:p>
    <w:p>
      <w:pPr>
        <w:spacing w:after="0" w:line="9"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November 14, 2024, these shares are held directly by Greene’s Investment Holdings LLC (“GIH”). Denham IV Continuation Fund LP (“Denham IV Fund”) is the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82"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color w:val="auto"/>
        </w:rPr>
        <w:t>sole owner of GIH. Denham IV Continuation Fund GP LP (“Denham IV Fund GP”) is the general partner of Denham IV Fund. Denham IV Continuation GP LLC (“Denham IV GP”) is the general partner of Denham IV Fund GP. Denham Capital Management LP (“DCM”) serves as investment adviser to Denham IV Fund. Denham Capital Management GP LLC (“DCM GP”) is the general partner of DCM. Stuart D. Porter is the sole owner of DCM GP and the controlling member of Denham IV GP, and serves as Chief Executive Officer and Chief Investment Officer of DCM. Accordingly, each of GIH, Denham IV Fund, Denham IV Fund GP, Denham IV GP, DCM, DCM GP and Mr. Porter may be deemed to be the beneficial owner of these shares; however, each disclaims beneficial ownership of such shares in excess of its pecuniary interest therein. The address of each of GIH, Denham IV Fund, Denham IV Fund GP, Denham IV GP, DCM, DCM GP and Mr. Porter is 185 Dartmouth Street, Boston, MA 02116.</w:t>
      </w:r>
    </w:p>
    <w:p>
      <w:pPr>
        <w:spacing w:after="0" w:line="1" w:lineRule="exact"/>
        <w:rPr>
          <w:sz w:val="20"/>
          <w:szCs w:val="20"/>
          <w:color w:val="auto"/>
        </w:rPr>
      </w:pPr>
    </w:p>
    <w:p>
      <w:pPr>
        <w:ind w:left="540" w:right="8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August 14, 2025 by Tontine Asset Associates, LLC (“TAA”), Tontine Capital Overseas Master Fund II, L.P. (“TCOM II”) and Jeffrey L. Gendell. TAA serves as general partner of TCOM II. Mr. Gendell serves as the Managing Member of TAA, with respect to the shares of common stock directly owned by TCOM II, and with respect to 227,892 shares of Common Stock directly owned by Tontine Financial Partners, L.P. (“TFP”). Mr. Gendell serves as the Managing Member of Tontine Management, L.L.C. (“TM”), which serves as general partner of TFP. The address of each of TAA, TCOM II, Mr. Gendell, TFP and TM is 1 Sound Shore Drive, Suite 304, Greenwich, CT 06830-7251.</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with the SEC on March 13, 2026 by Cross Ocean GSS Onshore Feeder LP (“Cross Ocean GSS Onshore”), Cross Ocean Partners Management LP (“Cross Ocean Management”), Cross Ocean Partners Management GP, LLC (“Cross Ocean Management GP”), GG Managers LLC (“GG Managers”) and Graham C. Goldsmith. Pursuant to investment management agreements, Cross Ocean Management has received delegated authority relating to certain managed funds that directly beneficially own, in the aggregate, 1,174,325 shares of KLXE common stock. Cross Ocean Management GP is the sole general partner of Cross Ocean Management. GG Managers is the sole member of Cross Ocean Management GP. Graham Goldsmith is the sole member of Cross Ocean GG Members. As a result, each of Cross Ocean Management, Cross Ocean Management GP, GG Managers, and Mr. Goldsmith may be deemed to indirectly beneficially own the 1,174,325 shares directly beneficially owned by the funds managed by Cross Ocean Management. Cross Ocean GSS Onshore is a feeder fund for one of the funds managed by Cross Ocean Management directly beneficially owning 436,349 shares of the aforementioned 1,174,325 shares. The principal business address of Cross Ocean GSS Onshore, Cross Ocean Management, Cross Ocean Management GP, GG Managers, and Mr. Goldsmith is c/o Cross Ocean Partners Management LP, 60 Arch Street, 3rd Floor, Greenwich, CT 06830.</w:t>
      </w:r>
    </w:p>
    <w:p>
      <w:pPr>
        <w:spacing w:after="0" w:line="4" w:lineRule="exact"/>
        <w:rPr>
          <w:rFonts w:ascii="Times New Roman" w:cs="Times New Roman" w:eastAsia="Times New Roman" w:hAnsi="Times New Roman"/>
          <w:sz w:val="18"/>
          <w:szCs w:val="18"/>
          <w:color w:val="auto"/>
        </w:rPr>
      </w:pPr>
    </w:p>
    <w:p>
      <w:pPr>
        <w:ind w:left="540" w:right="40" w:hanging="424"/>
        <w:spacing w:after="0" w:line="265"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13G filed with the SEC on February 17, 2026 by CastleKnight Master Fund LP, CastleKnight Fund GP LLC, CastleKnight Management LP, CastleKnight Management GP LLC, Weitman Capital LLC and Aaron Weitman. These shares are directly owned by advisory clients of CastleKnight Management LP. None of the clients, other than CastleKnight Master Fund LP, may be deemed to beneficially own more than 5% of the common stock. Mr. Weitman is a manager of Weitman Capital LLC, which is the managing member of CastleKnight Management GP LLC and CastleKnight Fund GP LLC. CastleKnight Management GP LLC is the general partner of CastleKnight Management LP.</w:t>
      </w:r>
    </w:p>
    <w:p>
      <w:pPr>
        <w:ind w:left="5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CastleKnight Fund GP LLC is the general partner of CastleKnight Fund GP LLC. The address of CastleKnight Master Fund LP is c/o Maples Corporate Services Limited, P.O. Box 309, Ugland House, Grand Cayman KY1-1104, Cayman Islands. The address of each of CastleKnight Fund GP LLC, CastleKnight Management LP, CastleKnight Management GP LLC, Weitman Capital LLC and Aaron Weitman is 888 Seventh Avenue, 24th Floor, New York, New York 10019, United States of America.</w:t>
      </w:r>
    </w:p>
    <w:p>
      <w:pPr>
        <w:spacing w:after="0" w:line="1" w:lineRule="exact"/>
        <w:rPr>
          <w:rFonts w:ascii="Times New Roman" w:cs="Times New Roman" w:eastAsia="Times New Roman" w:hAnsi="Times New Roman"/>
          <w:sz w:val="17"/>
          <w:szCs w:val="17"/>
          <w:color w:val="auto"/>
        </w:rPr>
      </w:pPr>
    </w:p>
    <w:p>
      <w:pPr>
        <w:jc w:val="both"/>
        <w:ind w:left="540" w:right="80" w:hanging="424"/>
        <w:spacing w:after="0" w:line="250"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includes shares of common stock issued to the executive officer pursuant to a restricted stock award, as follows: Mr. Baker (288,066 shares) and Mr. Bouthillette (113,168 shares). Until settled, the executive officer has no dispositive power over the common stock underlying the restricted stock.</w:t>
      </w:r>
    </w:p>
    <w:p>
      <w:pPr>
        <w:spacing w:after="0" w:line="1" w:lineRule="exact"/>
        <w:rPr>
          <w:rFonts w:ascii="Times New Roman" w:cs="Times New Roman" w:eastAsia="Times New Roman" w:hAnsi="Times New Roman"/>
          <w:sz w:val="18"/>
          <w:szCs w:val="18"/>
          <w:color w:val="auto"/>
        </w:rPr>
      </w:pPr>
    </w:p>
    <w:p>
      <w:pPr>
        <w:jc w:val="both"/>
        <w:ind w:left="540" w:right="220" w:hanging="424"/>
        <w:spacing w:after="0" w:line="255"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Form 4 filed with the SEC on January 8, 2026 by Mr. Lehner. Mr. Lehner resigned from the Company, effective January 7, 2026. In connection with his departure, his unvested shares of restricted stock and unvested restricted stock units (“RSUs”) were forfeited. Mr. Stanford was appointed Interim Chief Financial Officer, effective January 7, 2026.</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80"/>
          </w:cols>
          <w:pgMar w:left="320" w:top="482"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reported includes 14,481 shares of common stock issued to the director pursuant to a restricted stock award. Until settled, the director has no dispositive power over the common stock underlying the restricted stock.</w:t>
      </w:r>
    </w:p>
    <w:p>
      <w:pPr>
        <w:ind w:left="540" w:right="300" w:hanging="424"/>
        <w:spacing w:after="0" w:line="260"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157,922 shares of common stock held individually by Mr. McCaffrey and 602 shares of common stock indirectly through a family trust.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2025 with respect to compensation plans under which equity securities of the Company are authorized for issuance.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2"/>
          </w:tcPr>
          <w:p>
            <w:pPr>
              <w:jc w:val="center"/>
              <w:ind w:left="2"/>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60" w:type="dxa"/>
            <w:vAlign w:val="bottom"/>
            <w:gridSpan w:val="2"/>
            <w:vMerge w:val="restart"/>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94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7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740" w:type="dxa"/>
            <w:vAlign w:val="bottom"/>
          </w:tcPr>
          <w:p>
            <w:pPr>
              <w:spacing w:after="0"/>
              <w:rPr>
                <w:sz w:val="12"/>
                <w:szCs w:val="12"/>
                <w:color w:val="auto"/>
              </w:rPr>
            </w:pPr>
          </w:p>
        </w:tc>
        <w:tc>
          <w:tcPr>
            <w:tcW w:w="19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6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540" w:type="dxa"/>
            <w:vAlign w:val="bottom"/>
            <w:vMerge w:val="restart"/>
          </w:tcPr>
          <w:p>
            <w:pPr>
              <w:spacing w:after="0"/>
              <w:rPr>
                <w:sz w:val="12"/>
                <w:szCs w:val="12"/>
                <w:color w:val="auto"/>
              </w:rPr>
            </w:pPr>
          </w:p>
        </w:tc>
        <w:tc>
          <w:tcPr>
            <w:tcW w:w="1760" w:type="dxa"/>
            <w:vAlign w:val="bottom"/>
            <w:gridSpan w:val="2"/>
          </w:tcPr>
          <w:p>
            <w:pPr>
              <w:jc w:val="center"/>
              <w:ind w:left="362"/>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740" w:type="dxa"/>
            <w:vAlign w:val="bottom"/>
          </w:tcPr>
          <w:p>
            <w:pPr>
              <w:spacing w:after="0"/>
              <w:rPr>
                <w:sz w:val="12"/>
                <w:szCs w:val="12"/>
                <w:color w:val="auto"/>
              </w:rPr>
            </w:pPr>
          </w:p>
        </w:tc>
        <w:tc>
          <w:tcPr>
            <w:tcW w:w="19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8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80"/>
        </w:trPr>
        <w:tc>
          <w:tcPr>
            <w:tcW w:w="880" w:type="dxa"/>
            <w:vAlign w:val="bottom"/>
            <w:vMerge w:val="continue"/>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740" w:type="dxa"/>
            <w:vAlign w:val="bottom"/>
          </w:tcPr>
          <w:p>
            <w:pPr>
              <w:spacing w:after="0"/>
              <w:rPr>
                <w:sz w:val="15"/>
                <w:szCs w:val="15"/>
                <w:color w:val="auto"/>
              </w:rPr>
            </w:pPr>
          </w:p>
        </w:tc>
        <w:tc>
          <w:tcPr>
            <w:tcW w:w="194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5"/>
                <w:szCs w:val="15"/>
                <w:color w:val="auto"/>
              </w:rPr>
            </w:pPr>
          </w:p>
        </w:tc>
        <w:tc>
          <w:tcPr>
            <w:tcW w:w="13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0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46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4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LTIP(1)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489,035</w:t>
            </w:r>
          </w:p>
        </w:tc>
        <w:tc>
          <w:tcPr>
            <w:tcW w:w="740" w:type="dxa"/>
            <w:vAlign w:val="bottom"/>
          </w:tcPr>
          <w:p>
            <w:pPr>
              <w:spacing w:after="0"/>
              <w:rPr>
                <w:sz w:val="18"/>
                <w:szCs w:val="18"/>
                <w:color w:val="auto"/>
              </w:rPr>
            </w:pPr>
          </w:p>
        </w:tc>
        <w:tc>
          <w:tcPr>
            <w:tcW w:w="19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34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3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4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280" w:type="dxa"/>
            <w:vAlign w:val="bottom"/>
            <w:gridSpan w:val="4"/>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489,035</w:t>
            </w:r>
          </w:p>
        </w:tc>
        <w:tc>
          <w:tcPr>
            <w:tcW w:w="740" w:type="dxa"/>
            <w:vAlign w:val="bottom"/>
          </w:tcPr>
          <w:p>
            <w:pPr>
              <w:spacing w:after="0"/>
              <w:rPr>
                <w:sz w:val="19"/>
                <w:szCs w:val="19"/>
                <w:color w:val="auto"/>
              </w:rPr>
            </w:pPr>
          </w:p>
        </w:tc>
        <w:tc>
          <w:tcPr>
            <w:tcW w:w="12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6"/>
              </w:rPr>
              <w:t>— </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12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reported in this row is the Second Amended and Restated KLX Energy Services Holdings, Inc. Long-Term Incentive Plan (as amended from time to time, the “LTIP”).</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82"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PROPOSAL 3: ADVISORY, NON-BINDING VOTE TO APPROVE THE COMPENSATION OF OUR NAMED EXECUTIVE OFFICERS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Board is committed to excellence in governance. As part of this commitment, and as required by Rule 14a-21 of the Exchange Act, our Board is providing our stockholders with an opportunity to cast an advisory, non-binding vote on a resolution to approve the compensation paid to our NEOs, as described in this Proxy Statement. We give our stockholders this opportunity, which is commonly referred to as a “say-on-pay” proposal, every year to express their views on the Company’s executive compensation program.</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As described below under “Executive Compensation—Additional Narrative Disclosures,” we have developed a compensation program that is designed to attract, retain and motivate key executives responsible for our success, to provide incentives that reward achievement of performance goals that directly correlate to the enhancement of stockholder value and to align our executives’ interests with those of our stockholders by rewarding short-term and long-term performance and tying a significant portion of our executive officers’ compensation to increases in stockholder value. We believe our executive compensation program strikes an appropriate balance between the implementation of responsible, measured compensation practices and the effective provision of incentives for our NEOs to exert their best efforts for our success.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are asking for stockholder approval, on an advisory, non-binding basis, of the compensation of our NEOs as disclosed in this proxy statement pursuant to Item 402 of Regulation S-K, which includes the disclosures in the “Executive Compensation—Additional Narrative Disclosures” section below, the compensation tables and any related material disclosed in this proxy statement. This vote is not intended to address any specific item of compensation, but rather the overall compensation of our NEOs and the policies and practices described in this proxy statement. For the reasons discussed above, our Board unanimously recommends that our stockholders vote in favor of the following resolution:</w:t>
      </w:r>
    </w:p>
    <w:p>
      <w:pPr>
        <w:spacing w:after="0" w:line="183"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hereby approve, on an advisory basis, the compensation of the named executive officers, as disclosed in the Company’s proxy statement for the 2026 Annual Meeting of Stockholders pursuant to Item 402 of Regulation S-K, including the Additional Narrative Disclosures, the compensation tables and any related material disclosed in the proxy statement.”</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this vote is advisory, it will not be binding on our Board or our Compensation Committee, and neither our Board nor our Compensation Committee will be required to take any action as a result of the outcome of the vote. However, our Compensation Committee will carefully consider the outcome of this vote when considering future executive compensation policies and decisions. In accordance with the preference expressed by our stockholders at our annual meeting of stockholders in 2024, the Board determined that we would provide this opportunity annually until the next non-binding stockholder advisory vote on the frequency of future advisory votes on executive compensation which will occur at the 2030 Annual Meeting of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Approval of the resolution to approve the compensation of our NEOs requires the affirmative vote of the recordholders of a majority in voting power of the shares present virtually or by proxy at the meeting and entitled to vote on such question. As a result, abstentions will have the same effect as a vote “AGAINST” the proposal and broker non-votes will have no effect on the vote outcome.</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SAY-ON-PAY RESOLUTION.</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currently considered a “smaller reporting company” within the meaning of the Securities Act for purposes of the SEC’s executive compensation disclosure rules. As a result, we are required to provide a Summary Compensation Table, an Outstanding Equity Awards at Fiscal Year-End Table and a Pay Versus Performance table, as well as limited narrative disclosures. However, as a result of stockholder engagement following the 2025 say-on-pay advisory vote, we have materially increased and improved our executive compensation disclosure with an eye toward transparency, as reflected in this Proxy Statement.</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reporting obligations generally extend only to our Named Executive Officers, or NEOs; specifically (i) the individual who served as our Chief Executive Officer and (ii) our next two most highly compensated executive officers who were serving as executive officers as of December 31, 2025. In accordance with the foregoing, the individuals listed below are our NEOs:</w:t>
      </w:r>
    </w:p>
    <w:p>
      <w:pPr>
        <w:spacing w:after="0" w:line="81"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J. Baker,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Keefer M. Lehner, Executive Vice President and Chief Financial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 L. Bouthillette, Executive Vice President, General Counsel, Chief Compliance Officer and Corporate Secretary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COMPENSATION OVERVIEW</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have chosen to compensate our NEOs with a mix of compensation items, with an emphasis on at-risk incentive compensation. We strive to enforce a pay for performance culture for our NEOs, and grant potential incentive compensation that have no guaranteed or uncapped settlement values. We have designed our incentive programs with both short- and long-term strategic objectives in order to align our NEOs’ interest with that of our stockholders, without motivating activities that create excessive or inappropriate risks for the Company. In 2025, target total at-risk compensation opportunities for our NEOs consisted of short-term incentive plan or STIP, as well as the grant date value of LTIP awards: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At Risk</w:t>
            </w:r>
          </w:p>
        </w:tc>
        <w:tc>
          <w:tcPr>
            <w:tcW w:w="6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At-Risk</w:t>
            </w: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LTIP</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on</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Target</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860" w:type="dxa"/>
            <w:vAlign w:val="bottom"/>
            <w:vMerge w:val="restart"/>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STIP at Full</w:t>
            </w: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320" w:type="dxa"/>
            <w:vAlign w:val="bottom"/>
            <w:gridSpan w:val="3"/>
            <w:vMerge w:val="continue"/>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3"/>
                <w:szCs w:val="13"/>
                <w:color w:val="auto"/>
              </w:rPr>
            </w:pPr>
          </w:p>
        </w:tc>
        <w:tc>
          <w:tcPr>
            <w:tcW w:w="380" w:type="dxa"/>
            <w:vAlign w:val="bottom"/>
            <w:tcBorders>
              <w:bottom w:val="single" w:sz="8" w:color="auto"/>
            </w:tcBorders>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8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STIP</w:t>
            </w: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Grant</w:t>
            </w:r>
          </w:p>
        </w:tc>
        <w:tc>
          <w:tcPr>
            <w:tcW w:w="13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0"/>
        </w:trPr>
        <w:tc>
          <w:tcPr>
            <w:tcW w:w="37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J. Baker</w:t>
            </w: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3"/>
            <w:vMerge w:val="continue"/>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$638,820</w:t>
            </w:r>
          </w:p>
        </w:tc>
        <w:tc>
          <w:tcPr>
            <w:tcW w:w="4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20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$ 638,820</w:t>
            </w:r>
          </w:p>
        </w:tc>
        <w:tc>
          <w:tcPr>
            <w:tcW w:w="4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$761,935</w:t>
            </w:r>
          </w:p>
        </w:tc>
        <w:tc>
          <w:tcPr>
            <w:tcW w:w="4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2,039,575</w:t>
            </w:r>
          </w:p>
        </w:tc>
        <w:tc>
          <w:tcPr>
            <w:tcW w:w="42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Keefer M. Lehner</w:t>
            </w: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$436,800</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$ 349,440</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$299,329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1,085,569</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L. Bouthillette</w:t>
            </w:r>
          </w:p>
        </w:tc>
        <w:tc>
          <w:tcPr>
            <w:tcW w:w="11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$382,200</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$ 305,760</w:t>
            </w: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$299,329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987,289</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NEOs are also eligible to receive certain payments and benefits upon a termination of employment under certain circumstances in accordance with the terms of their employment agreements, as described below. However, none of our NEOs were eligible for single-trigger change in control cash payments or equity vesting, or excise tax gross-up payments for change in control payments.</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With respect to the 2025 executive compensation program, the Compensation Committee recommended, and the Board approved, the following compensation-related actions for our NEOs, further detailed below:</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The 2025 base salaries for each NEO were held flat.</w:t>
      </w:r>
    </w:p>
    <w:p>
      <w:pPr>
        <w:spacing w:after="0" w:line="130"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The target opportunity for the annual cash bonus award was the same used in 2025 and based on the achievement of specific Company performance objectives as well as individual strategic goals set for each NEO.</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Awards: The long-term incentive compensation awarded in 2025 was comprised of time-based restricted stock awards that vest ratably over a three-year period subject to continued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right="320"/>
        <w:spacing w:after="0" w:line="282" w:lineRule="auto"/>
        <w:rPr>
          <w:sz w:val="20"/>
          <w:szCs w:val="20"/>
          <w:color w:val="auto"/>
        </w:rPr>
      </w:pPr>
      <w:r>
        <w:rPr>
          <w:rFonts w:ascii="Times New Roman" w:cs="Times New Roman" w:eastAsia="Times New Roman" w:hAnsi="Times New Roman"/>
          <w:sz w:val="18"/>
          <w:szCs w:val="18"/>
          <w:color w:val="auto"/>
        </w:rPr>
        <w:t>employment. Due to depressed stock price at the time of grant, the Board determined to grant each NEO the same number of restricted stock as had been granted in 2024, resulting in a significantly lower grant date fair market value compared to 2024.</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Compensation Committee, in overseeing our executive compensation program and setting the 2025 total target direct compensation for our NEOs, continued its engagement of FWC as independent compensation consultant. FWC reviewed our executive compensation program for 2025 with the Compensation Committee and produced reports regarding peer compensation programs that were utilized by the Committee when making certain compensation decisions for the executives for 2025. FWC also provided the Compensation Committee with recommendations and advice for selecting an appropriate peer group for 2025 compensation purposes, with general criteria including companies that are (1) competitors for the same customers, services and talent, (2) subject to the same market conditions with similar business complexity, (3) tracked similarly or considered comparable investments, and (4) similar revenue size. This compensation peer group was used by the Compensation Committee for purposes of compensation comparison analysis and making decisions regarding base salaries, bonus targets and incentive plan design, and long-term incentive award size and design. The Compensation Committee, with the recommendation and advice of FWC, determined that the appropriate peer group for 2025 compensation purposes would consist of the following companies:</w:t>
      </w:r>
    </w:p>
    <w:p>
      <w:pPr>
        <w:spacing w:after="0" w:line="221"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Forum Energy Technologies, Inc.</w:t>
      </w:r>
    </w:p>
    <w:p>
      <w:pPr>
        <w:spacing w:after="0" w:line="2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Energy Service, Inc.</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States International, Inc.</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Ranger Energy Services, Inc.</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RPC, Inc.</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Water Solutions, Inc.</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Energy Services (USA) Ltd.</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Laboratories Inc.</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DMC Global Inc.</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Helix Energy Solutions Group Inc.</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NPK International Inc.</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ProFrac Holding Corp.</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ProPetro Holding Corp.</w:t>
      </w:r>
    </w:p>
    <w:p>
      <w:pPr>
        <w:spacing w:after="0" w:line="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TETRA Technologies Inc.</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Additionally, following the 2025 say-on-pay advisory vote regarding the 2024 compensation paid to our NEOs, FWC reviewed the results of that vote with the Compensation Committee and provided advice to the Committee regarding the Company’s executive compensation program and governance features, as well as increased public disclosures regarding those compensation decisions.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82"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for each of our NEOs for the fiscal years ended December 31, 2025 and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9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80" w:type="dxa"/>
            <w:vAlign w:val="bottom"/>
            <w:gridSpan w:val="3"/>
            <w:vMerge w:val="continue"/>
          </w:tcPr>
          <w:p>
            <w:pPr>
              <w:spacing w:after="0"/>
              <w:rPr>
                <w:sz w:val="12"/>
                <w:szCs w:val="12"/>
                <w:color w:val="auto"/>
              </w:rPr>
            </w:pPr>
          </w:p>
        </w:tc>
        <w:tc>
          <w:tcPr>
            <w:tcW w:w="12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1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93"/>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300"/>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75"/>
              <w:spacing w:after="0" w:line="160"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Christopher J. Baker</w:t>
            </w: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$ 638,820</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 — </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761,935</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280"/>
              <w:spacing w:after="0" w:line="203" w:lineRule="exact"/>
              <w:rPr>
                <w:sz w:val="20"/>
                <w:szCs w:val="20"/>
                <w:color w:val="auto"/>
              </w:rPr>
            </w:pPr>
            <w:r>
              <w:rPr>
                <w:rFonts w:ascii="Times New Roman" w:cs="Times New Roman" w:eastAsia="Times New Roman" w:hAnsi="Times New Roman"/>
                <w:sz w:val="18"/>
                <w:szCs w:val="18"/>
                <w:color w:val="auto"/>
                <w:w w:val="95"/>
              </w:rPr>
              <w:t>291,110</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24,131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1,715,996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c>
          <w:tcPr>
            <w:tcW w:w="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$ 638,820</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1,405,762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744,864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39,743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2,829,189</w:t>
            </w:r>
          </w:p>
        </w:tc>
        <w:tc>
          <w:tcPr>
            <w:tcW w:w="0" w:type="dxa"/>
            <w:vAlign w:val="bottom"/>
          </w:tcPr>
          <w:p>
            <w:pPr>
              <w:spacing w:after="0"/>
              <w:rPr>
                <w:sz w:val="1"/>
                <w:szCs w:val="1"/>
                <w:color w:val="auto"/>
              </w:rPr>
            </w:pPr>
          </w:p>
        </w:tc>
      </w:tr>
      <w:tr>
        <w:trPr>
          <w:trHeight w:val="196"/>
        </w:trPr>
        <w:tc>
          <w:tcPr>
            <w:tcW w:w="37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Keefer M. Lehner(4)</w:t>
            </w:r>
          </w:p>
        </w:tc>
        <w:tc>
          <w:tcPr>
            <w:tcW w:w="920" w:type="dxa"/>
            <w:vAlign w:val="bottom"/>
            <w:gridSpan w:val="3"/>
          </w:tcPr>
          <w:p>
            <w:pPr>
              <w:ind w:left="30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tcPr>
          <w:p>
            <w:pPr>
              <w:jc w:val="center"/>
              <w:ind w:right="260"/>
              <w:spacing w:after="0" w:line="195" w:lineRule="exact"/>
              <w:rPr>
                <w:sz w:val="20"/>
                <w:szCs w:val="20"/>
                <w:color w:val="auto"/>
              </w:rPr>
            </w:pPr>
            <w:r>
              <w:rPr>
                <w:rFonts w:ascii="Times New Roman" w:cs="Times New Roman" w:eastAsia="Times New Roman" w:hAnsi="Times New Roman"/>
                <w:sz w:val="18"/>
                <w:szCs w:val="18"/>
                <w:color w:val="auto"/>
              </w:rPr>
              <w:t>$ 436,800</w:t>
            </w:r>
          </w:p>
        </w:tc>
        <w:tc>
          <w:tcPr>
            <w:tcW w:w="6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299,329</w:t>
            </w:r>
          </w:p>
        </w:tc>
        <w:tc>
          <w:tcPr>
            <w:tcW w:w="1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41,563</w:t>
            </w:r>
          </w:p>
        </w:tc>
        <w:tc>
          <w:tcPr>
            <w:tcW w:w="2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777,692</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$ 436,800</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552,260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407,447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49,322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1,445,829</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Max Bouthillette</w:t>
            </w:r>
          </w:p>
        </w:tc>
        <w:tc>
          <w:tcPr>
            <w:tcW w:w="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$ 382,200</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299,329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139,335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843,212</w:t>
            </w:r>
          </w:p>
        </w:tc>
        <w:tc>
          <w:tcPr>
            <w:tcW w:w="0" w:type="dxa"/>
            <w:vAlign w:val="bottom"/>
          </w:tcPr>
          <w:p>
            <w:pPr>
              <w:spacing w:after="0"/>
              <w:rPr>
                <w:sz w:val="1"/>
                <w:szCs w:val="1"/>
                <w:color w:val="auto"/>
              </w:rPr>
            </w:pPr>
          </w:p>
        </w:tc>
      </w:tr>
      <w:tr>
        <w:trPr>
          <w:trHeight w:val="196"/>
        </w:trPr>
        <w:tc>
          <w:tcPr>
            <w:tcW w:w="37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Executive Vice President, General Counsel and</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Compliance Officer</w:t>
            </w:r>
          </w:p>
        </w:tc>
        <w:tc>
          <w:tcPr>
            <w:tcW w:w="9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$ 382,200</w:t>
            </w:r>
          </w:p>
        </w:tc>
        <w:tc>
          <w:tcPr>
            <w:tcW w:w="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552,260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356,516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1,321,463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200" w:hanging="424"/>
        <w:spacing w:after="0" w:line="254"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the amounts shown reflect the aggregate grant date fair value of restricted stock granted to our NEOs under the LTIP on February 1, 2025, computed in accordance with FASB ASC Topic 718, using the value of a share of our common stock on January 31, 2025 (the last trading day prior to the date of grant). Mr. Baker received 144,033 shares of restricted stock, and Messrs. Lehner and Bouthillette each received 56,584 shares of restricted stock. Each award vested or will vest in three substantially equal installments on February 1, 2026, February 1, 2027 and February 1, 2028, subject to continued employment on each applicable vesting date.</w:t>
      </w:r>
    </w:p>
    <w:p>
      <w:pPr>
        <w:spacing w:after="0" w:line="3"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bonuses earned by our NEOs in respect of the applicable year pursuant to our Annual Incentive Compensation Program. For more information, see “—Additional Narrative Disclosures—Bonuses” below.</w:t>
      </w: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are reported in this column for the fiscal year 2025:</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Automobile</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Allowance,</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84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Company 401(k)</w:t>
            </w:r>
          </w:p>
        </w:tc>
        <w:tc>
          <w:tcPr>
            <w:tcW w:w="8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Personal Use of</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960" w:type="dxa"/>
            <w:vAlign w:val="bottom"/>
            <w:gridSpan w:val="3"/>
          </w:tcPr>
          <w:p>
            <w:pPr>
              <w:ind w:left="860"/>
              <w:spacing w:after="0" w:line="149" w:lineRule="exact"/>
              <w:rPr>
                <w:sz w:val="20"/>
                <w:szCs w:val="20"/>
                <w:color w:val="auto"/>
              </w:rPr>
            </w:pPr>
            <w:r>
              <w:rPr>
                <w:rFonts w:ascii="Times New Roman" w:cs="Times New Roman" w:eastAsia="Times New Roman" w:hAnsi="Times New Roman"/>
                <w:sz w:val="14"/>
                <w:szCs w:val="14"/>
                <w:b w:val="1"/>
                <w:bCs w:val="1"/>
                <w:color w:val="auto"/>
              </w:rPr>
              <w:t>Company-Owned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Health Care</w:t>
            </w:r>
          </w:p>
        </w:tc>
        <w:tc>
          <w:tcPr>
            <w:tcW w:w="0" w:type="dxa"/>
            <w:vAlign w:val="bottom"/>
          </w:tcPr>
          <w:p>
            <w:pPr>
              <w:spacing w:after="0"/>
              <w:rPr>
                <w:sz w:val="1"/>
                <w:szCs w:val="1"/>
                <w:color w:val="auto"/>
              </w:rPr>
            </w:pPr>
          </w:p>
        </w:tc>
      </w:tr>
      <w:tr>
        <w:trPr>
          <w:trHeight w:val="148"/>
        </w:trPr>
        <w:tc>
          <w:tcPr>
            <w:tcW w:w="3500" w:type="dxa"/>
            <w:vAlign w:val="bottom"/>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297"/>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Vehicle and</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9"/>
              </w:rPr>
              <w:t>Contributions</w:t>
            </w:r>
          </w:p>
        </w:tc>
        <w:tc>
          <w:tcPr>
            <w:tcW w:w="86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Related Expenses</w:t>
            </w:r>
          </w:p>
        </w:tc>
        <w:tc>
          <w:tcPr>
            <w:tcW w:w="196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Reimbursements</w:t>
            </w: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J. Baker</w:t>
            </w: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Keefer M. Lehner</w:t>
            </w:r>
          </w:p>
        </w:tc>
        <w:tc>
          <w:tcPr>
            <w:tcW w:w="8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9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 Bouthillette</w:t>
            </w:r>
          </w:p>
        </w:tc>
        <w:tc>
          <w:tcPr>
            <w:tcW w:w="8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10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9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86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Lehner departed from the Company on January 7, 2026. In connection therewith, he did not receive any amounts attributable to the Non-Equity Incentive Plan Compensation column and his unvested shares of restricted stock were forfeited.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equity-based awards held by our NEOs as of December 31, 2025.</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520" w:type="dxa"/>
            <w:vAlign w:val="bottom"/>
            <w:gridSpan w:val="2"/>
            <w:vMerge w:val="restart"/>
          </w:tcPr>
          <w:p>
            <w:pPr>
              <w:jc w:val="center"/>
              <w:ind w:right="1148"/>
              <w:spacing w:after="0"/>
              <w:rPr>
                <w:sz w:val="20"/>
                <w:szCs w:val="20"/>
                <w:color w:val="auto"/>
              </w:rPr>
            </w:pPr>
            <w:r>
              <w:rPr>
                <w:rFonts w:ascii="Times New Roman" w:cs="Times New Roman" w:eastAsia="Times New Roman" w:hAnsi="Times New Roman"/>
                <w:sz w:val="14"/>
                <w:szCs w:val="14"/>
                <w:b w:val="1"/>
                <w:bCs w:val="1"/>
                <w:color w:val="auto"/>
              </w:rPr>
              <w:t>Number of Shares or</w:t>
            </w:r>
          </w:p>
        </w:tc>
        <w:tc>
          <w:tcPr>
            <w:tcW w:w="11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 Value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48"/>
        </w:trPr>
        <w:tc>
          <w:tcPr>
            <w:tcW w:w="364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spacing w:after="0"/>
              <w:rPr>
                <w:sz w:val="12"/>
                <w:szCs w:val="12"/>
                <w:color w:val="auto"/>
              </w:rPr>
            </w:pPr>
          </w:p>
        </w:tc>
        <w:tc>
          <w:tcPr>
            <w:tcW w:w="2520" w:type="dxa"/>
            <w:vAlign w:val="bottom"/>
            <w:gridSpan w:val="2"/>
          </w:tcPr>
          <w:p>
            <w:pPr>
              <w:jc w:val="center"/>
              <w:ind w:right="1148"/>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 That</w:t>
            </w: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 Have</w:t>
            </w: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Have Not Vested</w:t>
            </w:r>
          </w:p>
        </w:tc>
        <w:tc>
          <w:tcPr>
            <w:tcW w:w="1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Not Vested (3)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Christopher J. Baker</w:t>
            </w:r>
          </w:p>
        </w:tc>
        <w:tc>
          <w:tcPr>
            <w:tcW w:w="10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28,191(1)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240,055(2)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453,704</w:t>
            </w:r>
          </w:p>
        </w:tc>
        <w:tc>
          <w:tcPr>
            <w:tcW w:w="0" w:type="dxa"/>
            <w:vAlign w:val="bottom"/>
          </w:tcPr>
          <w:p>
            <w:pPr>
              <w:spacing w:after="0"/>
              <w:rPr>
                <w:sz w:val="1"/>
                <w:szCs w:val="1"/>
                <w:color w:val="auto"/>
              </w:rPr>
            </w:pPr>
          </w:p>
        </w:tc>
      </w:tr>
      <w:tr>
        <w:trPr>
          <w:trHeight w:val="198"/>
        </w:trPr>
        <w:tc>
          <w:tcPr>
            <w:tcW w:w="36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Keefer M. Lehner</w:t>
            </w:r>
          </w:p>
        </w:tc>
        <w:tc>
          <w:tcPr>
            <w:tcW w:w="3560" w:type="dxa"/>
            <w:vAlign w:val="bottom"/>
            <w:gridSpan w:val="3"/>
          </w:tcPr>
          <w:p>
            <w:pPr>
              <w:jc w:val="right"/>
              <w:ind w:right="948"/>
              <w:spacing w:after="0" w:line="198" w:lineRule="exact"/>
              <w:rPr>
                <w:sz w:val="20"/>
                <w:szCs w:val="20"/>
                <w:color w:val="auto"/>
              </w:rPr>
            </w:pPr>
            <w:r>
              <w:rPr>
                <w:rFonts w:ascii="Times New Roman" w:cs="Times New Roman" w:eastAsia="Times New Roman" w:hAnsi="Times New Roman"/>
                <w:sz w:val="18"/>
                <w:szCs w:val="18"/>
                <w:color w:val="auto"/>
              </w:rPr>
              <w:t>10,148(1)</w:t>
            </w:r>
          </w:p>
        </w:tc>
        <w:tc>
          <w:tcPr>
            <w:tcW w:w="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19,180</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356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94,306(2)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178,238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Max Bouthillette</w:t>
            </w:r>
          </w:p>
        </w:tc>
        <w:tc>
          <w:tcPr>
            <w:tcW w:w="3560" w:type="dxa"/>
            <w:vAlign w:val="bottom"/>
            <w:gridSpan w:val="3"/>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10,148(1)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19,180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jc w:val="right"/>
              <w:ind w:right="948"/>
              <w:spacing w:after="0"/>
              <w:rPr>
                <w:sz w:val="20"/>
                <w:szCs w:val="20"/>
                <w:color w:val="auto"/>
              </w:rPr>
            </w:pPr>
            <w:r>
              <w:rPr>
                <w:rFonts w:ascii="Times New Roman" w:cs="Times New Roman" w:eastAsia="Times New Roman" w:hAnsi="Times New Roman"/>
                <w:sz w:val="18"/>
                <w:szCs w:val="18"/>
                <w:color w:val="auto"/>
              </w:rPr>
              <w:t>94,306(2)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line="257"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outstanding unvested RSUs held by our NEOs as of December 31, 2025. For information on the terms and conditions of the RSUs, see “—Additional Narrative Disclosures—Equity Awards—Restricted Stock Units” below. In connection with the departure of Mr. Lehner from the Company on January 7, 2026, his unvested RSUs were forfeited.</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outstanding unvested shares of restricted stock held by our NEOs as of December 31, 2025. For information on the terms and conditions of the shares of restricted stock, see “—Additional Narrative Disclosures—Equity Awards—Restricted Stock” below. In connection with the departure of Mr. Lehner from the Company on January 7, 2026, his unvested shares of restricted stock were forfeited.</w:t>
      </w:r>
    </w:p>
    <w:p>
      <w:pPr>
        <w:spacing w:after="0" w:line="1" w:lineRule="exact"/>
        <w:rPr>
          <w:rFonts w:ascii="Times New Roman" w:cs="Times New Roman" w:eastAsia="Times New Roman" w:hAnsi="Times New Roman"/>
          <w:sz w:val="18"/>
          <w:szCs w:val="18"/>
          <w:color w:val="auto"/>
        </w:rPr>
      </w:pPr>
    </w:p>
    <w:p>
      <w:pPr>
        <w:ind w:left="540" w:right="700" w:hanging="424"/>
        <w:spacing w:after="0" w:line="26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aggregate market value of outstanding unvested RSUs or shares of restricted stock, as applicable, calculated using the value of a share of our common stock on December 31, 2025, which was $1.89.</w:t>
      </w:r>
    </w:p>
    <w:p>
      <w:pPr>
        <w:spacing w:after="0" w:line="3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ADDITIONAL NARRATIVE DISCLOSURES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NEO’s base salary is a fixed component of compensation for performing specific job duties and functions. Based on the peer company data provided by FWC, we concluded that our NEO base salaries for the 2024 year were within market norms, thus we did not approve any increases with respect to the 2025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Bonuses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Incentive Compensation Program</w:t>
      </w:r>
    </w:p>
    <w:p>
      <w:pPr>
        <w:spacing w:after="0" w:line="11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During the first quarter of 2025, our Board, based on the analysis provided by FWC and the recommendation of the Compensation Committee, established an Annual Incentive Compensation Program for the fiscal year 2025 for certain key personnel, including our NEOs, in order to recognize their contributions to our business. Under the Annual Incentive Compensation Program, we provided our NEOs with the opportunity to earn a cash incentive bonus for 2025 based on our performance as measured by the financial, safety and other performance metrics. For 2025, the target bonus award opportunities for each NEO was set at a pre-set percentage of his base salary for the 2025 year, as set forth below.</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As set forth in the table below, the performance metric chosen for 2025 were focused on Adjusted EBITDA and critical safety metrics. FWC recommended, and the Compensation Committee approved, maintaining an element of discretion in the Annual Incentive Compensation Program for our NEOs in order to provide the Compensation Committee the flexibility to respond to specific events that are relevant to each NEO’s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80"/>
          </w:cols>
          <w:pgMar w:left="320" w:top="482"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performance during the year. The Compensation Committee also determined that no portion of the award would be earned for any specific metric if the actual performance of that metric was below the pre-determined threshold level. Payouts for performance between threshold, target and maximum were set to be calculated using straight line interpolation, but notwithstanding the achievement attained with respect to any individual metric or the strategic goals, the overall payment amount was capped at 200% of each NEO’s target incentive award.</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Achieved</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Sub-</w:t>
            </w:r>
          </w:p>
        </w:tc>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2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as a</w:t>
            </w:r>
          </w:p>
        </w:tc>
        <w:tc>
          <w:tcPr>
            <w:tcW w:w="0" w:type="dxa"/>
            <w:vAlign w:val="bottom"/>
          </w:tcPr>
          <w:p>
            <w:pPr>
              <w:spacing w:after="0"/>
              <w:rPr>
                <w:sz w:val="1"/>
                <w:szCs w:val="1"/>
                <w:color w:val="auto"/>
              </w:rPr>
            </w:pPr>
          </w:p>
        </w:tc>
      </w:tr>
      <w:tr>
        <w:trPr>
          <w:trHeight w:val="148"/>
        </w:trPr>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92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900" w:type="dxa"/>
            <w:vAlign w:val="bottom"/>
            <w:gridSpan w:val="2"/>
            <w:vMerge w:val="continue"/>
          </w:tcPr>
          <w:p>
            <w:pPr>
              <w:spacing w:after="0"/>
              <w:rPr>
                <w:sz w:val="12"/>
                <w:szCs w:val="12"/>
                <w:color w:val="auto"/>
              </w:rPr>
            </w:pPr>
          </w:p>
        </w:tc>
        <w:tc>
          <w:tcPr>
            <w:tcW w:w="36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000" w:type="dxa"/>
            <w:vAlign w:val="bottom"/>
            <w:gridSpan w:val="2"/>
            <w:vMerge w:val="continue"/>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2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8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Weighting</w:t>
            </w:r>
          </w:p>
        </w:tc>
        <w:tc>
          <w:tcPr>
            <w:tcW w:w="3660" w:type="dxa"/>
            <w:vAlign w:val="bottom"/>
            <w:gridSpan w:val="2"/>
            <w:vMerge w:val="continue"/>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(50% Payout)</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(5)</w:t>
            </w:r>
          </w:p>
        </w:tc>
        <w:tc>
          <w:tcPr>
            <w:tcW w:w="10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of Target</w:t>
            </w:r>
          </w:p>
        </w:tc>
        <w:tc>
          <w:tcPr>
            <w:tcW w:w="0" w:type="dxa"/>
            <w:vAlign w:val="bottom"/>
          </w:tcPr>
          <w:p>
            <w:pPr>
              <w:spacing w:after="0"/>
              <w:rPr>
                <w:sz w:val="1"/>
                <w:szCs w:val="1"/>
                <w:color w:val="auto"/>
              </w:rPr>
            </w:pPr>
          </w:p>
        </w:tc>
      </w:tr>
      <w:tr>
        <w:trPr>
          <w:trHeight w:val="209"/>
        </w:trPr>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Adjusted EBITDA Less Net Capex (1)</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42,053</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$60,075</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$ 75,094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98"/>
        </w:trPr>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3.33%</w:t>
            </w:r>
          </w:p>
        </w:tc>
        <w:tc>
          <w:tcPr>
            <w:tcW w:w="366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Trailing 12-month TRIR (2)</w:t>
            </w:r>
          </w:p>
        </w:tc>
        <w:tc>
          <w:tcPr>
            <w:tcW w:w="100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.99</w:t>
            </w:r>
          </w:p>
        </w:tc>
        <w:tc>
          <w:tcPr>
            <w:tcW w:w="7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.76</w:t>
            </w:r>
          </w:p>
        </w:tc>
        <w:tc>
          <w:tcPr>
            <w:tcW w:w="80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.91</w:t>
            </w:r>
          </w:p>
        </w:tc>
        <w:tc>
          <w:tcPr>
            <w:tcW w:w="10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Safety</w:t>
            </w:r>
          </w:p>
        </w:tc>
        <w:tc>
          <w:tcPr>
            <w:tcW w:w="9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3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Trailing 12-month LTIR (3)</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w:t>
            </w:r>
          </w:p>
        </w:tc>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2025 TMVIR (4)</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w:t>
            </w:r>
          </w:p>
        </w:tc>
        <w:tc>
          <w:tcPr>
            <w:tcW w:w="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Board/Management Discretion of Strategic Goals</w:t>
            </w:r>
          </w:p>
        </w:tc>
        <w:tc>
          <w:tcPr>
            <w:tcW w:w="2520" w:type="dxa"/>
            <w:vAlign w:val="bottom"/>
            <w:gridSpan w:val="6"/>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Discretionary</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0" w:hanging="424"/>
        <w:spacing w:after="0" w:line="253"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“Adjusted EBITDA” as net earnings (loss) before interest, taxes, depreciation and amortization, further adjusted for (i)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 See “Appendix A” for further detail. Net Capex is defined as the capital expenditures of the Company less asset sales, pursuant to the Company’s consolidated statements of cash flows for the year ended December 31, 2025. The Board retains the right to make exclusions as deemed necessary or appropriate for the year to the Net Capex adjustments.</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“TRIR” means the total recordable incident rate.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“LTIR” means lost time incident rate.</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“TMVIR” means total motor vehicle incident rating.</w:t>
      </w:r>
    </w:p>
    <w:p>
      <w:pPr>
        <w:spacing w:after="0" w:line="9"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Board exercised its discretion to exclude the impact of asset sales linked to the fleet refresh, which caused the result as adjusted to fall below the 50% payout threshold for this metric.</w:t>
      </w:r>
    </w:p>
    <w:p>
      <w:pPr>
        <w:spacing w:after="0" w:line="18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strategic goals that the Board set for the 2025 year were based upon the Company’s refinancing of 11.500% senior secured notes due 2025. Following the end of the 2025 year, the Board reviewed these strategic goals and determined that each NEO met the strategic goals at a level that would pay out 150% of the original 20% potential bonus portion, recognizing the collaborative team effort utilized to successfully complete those goals in 2025. Based on the strategic goal decisions, and the Company’s performance for the financial and safety measures set out above, our NEOs earned the following amounts under the Incentive Compensation Program, which were paid during the first quarter of 2026:</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2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Annual Bonus Target as a</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Annual Bonus Target</w:t>
            </w:r>
          </w:p>
        </w:tc>
      </w:tr>
      <w:tr>
        <w:trPr>
          <w:trHeight w:val="173"/>
        </w:trPr>
        <w:tc>
          <w:tcPr>
            <w:tcW w:w="28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2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Percentage of Salary</w:t>
            </w:r>
          </w:p>
        </w:tc>
        <w:tc>
          <w:tcPr>
            <w:tcW w:w="13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Christopher J. Baker</w:t>
            </w:r>
          </w:p>
        </w:tc>
        <w:tc>
          <w:tcPr>
            <w:tcW w:w="13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$638,820</w:t>
            </w: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Keefer M. Lehner</w:t>
            </w:r>
          </w:p>
        </w:tc>
        <w:tc>
          <w:tcPr>
            <w:tcW w:w="296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tcPr>
          <w:p>
            <w:pPr>
              <w:spacing w:after="0"/>
              <w:rPr>
                <w:sz w:val="18"/>
                <w:szCs w:val="18"/>
                <w:color w:val="auto"/>
              </w:rPr>
            </w:pP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$349,440</w:t>
            </w: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Max Bouthillette</w:t>
            </w:r>
          </w:p>
        </w:tc>
        <w:tc>
          <w:tcPr>
            <w:tcW w:w="2960" w:type="dxa"/>
            <w:vAlign w:val="bottom"/>
            <w:gridSpan w:val="2"/>
            <w:shd w:val="clear" w:color="auto" w:fill="CCEEFF"/>
          </w:tcPr>
          <w:p>
            <w:pPr>
              <w:jc w:val="right"/>
              <w:ind w:right="322"/>
              <w:spacing w:after="0"/>
              <w:rPr>
                <w:sz w:val="20"/>
                <w:szCs w:val="20"/>
                <w:color w:val="auto"/>
              </w:rPr>
            </w:pPr>
            <w:r>
              <w:rPr>
                <w:rFonts w:ascii="Times New Roman" w:cs="Times New Roman" w:eastAsia="Times New Roman" w:hAnsi="Times New Roman"/>
                <w:sz w:val="18"/>
                <w:szCs w:val="18"/>
                <w:color w:val="auto"/>
              </w:rPr>
              <w:t>80%</w:t>
            </w:r>
          </w:p>
        </w:tc>
        <w:tc>
          <w:tcPr>
            <w:tcW w:w="1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$305,760</w:t>
            </w:r>
          </w:p>
        </w:tc>
      </w:tr>
      <w:tr>
        <w:trPr>
          <w:trHeight w:val="365"/>
        </w:trPr>
        <w:tc>
          <w:tcPr>
            <w:tcW w:w="2860" w:type="dxa"/>
            <w:vAlign w:val="bottom"/>
          </w:tcPr>
          <w:p>
            <w:pPr>
              <w:spacing w:after="0"/>
              <w:rPr>
                <w:sz w:val="24"/>
                <w:szCs w:val="24"/>
                <w:color w:val="auto"/>
              </w:rPr>
            </w:pPr>
          </w:p>
        </w:tc>
        <w:tc>
          <w:tcPr>
            <w:tcW w:w="2960" w:type="dxa"/>
            <w:vAlign w:val="bottom"/>
            <w:gridSpan w:val="2"/>
          </w:tcPr>
          <w:p>
            <w:pPr>
              <w:jc w:val="right"/>
              <w:ind w:right="1462"/>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21"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color w:val="auto"/>
        </w:rPr>
        <w:t>In 2025, following recommendations by FWC and the Compensation Committee, our Board granted to our NEOs time-based RSUs, which represent the right to receive shares of our common stock following the applicable vesting periods and subject to continued employment. As part of the annual compensation setting process, the Compensation Committee considers the use of other forms of equity awards, including performance-based awards, and in 2025 ultimately determined to continue the use of time-based restricted stock awards subject to a three-year ratable vesting schedule.</w:t>
      </w:r>
    </w:p>
    <w:p>
      <w:pPr>
        <w:spacing w:after="0" w:line="16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When the 2025 compensation program for the NEOs was set in January 2025, the Board initially determined that the target grant date value of the 2025 long-term incentive awards for the NEOs should be held flat to the 2024 grant date value, which had been set at approximately 34%, 41% and 58% of peers based on market data. However, given the depressed stock price at the time of grant in 2025, the long-term incentive awards ultimately approved by the Board were based on the same number of RSUs granted in 2024, resulting in a grant date value that was approximately 43.9% less that initially set.</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On February 9, 2023, each of our NEOs were granted an award of RSUs under the LTIP. Each award vested in three equal installments on February 9, 2024, February 9, 2025 and February 9, 2026, subject to continued employment on each applicable vesting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Mr. Baker held 28,191 RSUs. Such RSUs vested in full on February 9, 2026.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Mr. Lehner held 10,148 RSUs. Such RSUs vested in full on February 9, 2026.</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Mr. Bouthillette held 10,148 RSUs. Such RSUs vested in full on February 9, 2026.</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February 1, 2025, each of our NEOs were granted an award of restricted stock under the LTIP. Each award vested or will vest in three equal installments on February 1, 2026, February 1, 2027 and February 1, 2028, subject to continued employment on each applicable vesting date.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Mr. Baker held 240,055 shares of restricted stock, of which (i) 96,022 shares relate to an award that vested or will vest in two equal installments on each of February 1, 2026 and February 1, 2027 and (ii) 144,033 shares relate to an award that vested or will vest in three equal installments on each of February 1, 2026, February 1, 2027 and February 1, 2028.</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Mr. Lehner held 94,306 shares of restricted stock, of which (i) 37,722 shares relate to an award that vested or will vest in two substantially equal installments on each of February 1, 2026 and February 1, 2027 and (ii) 56,584 shares relate to an award that vested or will vest in three substantially equal installments on each of February 1, 2026, February 1, 2027 and February 1, 2028.</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Mr. Bouthillette held 94,306 shares of restricted stock, of which (i) 37,722 shares relate to an award that vested or will vest in two substantially equal installments on each of February 1, 2026 and February 1, 2027 and (ii) 56,584 shares relate to an award that vested or will vest in three substantially equal installments on each of February 1, 2026, February 1, 2027 and February 1, 2028.</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 in Relation to the Release of Material Non-Public Information</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currently grant stock options or option-like equity awards to our executive officers, employees or directors, therefore we do not currently have a formal practice or policy with respect to the grant of stock options or option-like awards. During 2025, we did not time the disclosure of material nonpublic information to affect the value of executive compensation awards granted to our executive officers, employees or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Each of the NEOs entered into employment agreements with KLXE on May 3, 2020, effective as of the effective time of the QES Merger, on substantially similar terms as their prior employment agreements with QES. Each employment agreement generally provides for a three-year term beginning at the effective time of the QES Merger, with automatic renewals for successive one-year periods thereafter, and amended to the date hereof. Each employment agreement generally outlines the executive officer’s duties and positions and provides for (i) an annualized base salary, (ii) a target annual bonus equal to 100% of base salary for Mr. Baker, 80% for Mr. Lehner and 80% for Mr. Bouthillette, (iii) eligibility to participate in any equity compensation arrangements or plans offered to senior executives, (iv) an automobile allowance of $1,400 per month and (v) entitlement to benefits made generally available by KLXE to other senior executives.</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Each employment agreement provides for the following benefits upon a termination of the executive officer’s employment by KLXE without cause, resignation by the executive officer for good reason, or due to disability: (i) the pro-rata value through the date of termination of the executive officer’s target bonus for the year in which the termination occurs, (ii) a lump sum payment equal to (A) for Mr. Baker, two times Mr. Baker’s base salary or (B) for Messrs. Lehner and Bouthillette, one and one-half times the executive officer’s base salary, (iii) an amount equal to (A) for Mr. Baker, two times Mr. Baker’s target bonus for the year in which the termination occurs or (B) for Messrs. Lehner and Bouthillette, one and one-half times the executive officer’s target bonus for the year in which the termination occurs and (iv) for a period of 18 months following such termination, reimbursement of premiums paid by the executive pursuant to the Consolidated Omnibus Budget Reconciliation Act of 1985 to continue coverage in KLXE’s health, dental and vision insurance plans in which the executive and/or his dependents participated immediately prior to the termination (the “COBRA Premium”).</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each employment agreement, if the executive officer’s employment is terminated for good reason or without cause within 12 months of a change in control, which includes the consummation of the QES Merger, then, in lieu of the severance benefits described in the preceding paragraph, the executive officer will be entitled to receive: (i) the pro-rata value through the date of termination of the executive officer’s target bonus for the year in which the termination occurs, (ii) a lump sum payment equal to (A) for Mr. Baker, two and one-half times Mr. Baker’s base salary or (B) for Messrs. Lehner and Bouthillette, two times the executive officer’s base salary, (iii) an amount equal to (A) for Mr. Baker, two and one-half times Mr. Baker’s target bonus for the year in which the termination occurs or (B) for Messrs. Lehner and Bouthillette, two times the executive officer’s target bonus for the year in which the termination occurs, and (iv) for a period of 18 months following such termination, reimbursement of the COBRA Premium.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Each employment agreement also contains certain restrictive covenants, including provisions that generally prohibit the executive officer from competing with KLXE and its affiliates or soliciting clients, executives, officers, directors or other employees of KLXE and its affiliates. These restrictions generally apply during the term of the executive officer’s employment and for a period of one year following the termination of such employment.</w:t>
      </w:r>
    </w:p>
    <w:p>
      <w:pPr>
        <w:spacing w:after="0" w:line="18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employment agreements do not provide a tax gross-up provision for federal excise taxes that may be imposed under Section 4999 of the Internal Revenue Code of 1986, as amended (the “Code”). Instead, if the payments and benefits provided to an executive officer constitute “parachute payments” within the meaning of Section 280G of the Code and are subject to the excise tax imposed by Section 4999 of the Code, then the payments and benefits will be either (i) delivered in full or (ii) delivered to such lesser extent as would result in no portion of such amounts being subject to such excise tax, whichever alternative produces the best net after tax position for the executive officer. In connection with the departure of Mr. Lehner from the Company on January 7, 2026, his employment agreements with KLXE was terminated.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offer participation in broad-based retirement, health and welfare plans to all of our employees. We maintain a plan intended to provide benefits under section 401(k) of the Code, where employees are allowed to contribute portions of their base compensation into a retirement account in order to encourage all employees, including any participating NEOs, to save for the future. We provide matching contributions equal to 3% of the first 6% of each employee’s eligible compensation contributed to the plan.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2023, we adopted the KLX Energy Services Holdings, Inc. Incentive-Based Compensation Recoupment Policy (the “Clawback Policy”). The Clawback Policy is intended to comply with the requirements of Section 10D of the Exchange Act and Rule 5608 of the Nasdaq Rulebook. Under the terms of the Clawback Policy, in the event of a restatement of our financial statements due to material non-compliance with any financial reporting requirement under applicable securities laws, the Compensation Committee shall take reasonably prompt action to cause the Company to recover from any “covered person” the amount of any incentive compensation granted, earned or paid within the three preceding completed fiscal years, to the extent the value of such compensation was in excess of the amount of incentive compensation that would have been granted, earned or vested had the financial statements been in compliance with the financial reporting requirements. Each executive officer, including our NEOs and former executive officers, are considered “covered persons” for purposes of the Clawback Policy. Incentive-based compensation is not subject to the Clawback Policy if it is received (i) prior to the date a covered executive becomes an executive officer or (ii) prior to October 2, 2023.</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 Policy</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have adopted the Stock Ownership Policy, effective as of October 30, 2025, that requires our executive officers and directors to own and hold a minimum number of shares of KLXE common stock, determined based on the annual base salary or the annual cash retainer, as applicable, of such individual. With respect to our NEOs, each individual must hold a number of shares that is at least two times (or three times in the case of the CEO) the value the individual’s base salary, calculated by multiplying the number of shares owned by such individual by the average closing price of the Company’s common stock for the 20 trading days immediately preceding the calculation. Shares deemed to be owned by the NEOs for this calculation will not include stock options (vested or unvested) or unearned performance-based equity awards, but it will include time-based restricted stock units and any shares held directly by the NEOs or the spouses of the NEOs. Each NEO must satisfy this ownership requirement within a five-year period of becoming subject to the policy, but during the period of time prior to compliance, each NEO will be required to retain 50% of all shares received in connection with the settlement of equity compensation awards. If the stock ownership requirement is not met by the fifth year allowed for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compliance, 100% of all shares received upon the settlement of equity compensation awards must be retained. The Compensation Committee is responsible for monitoring the compliance of the Company executives and non-employee directors with the Stock Ownership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Anti-Hedging and Pledging Policy</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prohibit our directors and executive officers from engaging in short sales of our securities, selling or purchasing puts or calls, trading in or writing options, or engaging in other hedging activities with respect to our securities. Our directors and executive officers are also prohibited from holding Company securities in a margin account or pledging our securities as collateral for a loan, unless pre-clearance is obtained after such individual clearly demonstrates the financial capability to repay the loan without resorting to the pledged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Assessment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With the assistance of FWC, the Compensation Committee reviewed our executive compensation practices and policies and determined that such practices or policies do not encourage excessive or unnecessary risk-taking and are not likely to have a material adverse effect on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2026 Compensation Decisions</w:t>
      </w:r>
    </w:p>
    <w:p>
      <w:pPr>
        <w:spacing w:after="0" w:line="121"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As previously discussed, following the 2025 say-on-pay vote on executive compensation, the Board, led by the Compensation Committee, undertook immediate actions to conduct a fresh review of our executive compensation program. We specifically discussed our long-term equity-based incentive program with our stockholders, and determined that it was in the best interest of our stockholders to introduce a second type of RSUs that is focused on the performance-based nature of awards that vest exclusively upon a long-term vesting schedule. In addition to the historical three-year vesting award granted in 2025, in 2026 the Board determined that the equity program for executive officers would include a five-year installment vesting restricted stock unit award, which may be settled in cash or stock at the end of the vesting periods.</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176"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 for the fiscal years listed below.</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Value of Initial</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20" w:type="dxa"/>
            <w:vAlign w:val="bottom"/>
            <w:gridSpan w:val="2"/>
            <w:vMerge w:val="continue"/>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w:t>
            </w: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3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0" w:type="dxa"/>
            <w:vAlign w:val="bottom"/>
            <w:gridSpan w:val="2"/>
            <w:vMerge w:val="continue"/>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5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On Total</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880" w:type="dxa"/>
            <w:vAlign w:val="bottom"/>
            <w:vMerge w:val="restart"/>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5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 (in</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30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for PEO (1)</w:t>
            </w:r>
          </w:p>
        </w:tc>
        <w:tc>
          <w:tcPr>
            <w:tcW w:w="14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PEO (1) (2) (3)</w:t>
            </w:r>
          </w:p>
        </w:tc>
        <w:tc>
          <w:tcPr>
            <w:tcW w:w="13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PEO NEOs (1)</w:t>
            </w:r>
          </w:p>
        </w:tc>
        <w:tc>
          <w:tcPr>
            <w:tcW w:w="142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NEOs (1) (2) (3)</w:t>
            </w:r>
          </w:p>
        </w:tc>
        <w:tc>
          <w:tcPr>
            <w:tcW w:w="15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Return</w:t>
            </w:r>
          </w:p>
        </w:tc>
        <w:tc>
          <w:tcPr>
            <w:tcW w:w="8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92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6"/>
              </w:rPr>
              <w:t>$1,715,996</w:t>
            </w:r>
          </w:p>
        </w:tc>
        <w:tc>
          <w:tcPr>
            <w:tcW w:w="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$864,057</w:t>
            </w: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$810,452</w:t>
            </w:r>
          </w:p>
        </w:tc>
        <w:tc>
          <w:tcPr>
            <w:tcW w:w="3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$478,056</w:t>
            </w:r>
          </w:p>
        </w:tc>
        <w:tc>
          <w:tcPr>
            <w:tcW w:w="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$10.92</w:t>
            </w: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$2,829,189</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$1,244,460</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$1,383,646</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$799,419</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$28.77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$2,302,588</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$1,224,469</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$1,133,610</w:t>
            </w: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$739,298</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$65.05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480" w:hanging="424"/>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year shown, the PEO reflected in these columns represents Christopher J. Baker and the non-PEO NEOs reflected in these columns represent Keefer M. Lehner and Max L. Bouthillette.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424"/>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supplemental tables present a reconciliation of Mr. Baker’s and the non-PEO NEOs’ “Summary Compensation Table” totals to the “compensation actually paid” for the applicable year, computed in accordance with Item 402(v) of Regulation S-K. As Mr. Baker and the non-PEO NEOs do not participate in any defined benefit plans, no adjustments were required to amounts reported in the Summary Compensation Table totals related to the value of benefits under such plans.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PEO Reconciliation</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Equity Award Adjustments</w:t>
            </w: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End Fair</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10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Earnings Paid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 in</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0" w:type="dxa"/>
            <w:vAlign w:val="bottom"/>
          </w:tcPr>
          <w:p>
            <w:pPr>
              <w:spacing w:after="0"/>
              <w:rPr>
                <w:sz w:val="12"/>
                <w:szCs w:val="12"/>
                <w:color w:val="auto"/>
              </w:rPr>
            </w:pPr>
          </w:p>
        </w:tc>
        <w:tc>
          <w:tcPr>
            <w:tcW w:w="10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on Stock</w:t>
            </w:r>
          </w:p>
        </w:tc>
        <w:tc>
          <w:tcPr>
            <w:tcW w:w="20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that are</w:t>
            </w:r>
          </w:p>
        </w:tc>
        <w:tc>
          <w:tcPr>
            <w:tcW w:w="120" w:type="dxa"/>
            <w:vAlign w:val="bottom"/>
          </w:tcPr>
          <w:p>
            <w:pPr>
              <w:spacing w:after="0"/>
              <w:rPr>
                <w:sz w:val="12"/>
                <w:szCs w:val="12"/>
                <w:color w:val="auto"/>
              </w:rPr>
            </w:pPr>
          </w:p>
        </w:tc>
        <w:tc>
          <w:tcPr>
            <w:tcW w:w="100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6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2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Unvested at</w:t>
            </w:r>
          </w:p>
        </w:tc>
        <w:tc>
          <w:tcPr>
            <w:tcW w:w="120" w:type="dxa"/>
            <w:vAlign w:val="bottom"/>
          </w:tcPr>
          <w:p>
            <w:pPr>
              <w:spacing w:after="0"/>
              <w:rPr>
                <w:sz w:val="12"/>
                <w:szCs w:val="12"/>
                <w:color w:val="auto"/>
              </w:rPr>
            </w:pPr>
          </w:p>
        </w:tc>
        <w:tc>
          <w:tcPr>
            <w:tcW w:w="10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in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8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36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2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Year End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Reflected</w:t>
            </w: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260" w:type="dxa"/>
            <w:vAlign w:val="bottom"/>
            <w:gridSpan w:val="4"/>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4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ind w:right="122"/>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$ 1,715,996</w:t>
            </w: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(761,935)</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272,222</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$(383,815)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21,589</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864,057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3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Non-PEO NEO Reconciliation</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0"/>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Equity Award Adjustments</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4"/>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12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1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4"/>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 Fair</w:t>
            </w:r>
          </w:p>
        </w:tc>
        <w:tc>
          <w:tcPr>
            <w:tcW w:w="1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1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2"/>
                <w:szCs w:val="12"/>
                <w:color w:val="auto"/>
              </w:rPr>
            </w:pPr>
          </w:p>
        </w:tc>
        <w:tc>
          <w:tcPr>
            <w:tcW w:w="130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00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40" w:type="dxa"/>
            <w:vAlign w:val="bottom"/>
          </w:tcPr>
          <w:p>
            <w:pPr>
              <w:spacing w:after="0"/>
              <w:rPr>
                <w:sz w:val="12"/>
                <w:szCs w:val="12"/>
                <w:color w:val="auto"/>
              </w:rPr>
            </w:pPr>
          </w:p>
        </w:tc>
        <w:tc>
          <w:tcPr>
            <w:tcW w:w="13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0" w:type="dxa"/>
            <w:vAlign w:val="bottom"/>
          </w:tcPr>
          <w:p>
            <w:pPr>
              <w:spacing w:after="0"/>
              <w:rPr>
                <w:sz w:val="12"/>
                <w:szCs w:val="12"/>
                <w:color w:val="auto"/>
              </w:rPr>
            </w:pPr>
          </w:p>
        </w:tc>
        <w:tc>
          <w:tcPr>
            <w:tcW w:w="100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2"/>
                <w:szCs w:val="12"/>
                <w:color w:val="auto"/>
              </w:rPr>
            </w:pPr>
          </w:p>
        </w:tc>
        <w:tc>
          <w:tcPr>
            <w:tcW w:w="1300" w:type="dxa"/>
            <w:vAlign w:val="bottom"/>
            <w:gridSpan w:val="5"/>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Earnings Paid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3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Reported in</w:t>
            </w:r>
          </w:p>
        </w:tc>
        <w:tc>
          <w:tcPr>
            <w:tcW w:w="40" w:type="dxa"/>
            <w:vAlign w:val="bottom"/>
          </w:tcPr>
          <w:p>
            <w:pPr>
              <w:spacing w:after="0"/>
              <w:rPr>
                <w:sz w:val="12"/>
                <w:szCs w:val="12"/>
                <w:color w:val="auto"/>
              </w:rPr>
            </w:pPr>
          </w:p>
        </w:tc>
        <w:tc>
          <w:tcPr>
            <w:tcW w:w="13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1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on Stock</w:t>
            </w:r>
          </w:p>
        </w:tc>
        <w:tc>
          <w:tcPr>
            <w:tcW w:w="20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40" w:type="dxa"/>
            <w:vAlign w:val="bottom"/>
          </w:tcPr>
          <w:p>
            <w:pPr>
              <w:spacing w:after="0"/>
              <w:rPr>
                <w:sz w:val="12"/>
                <w:szCs w:val="12"/>
                <w:color w:val="auto"/>
              </w:rPr>
            </w:pPr>
          </w:p>
        </w:tc>
        <w:tc>
          <w:tcPr>
            <w:tcW w:w="132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that are</w:t>
            </w:r>
          </w:p>
        </w:tc>
        <w:tc>
          <w:tcPr>
            <w:tcW w:w="11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0" w:type="dxa"/>
            <w:vAlign w:val="bottom"/>
          </w:tcPr>
          <w:p>
            <w:pPr>
              <w:spacing w:after="0"/>
              <w:rPr>
                <w:sz w:val="12"/>
                <w:szCs w:val="12"/>
                <w:color w:val="auto"/>
              </w:rPr>
            </w:pPr>
          </w:p>
        </w:tc>
        <w:tc>
          <w:tcPr>
            <w:tcW w:w="132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Unvested at</w:t>
            </w:r>
          </w:p>
        </w:tc>
        <w:tc>
          <w:tcPr>
            <w:tcW w:w="11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in</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9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80" w:type="dxa"/>
            <w:vAlign w:val="bottom"/>
            <w:vMerge w:val="restart"/>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34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40" w:type="dxa"/>
            <w:vAlign w:val="bottom"/>
          </w:tcPr>
          <w:p>
            <w:pPr>
              <w:spacing w:after="0"/>
              <w:rPr>
                <w:sz w:val="12"/>
                <w:szCs w:val="12"/>
                <w:color w:val="auto"/>
              </w:rPr>
            </w:pPr>
          </w:p>
        </w:tc>
        <w:tc>
          <w:tcPr>
            <w:tcW w:w="132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24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Year End</w:t>
            </w:r>
          </w:p>
        </w:tc>
        <w:tc>
          <w:tcPr>
            <w:tcW w:w="120" w:type="dxa"/>
            <w:vAlign w:val="bottom"/>
          </w:tcPr>
          <w:p>
            <w:pPr>
              <w:spacing w:after="0"/>
              <w:rPr>
                <w:sz w:val="12"/>
                <w:szCs w:val="12"/>
                <w:color w:val="auto"/>
              </w:rPr>
            </w:pPr>
          </w:p>
        </w:tc>
        <w:tc>
          <w:tcPr>
            <w:tcW w:w="100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Reflected</w:t>
            </w:r>
          </w:p>
        </w:tc>
        <w:tc>
          <w:tcPr>
            <w:tcW w:w="9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840" w:type="dxa"/>
            <w:vAlign w:val="bottom"/>
            <w:gridSpan w:val="3"/>
          </w:tcPr>
          <w:p>
            <w:pPr>
              <w:jc w:val="right"/>
              <w:ind w:right="284"/>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900" w:type="dxa"/>
            <w:vAlign w:val="bottom"/>
            <w:gridSpan w:val="2"/>
          </w:tcPr>
          <w:p>
            <w:pPr>
              <w:jc w:val="right"/>
              <w:ind w:right="286"/>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right"/>
              <w:ind w:right="28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4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164"/>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8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ind w:right="122"/>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810,452</w:t>
            </w:r>
          </w:p>
        </w:tc>
        <w:tc>
          <w:tcPr>
            <w:tcW w:w="4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(299,329)</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106,944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$(147,918)</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7,907</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478,056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valuation assumptions for calculating “compensation actually paid” are not materially different from grant date valuation assumptions.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Pay Versus Performance Table</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PEO’s and other NEO’s “compensation actually paid” generally align with the Company’s total shareholder return over the three years presented in the table. This is primarily because a significant portion of the “compensation actually paid” to the PEO and other NEOs is comprised of equity-based awards. The PEO’s and other NEO’s “compensation actually paid” is not significantly impacted by the Company’s net income. While net income is not directly used in determining compensation levels or equity-based award payouts, it is a factor in the determination of performance achievement under the Company’s incentive compensation program.</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420"/>
        <w:spacing w:after="0" w:line="286" w:lineRule="auto"/>
        <w:rPr>
          <w:sz w:val="20"/>
          <w:szCs w:val="20"/>
          <w:color w:val="auto"/>
        </w:rPr>
      </w:pPr>
      <w:r>
        <w:rPr>
          <w:rFonts w:ascii="Times New Roman" w:cs="Times New Roman" w:eastAsia="Times New Roman" w:hAnsi="Times New Roman"/>
          <w:sz w:val="18"/>
          <w:szCs w:val="18"/>
          <w:b w:val="1"/>
          <w:bCs w:val="1"/>
          <w:color w:val="auto"/>
        </w:rPr>
        <w:t>PROPOSAL 4: AMENDMENT TO THE COMPANY’S AMENDED AND RESTATED CERTIFICATE OF INCORPORATION TO ELIMINATE THE SUPERMAJORITY VOTING REQUIREMENT TO AMEND THE COMPANY’S BYLAWS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affirmative vote of the holders of at least sixty-six and two-thirds percent (66 2/3%) of the outstanding shares of stock of the Company, voting as a single class, shall be required to effect the amendment, repeal or adoption by the stockholders of any bylaw adopted or amended by the Board (the “Bylaw Supermajority Voting Requirement”). The Bylaw Supermajority Amendment will eliminate the Bylaw Supermajority Voting Requirement. The Board has unanimously approved the Bylaw Supermajority Amendment, subject to stockholder approval. The Board has unanimously determined that the Bylaw Supermajority Amendment is advisable and in the best interests of the Company and our stockholders, and, in accordance with the DGCL, hereby seeks approval of the Bylaw Supermajority Amendment by our stockholders. We have submitted this proposal every year since the 2023 Annual Meeting of Stockholders.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Bylaw Supermajority Amendment</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Board is asking our stockholders to approve the amendment to Article IX of our Amended and Restated Certificate of Incorporation. The text of the Bylaw Supermajority Amendment is attached hereto as Appendix C, with additions marked with bold, underlined text and deletions indicated by strike-out text.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Supermajority Amendments</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The Nominating and Corporate Governance Committee of our Board regularly considers a broad range of corporate governance issues and is committed to adopting governance practices that are beneficial to the Company and our stockholders. The elimination of the Bylaw Supermajority Voting Requirement and the Charter Supermajority Voting Requirement (defined below; together, the “Supermajority Voting Requirements”) in corporate governance documents is increasingly considered an important aspect of good corporate governance and a concern to many of our investors.</w:t>
      </w:r>
    </w:p>
    <w:p>
      <w:pPr>
        <w:spacing w:after="0" w:line="164"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Board implemented the current Supermajority Voting Requirements because it believed such thresholds were an important piece of the Company’s governance structure in order to promote continuity and stability and were in the best interests of the Company and its stockholders. The Board also believed that such supermajority voting thresholds enhanced the independence of our directors from special interests and protected the Company from unfair and abusive takeover practices.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Board recognizes that removing the Supermajority Voting Requirements is consistent with generally held views of evolving corporate governance practices. Our Board has listened to the views of stockholders and the investor community on this issue and has also considered the limited benefits of the Supermajority Voting Requirements to the Company and its stockholders. In addition, our Board acknowledges that many other public companies have transitioned away from these kinds of supermajority voting provisions. The Board has also considered the fact that removing the Supermajority Voting Requirements will make future amendment of aspects of our Amended and Restated Certificate of Incorporation possible with the affirmative votes of fewer stockholders. In view of these considerations, our Board has unanimously determined to eliminate the Supermajority Voting Requirements as proposed.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Effectiveness of the Bylaw Supermajority Amendment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Bylaw Supermajority Amendment is approved by our stockholders, the Bylaw Supermajority Amendment will become effective upon the filing of a Second Amended and Restated Certificate of Incorporation with the Delaware Secretary of State, which filing is expected to occur as soon as reasonably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practicable after the Annual Meeting. If the Bylaw Supermajority Amendment is not approved by our stockholders, the Amended and Restated Certificate of Incorporation will not be amended, and the Bylaw Supermajority Voting Requirement will remain in effect.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121"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Approval of the Bylaw Supermajority Amendment requires the affirmative vote of 66 2/3% in voting power of the outstanding voting stock of the Company, voting together as a single class. As a result, abstentions and broker non-votes will have the same effect as a vote “AGAINST” this proposal.</w:t>
      </w:r>
    </w:p>
    <w:p>
      <w:pPr>
        <w:spacing w:after="0" w:line="14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This Proposal 4 is separate from, and is not conditioned on, the approval of Proposal 1 (the Declassification Amendment) or Proposal 5 (the Charter Supermajority Amendment). Your votes on Proposals 1 and 5 do not affect your vote on Proposal 4. You can vote FOR, AGAINST, or ABSTAIN from voting on any of these proposals.</w:t>
      </w:r>
    </w:p>
    <w:p>
      <w:pPr>
        <w:spacing w:after="0" w:line="172" w:lineRule="exact"/>
        <w:rPr>
          <w:sz w:val="20"/>
          <w:szCs w:val="20"/>
          <w:color w:val="auto"/>
        </w:rPr>
      </w:pPr>
    </w:p>
    <w:p>
      <w:pPr>
        <w:jc w:val="center"/>
        <w:ind w:left="500"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THE PROPOSED AMENDMENT TO THE AMENDED AND RESTATED CERTIFICATE OF INCORPORATION TO ELIMINATE THE SUPERMAJORITY VOTING REQUIREMENT TO AMEND THE COMPANY’S BYLAWS.</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60"/>
          </w:cols>
          <w:pgMar w:left="320" w:top="482"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420"/>
        <w:spacing w:after="0" w:line="286" w:lineRule="auto"/>
        <w:rPr>
          <w:sz w:val="20"/>
          <w:szCs w:val="20"/>
          <w:color w:val="auto"/>
        </w:rPr>
      </w:pPr>
      <w:r>
        <w:rPr>
          <w:rFonts w:ascii="Times New Roman" w:cs="Times New Roman" w:eastAsia="Times New Roman" w:hAnsi="Times New Roman"/>
          <w:sz w:val="18"/>
          <w:szCs w:val="18"/>
          <w:b w:val="1"/>
          <w:bCs w:val="1"/>
          <w:color w:val="auto"/>
        </w:rPr>
        <w:t>PROPOSAL 5: AMENDMENT TO THE COMPANY’S AMENDED AND RESTATED CERTIFICATE OF INCORPORATION TO ELIMINATE THE SUPERMAJORITY VOTING REQUIREMENT TO AMEND THE COMPANY’S CHARTER</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affirmative vote of the holders of at least sixty-six and two-thirds percent (66 2/3%) of the outstanding shares of stock of the Company, voting as a single class, shall be required to effect the amendment, repeal or adoption of certain provisions of the Amended and Restated Certificate of Incorporation (the “Charter Supermajority Voting Requirement”). The Charter Supermajority Amendment will eliminate the Charter Supermajority Voting Requirement. Consequently, if the Charter Supermajority Amendment is adopted, our certificate of incorporation will not require that a proposed amendment, alteration, change or repeal of any provision in our certificate of incorporation be subject to approval by a supermajority of our stockholders. The Board has unanimously approved the Charter Supermajority Amendment, subject to stockholder approval. The Board has unanimously determined that the Charter Supermajority Amendment is advisable and in the best interests of the Company and our stockholders, and, in accordance with the DGCL, hereby seeks approval of the Charter Supermajority Amendment by our stockholders. We have submitted this proposal every year since the 2023 Annual Meeting of Stockholders.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Charter Supermajority Amendment</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Board is asking our stockholders to approve the amendment to Article X of our Amended and Restated Certificate of Incorporation. The text of the Charter Supermajority Amendment is attached hereto as Appendix D, with additions marked with bold, underlined text and deletions indicated by strike-out text.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Charter Supermajority Amendment</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Please see the discussion above in “Reasons for the Supermajority Amendments” in Proposal 4 (the Bylaw Supermajority Amendment), which discusses the Board’s reasoning for eliminating all supermajority voting requirements in the Company’s Amended and Restated Certificate of Incorporation.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Effectiveness of the Charter Supermajority Amendment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the Charter Supermajority Amendment is approved by our stockholders, the Charter Supermajority Amendment will become effective upon the filing of a Second Amended and Restated Certificate of Incorporation with the Delaware Secretary of State, which filing is expected to occur as soon as reasonably practicable after the Annual Meeting. If the Charter Supermajority Amendment is not approved by our stockholders, the Amended and Restated Certificate of Incorporation will not be amended, and the Charter Supermajority Voting Requirement will remain in effect.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Approval of the Charter Supermajority Amendment requires the affirmative vote of 66 2/3% in voting power of the outstanding voting stock of the Company entitled to vote thereon, voting together as a single class. As a result, abstentions and broker non-votes will have the same effect as a vote “AGAINST” this proposal.</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Proposal 5 is separate from, and is not conditioned on, the approval of Proposal 1 (the Declassification Amendment) or Proposal 4 (the Bylaw Supermajority Amendment). Your votes on Proposals 1 and 4 do not affect your vote on Proposal 5. You can vote FOR, AGAINST, or ABSTAIN from voting on any of these proposals.</w:t>
      </w:r>
    </w:p>
    <w:p>
      <w:pPr>
        <w:spacing w:after="0" w:line="172" w:lineRule="exact"/>
        <w:rPr>
          <w:sz w:val="20"/>
          <w:szCs w:val="20"/>
          <w:color w:val="auto"/>
        </w:rPr>
      </w:pPr>
    </w:p>
    <w:p>
      <w:pPr>
        <w:jc w:val="center"/>
        <w:ind w:left="440" w:right="12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THE PROPOSED AMENDMENT TO THE AMENDED AND RESTATED CERTIFICATE OF INCORPORATION TO ELIMINATE THE SUPERMAJORITY VOTING REQUIREMENT TO AMEND THE COMPANY’S CERTIFICATE OF INCORPORATION.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Stuart Porter, a greater than 5% passive shareholder of the Company, is the Senior Partner of Trace Capital. From time to time and in the ordinary course of business and at arms-length, certain Trace Capital portfolio companies engage us as service providers. The revenue associated with these related party transactions was $11.6 million for the year ended December 31, 2025 and the related accounts receivable balance was $3.9 million as of December 31,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March 8, 2023, in connection with the acquisition of Greene’s Energy Group, LLC, we entered into a Registration Rights and Lock-Up Agreement with Greene’s Holding Corporation, a greater than 5% passive shareholder of the Company, pursuant to which Greene’s Holding Corporation and certain of its affiliates will have certain shelf, underwritten offering and piggyback rights with respect to the stock consideration for such acquisition (the “Stock Consideration”) upon the terms and subject to the conditions set forth therein. The Registration Rights and Lock-Up Agreement also provides that we will pay certain expenses relating to such registrations and indemnify the registration rights holders against certain liabilities which may arise under the Securities Act.</w:t>
      </w:r>
    </w:p>
    <w:p>
      <w:pPr>
        <w:spacing w:after="0" w:line="187"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Additionally, pursuant to the terms of the Registration Rights and Lock-Up Agreement, Greene’s Holding Corporation agreed, subject to certain customary exceptions, not to, directly or indirectly, sell, offer or agree to sell, or otherwise transfer, or loan or pledge, through swap or hedging transactions, or grant any option to purchase, make any short sale or otherwise dispose of 66 2/3% of the Stock Consideration for specified periods of time ranging from six to twelve months following the closing of the acquisition, as described therein.</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May 3, 2020, we entered into a registration rights agreement with certain stockholders, including Archer Holdco LLC, a former 5% stockholder of the Company, relating to the shares of KLXE common stock issued as the merger consideration to such holders under the merger agreement related to the QES Merger, pursuant to which such stockholders have certain shelf, demand registration and piggyback rights upon the terms and subject to the conditions set forth therein. The registration rights agreement also provides that we will pay certain expenses relating to such registrations and indemnify the registration rights holders against certain liabilities which may arise under the Securities Act.</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September 14, 2018, we entered into a registration rights agreement with Thomas P. McCaffrey. Under the registration rights agreement, Thomas P. McCaffrey has demand registration and customary piggyback registration rights. The registration rights agreement also provides that we will pay certain expenses relating to such registrations and indemnify the registration rights holders against certain liabilities which may arise under the Securities Act. We may also file a resale/reoffer prospectus related to the sale of restricted stock held by Thomas P. McCaffrey.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Procedures for Review, Approval and Ratification of Transactions with Related Persons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contract or transaction between us and one or more of our directors or officers (including entities or other organizations in which one or more of our directors or officers have a financial interest), shall be void or voidable solely for that reason, or because such director or officer is present at, participates in, or vote is counted at the meeting where the contract or transaction is authorized, if (i) the material facts of the director’s or officer’s interest in the contract or transaction are disclosed to or known by the Board or Committee thereof and the Board or such Committee thereof in good faith authorizes the contract or transaction by an affirmative vote of a majority of the disinterested directors (even if less than a quorum), (ii) the material facts of the director’s or officer’s interest in the contract or transaction are disclosed to or known by the stockholders entitled to vote thereon, and the contract or transaction is specifically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approved in good faith by a vote of the stockholders or (iii) the contract or transaction is fair to our Company at the time that it is authorized, approved or ratified by the Board, a Committee thereof or the stockholders.</w:t>
      </w:r>
    </w:p>
    <w:p>
      <w:pPr>
        <w:spacing w:after="0" w:line="162"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a written policy pursuant to which our Audit Committee will be presented with a description of any related party transactions for them to consider for approval. The policy is designed to operate in conjunction with and as a supplement to the provisions of our Code of Business Conduct, a copy of which is posted on our website (</w:t>
      </w:r>
      <w:r>
        <w:rPr>
          <w:rFonts w:ascii="Times New Roman" w:cs="Times New Roman" w:eastAsia="Times New Roman" w:hAnsi="Times New Roman"/>
          <w:sz w:val="18"/>
          <w:szCs w:val="18"/>
          <w:i w:val="1"/>
          <w:iCs w:val="1"/>
          <w:color w:val="auto"/>
        </w:rPr>
        <w:t>investor.klx.com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policy generally provides that our management gather information with respect to actual or potential related party transactions and then present to the Audit Committee for approval any transaction to which the Company or any of its subsidiaries is a participant at or above an amount which exceeds $120,000 in which the related person may have a direct or indirect interest. In determining whether to approve or ratify a related party transaction, we expect the Audit Committee to consider the following: whether the related party transaction is on terms no less favorable than terms generally available to an unaffiliated third party under the same or similar circumstances and the extent of the related party’s interest in the related party transaction. The policy also identifies certain types of transactions that our Board has pre-identified as not involving a direct or indirect material interest and are, therefore, not considered related party transactions for purposes of the policy.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under our Code of Business Conduct, our Law Department will review all proposed transactions between the Company and a related person (such as an individual related to a Company employee, or such director’s family), together with all information concerning the proposed transaction. In determining whether the proposed transaction will be approved, the factors our Law Department may consider include (i) whether the transaction was the product of fair dealing, taking into account the timing, initiation, structure and negotiations of the transaction, and whether the related person’s interest was disclosed to us, (ii) whether similar terms would have been obtained from arm’s length negotiations with a third party and (iii) the availability of other sources for comparable products or services.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PROPOSAL 6: RATIFICATION OF THE SELECTION OF INDEPENDENT REGISTERED PUBLIC ACCOUNTING FIRM</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Deloitte &amp; Touche LLP as independent registered public accounting firm to audit the consolidated financial statements for the year ending December 31, 2026 and presents this appointment to the stockholders for ratification.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stockholder approval of this appointment is not required, the Audit Committee and the Board believe that submitting the appointment to the stockholders for ratification is a matter of good corporate governance. If the stockholders do not ratify the appointment, the Audit Committee will review its future selection of independent registered public accounting firm, but still may retain them. Even if the appointment is ratified, the Audit Committee, at its discretion, may change the appointment at any time during the year if it determines that such a change would be in the best interests of the Company and its stockholders.</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Deloitte &amp; Touche LLP acted as our independent registered public accounting firm for the 2025 fiscal year. In addition to its audit of our consolidated financial statements, the member firms of Deloitte Touche Tohmatsu Limited and their respective affiliates performed certain non-audit services.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representative of Deloitte &amp; Touche LLP is expected to be present at the meeting and will be afforded the opportunity to make a statement if he or she desires to do so and to respond to appropriate questions from stockholders.</w:t>
      </w:r>
    </w:p>
    <w:p>
      <w:pPr>
        <w:spacing w:after="0" w:line="16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For information concerning the appointment of Deloitte &amp; Touche LLP, see Report of the Audit Committee of the Board of Directors above. For information concerning fees paid to Deloitte &amp; Touche LLP, the member firms of Deloitte Touche Tohmatsu Limited and their respective affiliates, see “Principal Accountant Fees and Services”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Ratification of the selection of Deloitte &amp; Touche, LLP as our independent registered public accounting firm for the fiscal year ending December 31, 2026 requires the affirmative vote of the recordholders of a majority in voting power of the shares present virtually or by proxy at the meeting and entitled to vote on such question. As a result, abstentions will have the same effect as a vote “AGAINST” the proposal and broker non-votes will have no effect on the vote outcome.</w:t>
      </w:r>
    </w:p>
    <w:p>
      <w:pPr>
        <w:spacing w:after="0" w:line="176" w:lineRule="exact"/>
        <w:rPr>
          <w:sz w:val="20"/>
          <w:szCs w:val="20"/>
          <w:color w:val="auto"/>
        </w:rPr>
      </w:pPr>
    </w:p>
    <w:p>
      <w:pPr>
        <w:jc w:val="center"/>
        <w:ind w:left="480" w:right="50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THE SELECTION OF DELOITTE &amp; TOUCHE LLP.</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82"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AUDIT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Deloitte &amp; Touche LLP has audited the financial statements of the Company since 2018.</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When considering Deloitte &amp; Touche LLP’s independence, the Audit Committee considered whether its provision of services to the Company beyond those rendered in connection with its audit and review of the Company’s consolidated financial statements was compatible with maintaining its independence and has determined that such services do not interfere with that firm’s independence in the conduct of its auditing function. The Audit Committee also reviewed, among other things, the amount of fees paid to Deloitte &amp; Touche LLP, the member firms of Deloitte Touche Tohmatsu Limited and their respective affiliates for audit and non-audit services.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category of service the fees incurred in engagements performed by Deloitte &amp; Touche LLP, the member firms of Deloitte Touche Tohmatsu Limited and their respective affiliates for professional services rendered to the Company for the fiscal years ended December 31, 2025 and December 31, 2024.</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5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142"/>
        </w:trPr>
        <w:tc>
          <w:tcPr>
            <w:tcW w:w="3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3"/>
          </w:tcPr>
          <w:p>
            <w:pPr>
              <w:ind w:left="6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360" w:type="dxa"/>
            <w:vAlign w:val="bottom"/>
            <w:gridSpan w:val="2"/>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2,197</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3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1,789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2,292</w:t>
            </w:r>
          </w:p>
        </w:tc>
      </w:tr>
      <w:tr>
        <w:trPr>
          <w:trHeight w:val="20"/>
        </w:trPr>
        <w:tc>
          <w:tcPr>
            <w:tcW w:w="3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Audit fees for the fiscal years ended December 31, 2025 and December 31, 2024 were $1.4 million and $2.2 million, respectively. Such audit fees consist of aggregate fees, including expenses, billed and reasonably expected to be billed by Deloitte &amp; Touche LLP, the member firms of Deloitte Touche Tohmatsu Limited and their respective affiliates in connection with the annual audit and in connection with certain registration statements on Forms S-3 and S-8.</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Audit-Related</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There were no audit-related fees or expenses billed by Deloitte &amp; Touche LLP, the member firms of Deloitte Touche Tohmatsu Limited and their respective affiliates for the fiscal years ended December 31, 2025 and December 31,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Tax fees for the fiscal years ended December 31, 2025 and December 31, 2024 were $76,271 and $94,500. Such tax fees consist of tax advisory services.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Other fees for the fiscal years ended December 31, 2025 and December 31, 2024 were $313,000 and nil, respectively. Such other fees consist of transaction advisory services.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60"/>
          </w:cols>
          <w:pgMar w:left="320" w:top="482" w:right="5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approves all audit and audit-related services, tax services and other services provided by Deloitte &amp; Touche LLP, the member firms of Deloitte Touche Tohmatsu Limited and their respective affiliates. The Audit Committee approved all services rendered by Deloitte &amp; Touche LLP in the fiscal year ended December 31, 2025, in accordance with these policies.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services provided by Deloitte &amp; Touche LLP, the member firms of Deloitte Touche Tohmatsu Limited and their respective affiliates that are not specifically included within the scope of the audit must be pre-approved by the Audit Committee in advance of any engagement. Under the Sarbanes-Oxley Act of 2002, audit committees are permitted to approve certain fees for audit-related services, tax services and other services pursuant to a de minimis exception prior to the completion of an audit engagement. In 2025, none of the fees paid to Deloitte &amp; Touche LLP, the member firms of Deloitte Touche Tohmatsu Limited and their respective affiliates were approved pursuant to the de minimis exception.</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making its recommendation to appoint Deloitte &amp; Touche LLP as the Company’s independent registered public accounting firm for the fiscal year ending December 31, 2026, the Audit Committee has considered whether the services provided by Deloitte &amp; Touche LLP, the member firms of Deloitte Touche Tohmatsu Limited and their respective affiliates are compatible with maintaining the independence of Deloitte &amp; Touche LLP and has determined that such services do not interfere with that firm’s independence in the conduct of its auditing function.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9"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Management is responsible for the financial reporting process, including the system of internal controls and for the preparation of consolidated financial statements in accordance with accounting principles generally accepted in the United States of America. The Company’s independent auditors are responsible for auditing those financial statements. The Audit Committee’s responsibility is to monitor and review these processes. We rely, without independent verification, on the information provided to us and on the representations made by management and the independent auditors.</w:t>
      </w:r>
    </w:p>
    <w:p>
      <w:pPr>
        <w:spacing w:after="0" w:line="16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reviewed and discussed the audited consolidated financial statements for the twelve months ended December 31, 2025 with management and Deloitte &amp; Touche LLP, the Company’s independent registered public accounting firm.</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discussed and reviewed with Deloitte &amp; Touche LLP all communications required by generally accepted auditing standards, including, among other things, the matters required to be discussed by the Public Company Accounting Oversight Board (“PCAOB”) Auditing Standard 1301, “Communication with Audit Committees,” and discussed and reviewed the results of Deloitte &amp; Touche LLP’s audit of the Company’s consolidated financial statements. The Audit Committee also discussed the results of internal audit examinations.</w:t>
      </w:r>
    </w:p>
    <w:p>
      <w:pPr>
        <w:spacing w:after="0" w:line="180"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Company’s independent auditors also provided to us the written disclosures and the annual communication required by PCAOB Rule 3526, “Communication with Audit Committees Concerning Independence,” regarding the independent accountant’s communications with the Audit Committee concerning independence, and we discussed with the independent auditors their independence from the Company. When considering Deloitte &amp; Touche LLP’s independence, we considered whether their provision of services to the Company, beyond those rendered in connection with their audit and review of the Company’s consolidated financial statements, was consistent with maintaining their independence. We also reviewed, among other things, the amount of fees paid to Deloitte &amp; Touche LLP, the member firms of Deloitte Touche Tohmatsu Limited and their respective affiliates for audit and non-audit services.</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Based on our review, these meetings, discussions and reports, and subject to the limitations on our role and responsibilities referred to above and in the Audit Committee Charter, we recommended to the Board that the Company’s audited consolidated financial statements for the year ended December 31, 2025 be included in the Company’s Annual Report on Form 10-K.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respect to the above matters, the Audit Committee submits this report.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John T. Whates, Esq., Chair</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John T. Collins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Gunnar Eliassen</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1500" w:firstLine="1532"/>
        <w:spacing w:after="0" w:line="440" w:lineRule="auto"/>
        <w:rPr>
          <w:sz w:val="20"/>
          <w:szCs w:val="20"/>
          <w:color w:val="auto"/>
        </w:rPr>
      </w:pPr>
      <w:r>
        <w:rPr>
          <w:rFonts w:ascii="Times New Roman" w:cs="Times New Roman" w:eastAsia="Times New Roman" w:hAnsi="Times New Roman"/>
          <w:sz w:val="18"/>
          <w:szCs w:val="18"/>
          <w:b w:val="1"/>
          <w:bCs w:val="1"/>
          <w:color w:val="auto"/>
        </w:rPr>
        <w:t>QUESTIONS AND ANSWERS ABOUT THE PROXY STATEMENT AND THE ANNUAL MEETING Q. Why are you receiving these Proxy Materials?</w:t>
      </w:r>
    </w:p>
    <w:p>
      <w:pPr>
        <w:spacing w:after="0" w:line="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Proxy Materials are furnished in connection with the solicitation of proxies by the Board for use at the Annual Meeting or any postponement or adjournment thereof. The Annual Meeting will be held virtually on May 6, 2026, at 9:00 a.m., Central Daylight Time, solely online via a live webcast at </w:t>
      </w:r>
      <w:r>
        <w:rPr>
          <w:rFonts w:ascii="Times New Roman" w:cs="Times New Roman" w:eastAsia="Times New Roman" w:hAnsi="Times New Roman"/>
          <w:sz w:val="18"/>
          <w:szCs w:val="18"/>
          <w:i w:val="1"/>
          <w:iCs w:val="1"/>
          <w:color w:val="auto"/>
        </w:rPr>
        <w:t>www.meetnow.global/MXZW7V6.</w:t>
      </w:r>
      <w:r>
        <w:rPr>
          <w:rFonts w:ascii="Times New Roman" w:cs="Times New Roman" w:eastAsia="Times New Roman" w:hAnsi="Times New Roman"/>
          <w:sz w:val="18"/>
          <w:szCs w:val="18"/>
          <w:color w:val="auto"/>
        </w:rPr>
        <w:t xml:space="preserve"> The Proxy Materials include the notice of annual meeting of stockholders, this Proxy Statement for the Annual Meeting, a 2025 Annual Report and the Proxy Card or, for shares held in “street name” (held for your account by a broker or other nominee), a voting instruction form, for the Annual Meeting. As a stockholder, you are invited to attend the Annual Meeting and are requested to vote on the items of business described in this Proxy Statement.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or about March 26, 2026, the Company began mailing a Notice of Internet Availability instead of a paper copy of our Proxy Materials to stockholders entitled to vote at the Annual Meeting. The Notice of Internet Availability contains instructions on how to access these documents and how to cast your vote via the Internet. The Notice of Internet Availability also contains instructions on how to request a paper copy of our Proxy Materials. All stockholders who have so requested will receive a paper copy of the Proxy Materials by mail. We believe that this process allows us to provide our stockholders with the information they need on a more timely basis, while lowering the costs of printing and distributing our Proxy Materials. We have also made the Proxy Materials available free of charge on our website at </w:t>
      </w:r>
      <w:r>
        <w:rPr>
          <w:rFonts w:ascii="Times New Roman" w:cs="Times New Roman" w:eastAsia="Times New Roman" w:hAnsi="Times New Roman"/>
          <w:sz w:val="18"/>
          <w:szCs w:val="18"/>
          <w:i w:val="1"/>
          <w:iCs w:val="1"/>
          <w:color w:val="auto"/>
        </w:rPr>
        <w:t>investor.klx.com</w:t>
      </w:r>
      <w:r>
        <w:rPr>
          <w:rFonts w:ascii="Times New Roman" w:cs="Times New Roman" w:eastAsia="Times New Roman" w:hAnsi="Times New Roman"/>
          <w:sz w:val="18"/>
          <w:szCs w:val="18"/>
          <w:color w:val="auto"/>
        </w:rPr>
        <w:t>. Any information contained on or available through our website is not a part of, or incorporated into, this Proxy Statement and you should not consider it a part of the Proxy Materials. Interested parties may also obtain an electronic or printed copy of the Proxy Materials, free of charge, by sending a written request to KLX Energy Services Holdings, Inc. at 3040 Post Oak Boulevard, 15th Floor, Houston, TX 77056, Attn: Corporate Secretary, or by emailing ir@klx.com.</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When and where will the Annual Meeting take place?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Annual Meeting will be held virtually via webcast at 9:00 a.m., Central Daylight Time, on May 6, 2026. The Annual Meeting can be accessed by visiting </w:t>
      </w:r>
      <w:r>
        <w:rPr>
          <w:rFonts w:ascii="Times New Roman" w:cs="Times New Roman" w:eastAsia="Times New Roman" w:hAnsi="Times New Roman"/>
          <w:sz w:val="18"/>
          <w:szCs w:val="18"/>
          <w:i w:val="1"/>
          <w:iCs w:val="1"/>
          <w:color w:val="auto"/>
        </w:rPr>
        <w:t>www.meetnow.global/MXZW7V6</w:t>
      </w:r>
      <w:r>
        <w:rPr>
          <w:rFonts w:ascii="Times New Roman" w:cs="Times New Roman" w:eastAsia="Times New Roman" w:hAnsi="Times New Roman"/>
          <w:sz w:val="18"/>
          <w:szCs w:val="18"/>
          <w:color w:val="auto"/>
        </w:rPr>
        <w:t>, where stockholders will be able to participate and submit questions during the Annual Meeting. Stockholders will also be able to vote their shares online by attending the Annual Meeting by webcast. You will not be able to attend the Annual Meeting physically in person.</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Even if you plan to attend the Annual Meeting, KLXE recommends that you vote your shares in advance as described below so that your vote will be counted if you later decide not to or become unable to attend the Annual Meeting. Shares held in “street name” may be voted by you at the Annual Meeting only if you obtain a signed legal proxy from your bank, broker or other nominee giving you the right to directly vote the shares.</w:t>
      </w:r>
    </w:p>
    <w:p>
      <w:pPr>
        <w:spacing w:after="0" w:line="176"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To participate in the Annual Meeting, you will need to review the information included on your Proxy Card or on the instructions that accompanied your Proxy Materials.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using the instructions below.</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online meeting will begin promptly at 9:00 a.m., Central Daylight Time. KLXE encourages you to access the meeting prior to the start time leaving ample time for the check in. Please follow the registration instructions as outlined in this Proxy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How do I register to attend the Annual Meeting virtually on the Internet?</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are a registered stockholder (i.e., you hold your shares through our transfer agent, Computershare), you do not need to register to attend the Annual Meeting virtually on the Internet. Please follow the instructions on the Proxy Card that you received.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to attend the Annual Meeting virtually on the Internet.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register to attend the Annual Meeting online by webcast you must submit proof of your proxy power (legal proxy) reflecting your KLXE holdings along with your name and email address to Computershare. Requests for registration must be labeled as “Legal Proxy” and be received no later than 4:00 p.m., Central Daylight Time, on May 4, 2026.</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will receive a confirmation of your registration by email after Computershare receives your registration materials.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Requests for registration should be directed to Computershare at the following:</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By email: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Forward the email from your broker, or attach an image of your legal proxy, to legalproxy@computershare.com</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Computershare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KLXE Legal Proxy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 Box 43001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Providence, RI 02940-3001</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if I have trouble accessing the Annual Meeting?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virtual Annual Meeting platform is fully supported across MS Edge, Firefox, Chrome and Safari browsers and devices (desktops, laptops, tablets and cell phones) running the most up-to-date version of applicable software and plugins. Please note that Internet Explorer is no longer supported. Participants should ensure that they have a strong WiFi connection wherever they intend to participate in the Annual Meeting. We encourage you to access the Annual Meeting prior to the start time. A link on the meeting page will provide further assistance should you need it or you may call 1-888-724-2416 (toll free) or 1-781-575-2748 (international toll) for technical support. </w:t>
      </w:r>
      <w:r>
        <w:rPr>
          <w:rFonts w:ascii="Times New Roman" w:cs="Times New Roman" w:eastAsia="Times New Roman" w:hAnsi="Times New Roman"/>
          <w:sz w:val="18"/>
          <w:szCs w:val="18"/>
          <w:b w:val="1"/>
          <w:bCs w:val="1"/>
          <w:color w:val="auto"/>
        </w:rPr>
        <w:t>Participants should allow plenty of time to log in and to make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sure that they can hear streaming audio prior to the start of the Annual Meeting</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Who is entitled to vote at the Annual Meeting?</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Stockholders of record at the close of business on March 17, 2026 are entitled to receive notice of and the right to vote at the Annual Meeting. As of the close of business on March 17, 2026, there were 19,668,752 shares of common stock outstanding and entitled to be voted at the Annual Meeting. Each outstanding share of common stock is entitled to one vote. Holders of common stock do not have the right to cumulative voting in the election of directors.</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 complete list of stockholders entitled to vote at the Annual Meeting will be available for examination ten days before the Annual Meeting. If you would like to inspect the list of Company stockholders of record, please contact the Investor Relations department at ir@klx.com.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How do you vote your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are a stockholder of record, there are four ways to vote:</w:t>
      </w:r>
    </w:p>
    <w:p>
      <w:pPr>
        <w:spacing w:after="0" w:line="127" w:lineRule="exact"/>
        <w:rPr>
          <w:sz w:val="20"/>
          <w:szCs w:val="20"/>
          <w:color w:val="auto"/>
        </w:rPr>
      </w:pPr>
    </w:p>
    <w:p>
      <w:pPr>
        <w:ind w:left="1080" w:right="60" w:hanging="424"/>
        <w:spacing w:after="0" w:line="26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Virtually During the Meeting</w:t>
      </w:r>
      <w:r>
        <w:rPr>
          <w:rFonts w:ascii="Times New Roman" w:cs="Times New Roman" w:eastAsia="Times New Roman" w:hAnsi="Times New Roman"/>
          <w:sz w:val="18"/>
          <w:szCs w:val="18"/>
          <w:color w:val="auto"/>
        </w:rPr>
        <w:t>—you may vote online during the virtual Annual Meeting held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www.meetnow.global/MXZW7V6</w:t>
      </w:r>
      <w:r>
        <w:rPr>
          <w:rFonts w:ascii="Times New Roman" w:cs="Times New Roman" w:eastAsia="Times New Roman" w:hAnsi="Times New Roman"/>
          <w:sz w:val="18"/>
          <w:szCs w:val="18"/>
          <w:color w:val="auto"/>
        </w:rPr>
        <w:t>.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admitted to the Annual Meeting and vote your shares, you must provide the control number located on your Notice of Internet Availability or Proxy Card;</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080" w:right="300" w:hanging="424"/>
        <w:spacing w:after="0" w:line="28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Internet</w:t>
      </w:r>
      <w:r>
        <w:rPr>
          <w:rFonts w:ascii="Times New Roman" w:cs="Times New Roman" w:eastAsia="Times New Roman" w:hAnsi="Times New Roman"/>
          <w:sz w:val="18"/>
          <w:szCs w:val="18"/>
          <w:color w:val="auto"/>
        </w:rPr>
        <w:t>—visit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www.investorvote.com/KLXE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follow the instructions provided on the Notice of Internet Availability or Proxy Card.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must have the control number that is on the Notice of Internet Availability or Proxy Card when voting;</w:t>
      </w:r>
    </w:p>
    <w:p>
      <w:pPr>
        <w:spacing w:after="0" w:line="64"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Telephone—within the U.S. or Canada, call toll-free 1-800-652-8683 and follow the instructions. You must have the control number that is on the Notice of Internet Availability or Proxy Card when voting; or</w:t>
      </w:r>
    </w:p>
    <w:p>
      <w:pPr>
        <w:spacing w:after="0" w:line="63"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Mail</w:t>
      </w:r>
      <w:r>
        <w:rPr>
          <w:rFonts w:ascii="Times New Roman" w:cs="Times New Roman" w:eastAsia="Times New Roman" w:hAnsi="Times New Roman"/>
          <w:sz w:val="18"/>
          <w:szCs w:val="18"/>
          <w:color w:val="auto"/>
        </w:rPr>
        <w:t>—if you have requested a paper copy of the Proxy Materials, complete, sign and date the Proxy Card and return the Proxy Card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prepaid envelope. Your Proxy Card must be received by the Corporate Secretary of the Company before the voting polls close at the Annual Meeting.</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If you vote by Internet or telephone, do not return your Proxy Card</w:t>
      </w:r>
      <w:r>
        <w:rPr>
          <w:rFonts w:ascii="Times New Roman" w:cs="Times New Roman" w:eastAsia="Times New Roman" w:hAnsi="Times New Roman"/>
          <w:sz w:val="18"/>
          <w:szCs w:val="18"/>
          <w:color w:val="auto"/>
        </w:rPr>
        <w:t>. Submitting your proxy by Internet or telephone will not affect your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vote electronically should you decide to attend and participate in the virtual Annual Meeting. The telephone and Internet voting procedures are designed to authenticate stockholders’ identities, to allow stockholders to give their voting instructions and to confirm that stockholders’ instructions have been recorded properly.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if you receive more than one Proxy Card or voting instruction form?</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This means that you may have more than one account at Computershare, with a nominee or both. Please vote all Proxy Cards and voting instruction forms that you receive so that all the shares that you own will be represented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can you do if you change your mind after you submit your proxy?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Your proxy is revocable. If you are a stockholder of record, you can revoke your proxy prior to the completion of voting at the Annual Meeting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112" w:lineRule="exact"/>
        <w:rPr>
          <w:sz w:val="20"/>
          <w:szCs w:val="20"/>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an executed, later-dated proxy that is received by the Corporate Secretary of the Company before the voting polls close at the Annual Meeting;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resubmitting your proxy by Internet or telephone;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of the proxy that is received by the Corporate Secretary of the Company before the voting polls close at the Annual Meeting; or</w:t>
      </w:r>
    </w:p>
    <w:p>
      <w:pPr>
        <w:spacing w:after="0" w:line="6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voting electronically at the virtual Annual Meeting by following the instructions to vote at </w:t>
      </w:r>
      <w:r>
        <w:rPr>
          <w:rFonts w:ascii="Times New Roman" w:cs="Times New Roman" w:eastAsia="Times New Roman" w:hAnsi="Times New Roman"/>
          <w:sz w:val="18"/>
          <w:szCs w:val="18"/>
          <w:i w:val="1"/>
          <w:iCs w:val="1"/>
          <w:color w:val="auto"/>
        </w:rPr>
        <w:t>www.meetnow.global/MXZW7V6</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are an owner of shares in “street name,” or a beneficial owner, you may submit new voting instructions by contacting your broker, bank or other nominee or by voting online during the Annual Meeting. Voting online during the Annual Meeting will replace any previous votes.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happens if you do not give specific voting instructions?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All properly executed proxies, unless revoked as described above, will be voted at the Annual Meeting in accordance with your instructions on your proxy. If a properly executed proxy gives no specific instructions, your shares will be voted in the manner recommended by the Board on all matters presented in this Proxy Statement and as the proxy holders may determine in their discretion with respect to any other matters properly presented for a vote at the Annual Meeting.</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in “street name” and do not provide your broker, bank or other nominee with specific voting instructions, your vote will result in a “broker non-vote.”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Your broker, bank or other nominee is not permitted to vote on your behalf in the Declassification Amendment (Proposal 1), the election of directors (Proposal 2), the Say-on-Pay Resolution (Proposal 3), the Bylaw Supermajority Amendment (Proposal 4) or the Charter Supermajority Amendment (Proposal 5). Accordingly, if you do not provide timely voting instructions to your broker, bank or other nominee that holds your shares, your vote will not count. The broker nominee, however, will be able to vote on the ratification of the selection of the Company’s independent auditor (Proposal 6) even if it does not receive your instructions, so no broker non-votes are expected to exist in connection with this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proposals will be voted on at the Annual Meeting, and what votes are required to approve each of the proposals?</w:t>
      </w:r>
    </w:p>
    <w:p>
      <w:pPr>
        <w:spacing w:after="0" w:line="121"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The required vote for each of the proposals expected to be acted upon at the Annual Meeting and the treatment of abstentions and broker non-votes under each proposal are described below:</w:t>
      </w:r>
    </w:p>
    <w:p>
      <w:pPr>
        <w:spacing w:after="0" w:line="158" w:lineRule="exact"/>
        <w:rPr>
          <w:sz w:val="20"/>
          <w:szCs w:val="20"/>
          <w:color w:val="auto"/>
        </w:rPr>
      </w:pPr>
    </w:p>
    <w:p>
      <w:pPr>
        <w:jc w:val="both"/>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Proposal 1—Amendment to the Certificate of Incorporation to declassify Board</w:t>
      </w:r>
      <w:r>
        <w:rPr>
          <w:rFonts w:ascii="Times New Roman" w:cs="Times New Roman" w:eastAsia="Times New Roman" w:hAnsi="Times New Roman"/>
          <w:sz w:val="18"/>
          <w:szCs w:val="18"/>
          <w:color w:val="auto"/>
        </w:rPr>
        <w:t>. The Declassification Amendment must be approved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affirmative vote of at least 66 2/3% of the voting power of the outstanding voting stock of the Company, voting together as a single class. As a result, abstentions and broker non-votes will have the same effect as a vote “AGAINST” the proposal.</w:t>
      </w:r>
    </w:p>
    <w:p>
      <w:pPr>
        <w:spacing w:after="0" w:line="171"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Proposal 2—Election of Class II directors</w:t>
      </w:r>
      <w:r>
        <w:rPr>
          <w:rFonts w:ascii="Times New Roman" w:cs="Times New Roman" w:eastAsia="Times New Roman" w:hAnsi="Times New Roman"/>
          <w:sz w:val="18"/>
          <w:szCs w:val="18"/>
          <w:color w:val="auto"/>
        </w:rPr>
        <w:t>. Directors are elected by a plurality of the voting power of the outstanding shares of the Company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present in person or represented by proxy and entitled to vote on the election of directors, with the nominees obtaining the most votes being elected. Because there is no minimum vote required, abstentions and broker non-votes will have no effect on the outcome.</w:t>
      </w:r>
    </w:p>
    <w:p>
      <w:pPr>
        <w:spacing w:after="0" w:line="17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Proposal 3—Say-on-Pay Resolution</w:t>
      </w:r>
      <w:r>
        <w:rPr>
          <w:rFonts w:ascii="Times New Roman" w:cs="Times New Roman" w:eastAsia="Times New Roman" w:hAnsi="Times New Roman"/>
          <w:sz w:val="18"/>
          <w:szCs w:val="18"/>
          <w:color w:val="auto"/>
        </w:rPr>
        <w:t>. Stockholders are provided with the opportunity to cast an advisory, non-binding vote on the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Company’s NEOs. The Say-on-Pay Resolution must be approved by the affirmative vote of the majority of the voting power of the shares present in person or represented by proxy at the annual meeting and entitled to vote on the question. As a result, abstentions will have the same effect as a vote “AGAINST” the proposal. Broker non-votes will not be considered entitled to vote on this proposal and will therefore have no effect on the vote outcome.</w:t>
      </w:r>
    </w:p>
    <w:p>
      <w:pPr>
        <w:spacing w:after="0" w:line="179"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Proposal 4—Amendment to the Certificate of Incorporation to eliminate the supermajority voting requirements required to amend the Company’s bylaws</w:t>
      </w:r>
      <w:r>
        <w:rPr>
          <w:rFonts w:ascii="Times New Roman" w:cs="Times New Roman" w:eastAsia="Times New Roman" w:hAnsi="Times New Roman"/>
          <w:sz w:val="18"/>
          <w:szCs w:val="18"/>
          <w:color w:val="auto"/>
        </w:rPr>
        <w:t>. The Bylaw Supermajority Amendment must be approved by the affirmative vote of at least 66 2/3% of the voting power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voting stock of the Company, voting together as a single class. As a result, abstentions and broker non-votes will have the same effect as a vote “AGAINST” the proposal.</w:t>
      </w:r>
    </w:p>
    <w:p>
      <w:pPr>
        <w:spacing w:after="0" w:line="176"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Proposal 5—Amendment to the Certificate of Incorporation to eliminate the supermajority voting requirements required to amend the Company’s certificate of incorporation</w:t>
      </w:r>
      <w:r>
        <w:rPr>
          <w:rFonts w:ascii="Times New Roman" w:cs="Times New Roman" w:eastAsia="Times New Roman" w:hAnsi="Times New Roman"/>
          <w:sz w:val="18"/>
          <w:szCs w:val="18"/>
          <w:color w:val="auto"/>
        </w:rPr>
        <w:t>. The Charter Supermajority Amendment must be approved by the affirmative vote of at least 66 2/3%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power of the outstanding voting stock of the Company, voting together as a single class. As a result, abstentions and broker non-votes will have the same effect as a vote “AGAINST” the proposal.</w:t>
      </w:r>
    </w:p>
    <w:p>
      <w:pPr>
        <w:spacing w:after="0" w:line="176"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Proposal 6—Ratification of selection of independent registered public accounting firm</w:t>
      </w:r>
      <w:r>
        <w:rPr>
          <w:rFonts w:ascii="Times New Roman" w:cs="Times New Roman" w:eastAsia="Times New Roman" w:hAnsi="Times New Roman"/>
          <w:sz w:val="18"/>
          <w:szCs w:val="18"/>
          <w:color w:val="auto"/>
        </w:rPr>
        <w:t>. The Auditor Ratification Proposal must be approved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affirmative vote of the majority of the voting power of the shares present in person or represented by proxy at the annual meeting and entitled to vote on the question. As a result, abstentions will have the same effect as a vote “AGAINST” the proposal. Broker non-votes will not be considered entitled to vote on this proposal and will therefore have no effect on the vote outcome. As discussed above, we do not expect any broker non-votes with respect to this proposal.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What are “broker non-votes,” “withhold” votes, and “abstentions” and their effect on each proposal?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 broker non-vote occurs when a broker, bank, trust or other nominee or custodian holding shares for a beneficial owner in “street name” does not vote the shares on a proposal because the nominee does not have discretionary voting power for a particular item and has not received instructions from the beneficial owner regarding voting.</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At the Annual Meeting, your broker nominee will not be able to submit a vote on any matter other than the Auditor Ratification Proposal, unless it receives your specific instructions. If the broker nominee does not receive your specific instructions for the remaining proposals, it will submit a broker non-vote.</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Broker non-votes are counted as present and entitled to vote for quorum purposes, but are not considered entitled to vote and will have no effect on the outcome of the Say-on-Pay Resolution (Proposal 3) or the Auditor Ratification Proposal (Proposal 6). However, because the Declassification Amendment (Proposal 1), the Bylaw Supermajority Amendment (Proposal 4) and the Charter Supermajority Amendment (Proposal 5) require the affirmative vote of a minimum threshold of the voting power of the outstanding voting stock of the Company, broker non-votes will have the effect of a vote “AGAINST” these proposals. Because there is no minimum vote required, broker non-votes will have no effect on the outcome of the election of directors (Proposal 2).</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broker nominee, however, will be able to vote on the Auditor Ratification Proposal even if it does not receive your instructions, so no broker non-votes are expected to exist in connection with this proposal.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 abstention (i.e., if you or your broker mark “ABSTAIN” on a proxy or voting instruction form, or if a stockholder of record attends the Annual Meeting but does not vote (either before or during the Annual Meeting)) has the same effect as voting “AGAINST” the Declassification Amendment (Proposal 1), the Say-on-Pay Resolution (Proposal 3), the Bylaw Supermajority Amendment (Proposal 4), the Charter Supermajority Amendment (Proposal 5), and the Auditor Ratification Proposal (Proposal 6). Because there is no minimum vote required, abstention has no effect on the outcome of the election of directors (Proposal 2).</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Votes that are “withheld” from a director’s election will not affect the outcome of the vote on the election of a director, except that if a nominee receives a number of “WITHHOLD” votes that equals or exceeds the number of “FOR” votes, that nominee must submit such director’s offer of resignation to the Chairman of the Board. See “Nomination of Directors” above.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Abstentions and “withhold” votes are counted as present and entitled to vote for purposes of determining a quorum.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How many votes must be present to hold the Annual Meeting?</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quorum is necessary for conducting a valid meeting. Holders of a majority of the outstanding shares of our common stock as of the record date of March 17, 2026 who are entitled to vote must be present, virtually or by proxy, to constitute a quorum at the Annual Meeting. Abstentions, broker non-votes and “withhold” votes will be counted as present and entitled to vote for purposes of determining a quorum.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Will you have a chance to ask questions at the Annual Meeting?</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are aware of concerns that virtual meetings may diminish stockholder voices or reduce accountability and are taking steps to address these concerns. For example, our virtual meeting format enhances, rather than constrains, stockholder access, participation and communication because the online format allows stockholders to communicate with us during the Annual Meeting so they can ask questions to our Board, management and a representative from our independent registered public accounting firm.</w:t>
      </w:r>
    </w:p>
    <w:p>
      <w:pPr>
        <w:spacing w:after="0" w:line="180"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reserved 15 minutes for stockholder questions at our Annual Meeting. We will answer stockholder questions as they come in, as time permits. We are committed to publicly answering each question received following the Annual Meeting, with the exception of any questions that are irrelevant to the purpose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82"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Annual Meeting or our business or that contain inappropriate or derogatory references. If we receive substantially similar questions, we will group such questions together and provide a single response to avoid repetition. Please direct any matters of individual concern to ir@klx.com. Although the live webcast is available only to stockholders as of the record date at the time of the Annual Meeting, the webcast of the Annual Meeting will be archived for the public for one year after the date of the Annual Meeting at </w:t>
      </w:r>
      <w:r>
        <w:rPr>
          <w:rFonts w:ascii="Times New Roman" w:cs="Times New Roman" w:eastAsia="Times New Roman" w:hAnsi="Times New Roman"/>
          <w:sz w:val="18"/>
          <w:szCs w:val="18"/>
          <w:i w:val="1"/>
          <w:iCs w:val="1"/>
          <w:color w:val="auto"/>
        </w:rPr>
        <w:t>investor.klx.com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How are proxies being solicited and who pays the solicitation expenses?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Proxies are being solicited by the Board on behalf of the Company. All expenses of the solicitation, including the cost of preparing and mailing this Proxy Statement and Proxy Materials, will be borne by the Company. Proxies may be solicited by our officers, directors and employees personally or by telephone, e-mail or other forms of communication. The Company may also request banks, brokerage firms, custodians, nominees and fiduciaries to forward Proxy Materials to beneficial owners of the Company’s common stock. The costs of the solicitation, including reimbursements of any forwarding expenses, will be paid by the Company.</w:t>
      </w:r>
    </w:p>
    <w:p>
      <w:pPr>
        <w:spacing w:after="0" w:line="28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color w:val="auto"/>
        </w:rPr>
        <w:t>Q. You share an address with another stockholder. Why did you receive only one copy of the Proxy Materials, and how may you obtain an additional copy of the Proxy Materials?</w:t>
      </w:r>
    </w:p>
    <w:p>
      <w:pPr>
        <w:spacing w:after="0" w:line="5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the delivery requirements for the Proxy Materials with respect to two or more stockholders sharing the same address by delivering a single set of the Proxy Materials addressed to those stockholders. This process, which is commonly referred to as “householding,” is intended to provide extra convenience for stockholders and cost savings to the companies.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number of brokers with account holders who are stockholders may be “householding” the Company’s Proxy Materials. A single set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until you revoke your consent. If, at any time, you no longer wish to participate in “householding” and would prefer to receive a separate set of materials, please notify your broker or the Company at 3040 Post Oak Boulevard, 15th Floor, Houston, TX 77056, Attn: Corporate Secretary or (832) 844-1015, and the Company will promptly deliver such additional materials to you. Stockholders who have multiple accounts in their names or who share an address with other stockholders can request “householding” and authorize your broker to discontinue mailings of multiple annual reports and Proxy Statements by contacting your broker.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Whom do you call if you have questions about the Annual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have questions about the Annual Meeting, or desire additional copies of this Proxy Statement or additional proxies, you may contact: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KLX Energy Services Holdings,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3040 Post Oak Boulevard, 15th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Houston, TX 77056</w:t>
      </w:r>
    </w:p>
    <w:p>
      <w:pPr>
        <w:spacing w:after="0" w:line="9" w:lineRule="exact"/>
        <w:rPr>
          <w:sz w:val="20"/>
          <w:szCs w:val="20"/>
          <w:color w:val="auto"/>
        </w:rPr>
      </w:pPr>
    </w:p>
    <w:p>
      <w:pPr>
        <w:ind w:left="5500" w:hanging="438"/>
        <w:spacing w:after="0"/>
        <w:tabs>
          <w:tab w:leader="none" w:pos="5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844-1015</w:t>
      </w:r>
    </w:p>
    <w:p>
      <w:pPr>
        <w:spacing w:after="0" w:line="9" w:lineRule="exact"/>
        <w:rPr>
          <w:rFonts w:ascii="Times New Roman" w:cs="Times New Roman" w:eastAsia="Times New Roman" w:hAnsi="Times New Roman"/>
          <w:sz w:val="18"/>
          <w:szCs w:val="18"/>
          <w:color w:val="auto"/>
        </w:rPr>
      </w:pPr>
    </w:p>
    <w:p>
      <w:pPr>
        <w:ind w:left="4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 How will the results of voting be announced?</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expects to announce the preliminary voting results at the Annual Meeting. The final voting results will be tallied by the inspector of elections and published in a Current Report on Form 8-K, which the Company is required to file with the SEC within four business days after the Annual Meeting.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Proposals of stockholders intended to be presented at the 2026 Annual Meeting of Stockholders pursuant to Rule 14a-8 under the Exchange Act must be received by the Corporate Secretary of the Company at its executive offices no later than November 26, 2026, to be considered for inclusion in the Company’s proxy materials for the Annual Meeting. That date is 120 calendar days before the one-year anniversary of the March 26, 2026 mail date for this Proxy Statement.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notice of a stockholder proposal to be considered timely, but not included in the proxy materials for the 2026 Annual Meeting, a stockholder’s proposal must be delivered to, or mailed and received by, the Corporate Secretary of the Company in accordance with Section 2.09 of the Company’s Fourth Amended and Restated Bylaws. To be timely, a stockholder proposal, including nomination of a director, must be submitted not later than the close of business on the 90th day (February 5, 2027) nor earlier than the close of business on the 120th day (January 6, 2027) in advance of the anniversary date of the prior year’s Annual Meeting of Stockholders.</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satisfying the requirements under the Company’s Fourth Amended and Restated Bylaws described in the immediately preceding paragraph, to comply with the universal proxy rules under the Exchange Act, any stockholder who intends to solicit proxies in support of director nominees other than the Board’s nominees must provide written notice that sets forth the information required by Rule 14a-19 under the Exchange Act no later than March 8, 2027. However, if the date of the 2027 Annual Meeting is more than 30 days before or after the anniversary of the date of the preceding year’s annual meeting of stockholders, then such written notice must be delivered by the later of (x) the 10th day following the public announcement of the date of the 2027 Annual Meeting is first made by the Company and (y) the date which is 60 days prior to the date of the 2027 Annual Meeting.</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Board is not aware of any matters that will be brought before the meeting other than as described in this Proxy Statement. However, if any matters properly come before the meeting that are not specifically set forth on the Proxy Card and in this Proxy Statement, the persons designated as proxies will have authority to vote thereon in accordance with their best judgment.</w:t>
      </w:r>
    </w:p>
    <w:p>
      <w:pPr>
        <w:spacing w:after="0" w:line="172" w:lineRule="exact"/>
        <w:rPr>
          <w:sz w:val="20"/>
          <w:szCs w:val="20"/>
          <w:color w:val="auto"/>
        </w:rPr>
      </w:pPr>
    </w:p>
    <w:p>
      <w:pPr>
        <w:ind w:left="120" w:right="30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COPIES OF THE COMPANY’S ANNUAL REPORT ON FORM 10-K FILED WITH THE SEC MAY BE OBTAINED WITHOUT CHARGE TO EACH PERSON TO WHOM A NOTICE OF INTERNET AVAILABILITY IS DELIVERED UPON WRITTEN REQUEST ADDRESSED TO 3040 POST OAK BOULEVARD, 15TH FLOOR, HOUSTON, TX 77056, ATTN: CORPORATE SECRETARY.</w:t>
      </w:r>
    </w:p>
    <w:p>
      <w:pPr>
        <w:spacing w:after="0" w:line="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82"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Reconciliation of Consolidated Net Income to Adjusted EBITDA</w:t>
      </w:r>
    </w:p>
    <w:p>
      <w:pPr>
        <w:spacing w:after="0" w:line="229" w:lineRule="exact"/>
        <w:rPr>
          <w:sz w:val="20"/>
          <w:szCs w:val="20"/>
          <w:color w:val="auto"/>
        </w:rPr>
      </w:pPr>
    </w:p>
    <w:p>
      <w:pPr>
        <w:ind w:left="120" w:right="120" w:firstLine="440"/>
        <w:spacing w:after="0" w:line="270" w:lineRule="auto"/>
        <w:rPr>
          <w:sz w:val="20"/>
          <w:szCs w:val="20"/>
          <w:color w:val="auto"/>
        </w:rPr>
      </w:pPr>
      <w:r>
        <w:rPr>
          <w:rFonts w:ascii="Times New Roman" w:cs="Times New Roman" w:eastAsia="Times New Roman" w:hAnsi="Times New Roman"/>
          <w:sz w:val="17"/>
          <w:szCs w:val="17"/>
          <w:color w:val="auto"/>
        </w:rPr>
        <w:t>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long-lived asset impairment charges, (ii) stock-based compensation expense, (iii) restructuring charges, (iv) transaction and integration costs related to acquisitions and</w:t>
      </w:r>
    </w:p>
    <w:p>
      <w:pPr>
        <w:spacing w:after="0" w:line="3" w:lineRule="exact"/>
        <w:rPr>
          <w:sz w:val="20"/>
          <w:szCs w:val="20"/>
          <w:color w:val="auto"/>
        </w:rPr>
      </w:pPr>
    </w:p>
    <w:p>
      <w:pPr>
        <w:ind w:left="120" w:right="240" w:hanging="4"/>
        <w:spacing w:after="0" w:line="260" w:lineRule="auto"/>
        <w:tabs>
          <w:tab w:leader="none" w:pos="3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or charges to exclude certain items that we believe are not reflective of ongoing performance of our business. Adjusted EBITDA is used to calculate the Company’s leverage ratio, consistent with the terms of the Company’s asset-based lending facility.</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believe Adjusted EBITDA is useful because it allows us to supplement the GAAP measures in order to more effectively evaluate our operating performance and compare the results of our operations from period to period without regard to our financing methods or capital structure. We exclude the items listed above in arriving at Adjusted EBITDA because these amounts can vary substantially from company to company within our industry depending upon accounting methods and book values of assets, capital structures and the method by which the assets were acquired. Adjusted EBITDA should not be considered as an alternative to, or more meaningful than, net income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188"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Consolidated net loss, the most directly comparable GAAP financial measure, for the periods indicated:</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(Unaudited – In millions of U.S. dollars)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06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(77.1)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3"/>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One-time costs, excluding impairment and other charges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operating loss</w:t>
            </w: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compensation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040"/>
              <w:spacing w:after="0"/>
              <w:rPr>
                <w:sz w:val="20"/>
                <w:szCs w:val="20"/>
                <w:color w:val="auto"/>
              </w:rPr>
            </w:pPr>
            <w:r>
              <w:rPr>
                <w:rFonts w:ascii="Times New Roman" w:cs="Times New Roman" w:eastAsia="Times New Roman" w:hAnsi="Times New Roman"/>
                <w:sz w:val="18"/>
                <w:szCs w:val="18"/>
                <w:color w:val="auto"/>
              </w:rPr>
              <w:t>A-1</w:t>
            </w: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to Amended and Restated Certificate of Incorporation</w:t>
      </w:r>
    </w:p>
    <w:p>
      <w:pPr>
        <w:spacing w:after="0" w:line="22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Additions to the Amended and Restated Certificate of Incorporation pursuant the Declassification Amendment contemplated by Proposal 1 are indicated below by bold, underlined text and deletions contemplated thereby are indicated below by strike-out text. The full text of the Company’s currently applicable Amended and Restated Certificate of Incorporation was filed as an exhibit to the Company’s Quarterly Report on Form 10-Q filed with the SEC on September 8, 2020.</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proposed Declassification Amendment changes to Article V are set forth below:</w:t>
      </w:r>
    </w:p>
    <w:p>
      <w:pPr>
        <w:spacing w:after="0" w:line="221" w:lineRule="exact"/>
        <w:rPr>
          <w:sz w:val="20"/>
          <w:szCs w:val="20"/>
          <w:color w:val="auto"/>
        </w:rPr>
      </w:pPr>
    </w:p>
    <w:p>
      <w:pPr>
        <w:ind w:left="120" w:firstLine="436"/>
        <w:spacing w:after="0" w:line="255"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strike w:val="1"/>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Until the election of directors at the 2028 annual meeting of stockholders, the</w:t>
      </w:r>
      <w:r>
        <w:rPr>
          <w:rFonts w:ascii="Times New Roman" w:cs="Times New Roman" w:eastAsia="Times New Roman" w:hAnsi="Times New Roman"/>
          <w:sz w:val="18"/>
          <w:szCs w:val="18"/>
          <w:color w:val="auto"/>
        </w:rPr>
        <w:t xml:space="preserve"> Board shall be divided into three classes (each such class, a “Class”), as nearly equal in number as possible, designated: Class I, Class II and Class III. </w:t>
      </w:r>
      <w:r>
        <w:rPr>
          <w:rFonts w:ascii="Times New Roman" w:cs="Times New Roman" w:eastAsia="Times New Roman" w:hAnsi="Times New Roman"/>
          <w:sz w:val="18"/>
          <w:szCs w:val="18"/>
          <w:color w:val="auto"/>
          <w:strike w:val="1"/>
        </w:rPr>
        <w:t>As soon as practicable following the effectiveness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 xml:space="preserve">this Certificate of Incorporation, and thereafter from time to time following any increase or decrease in the number of directors, the number of directors in each Class shall be apportioned by the Board to be as nearly equal as possible. No decrease in the number of directors shall shorten the term of any incumbent director. </w:t>
      </w:r>
      <w:r>
        <w:rPr>
          <w:rFonts w:ascii="Times New Roman" w:cs="Times New Roman" w:eastAsia="Times New Roman" w:hAnsi="Times New Roman"/>
          <w:sz w:val="18"/>
          <w:szCs w:val="18"/>
          <w:b w:val="1"/>
          <w:bCs w:val="1"/>
          <w:u w:val="single" w:color="auto"/>
          <w:color w:val="auto"/>
          <w:strike w:val="1"/>
        </w:rPr>
        <w:t>Commencing with the election of directors at the 2026 annual meeting of stockholders, the directors of the Class whose terms</w:t>
      </w:r>
      <w:r>
        <w:rPr>
          <w:rFonts w:ascii="Times New Roman" w:cs="Times New Roman" w:eastAsia="Times New Roman" w:hAnsi="Times New Roman"/>
          <w:sz w:val="18"/>
          <w:szCs w:val="18"/>
          <w:color w:val="auto"/>
          <w:strike w:val="1"/>
        </w:rPr>
        <w:t xml:space="preserve"> </w:t>
      </w:r>
      <w:r>
        <w:rPr>
          <w:rFonts w:ascii="Times New Roman" w:cs="Times New Roman" w:eastAsia="Times New Roman" w:hAnsi="Times New Roman"/>
          <w:sz w:val="18"/>
          <w:szCs w:val="18"/>
          <w:b w:val="1"/>
          <w:bCs w:val="1"/>
          <w:u w:val="single" w:color="auto"/>
          <w:color w:val="auto"/>
          <w:strike w:val="1"/>
        </w:rPr>
        <w:t>expire at such annual meeting shall be elected for a one-year term ending at the next annual meeting of stockholders. Commencing with the election of directors at the 2028 annual meeting of stockholders and for each annual meeting of stockholders thereafter, the Board shall no longer be classified and all of the directors shall be elected annually for a term expiring at the next annual meeting of stockholders</w:t>
      </w:r>
      <w:r>
        <w:rPr>
          <w:rFonts w:ascii="Times New Roman" w:cs="Times New Roman" w:eastAsia="Times New Roman" w:hAnsi="Times New Roman"/>
          <w:sz w:val="18"/>
          <w:szCs w:val="18"/>
          <w:color w:val="auto"/>
          <w:strike w:val="1"/>
        </w:rPr>
        <w:t>.</w:t>
      </w:r>
    </w:p>
    <w:p>
      <w:pPr>
        <w:spacing w:after="0" w:line="184" w:lineRule="exact"/>
        <w:rPr>
          <w:rFonts w:ascii="Times New Roman" w:cs="Times New Roman" w:eastAsia="Times New Roman" w:hAnsi="Times New Roman"/>
          <w:sz w:val="18"/>
          <w:szCs w:val="18"/>
          <w:color w:val="auto"/>
        </w:rPr>
      </w:pPr>
    </w:p>
    <w:p>
      <w:pPr>
        <w:ind w:left="120" w:right="160" w:firstLine="436"/>
        <w:spacing w:after="0" w:line="317" w:lineRule="auto"/>
        <w:tabs>
          <w:tab w:leader="none" w:pos="8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director shall hold office until the end of the term provided for such director in paragraph (</w:t>
      </w:r>
      <w:r>
        <w:rPr>
          <w:rFonts w:ascii="Times New Roman" w:cs="Times New Roman" w:eastAsia="Times New Roman" w:hAnsi="Times New Roman"/>
          <w:sz w:val="17"/>
          <w:szCs w:val="17"/>
          <w:color w:val="auto"/>
          <w:strike w:val="1"/>
        </w:rPr>
        <w:t>5</w:t>
      </w:r>
      <w:r>
        <w:rPr>
          <w:rFonts w:ascii="Times New Roman" w:cs="Times New Roman" w:eastAsia="Times New Roman" w:hAnsi="Times New Roman"/>
          <w:sz w:val="17"/>
          <w:szCs w:val="17"/>
          <w:b w:val="1"/>
          <w:bCs w:val="1"/>
          <w:u w:val="single" w:color="auto"/>
          <w:color w:val="auto"/>
        </w:rPr>
        <w:t>3</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color w:val="auto"/>
          <w:strike w:val="1"/>
        </w:rPr>
        <w:t>6</w:t>
      </w:r>
      <w:r>
        <w:rPr>
          <w:rFonts w:ascii="Times New Roman" w:cs="Times New Roman" w:eastAsia="Times New Roman" w:hAnsi="Times New Roman"/>
          <w:sz w:val="17"/>
          <w:szCs w:val="17"/>
          <w:b w:val="1"/>
          <w:bCs w:val="1"/>
          <w:u w:val="single" w:color="auto"/>
          <w:color w:val="auto"/>
        </w:rPr>
        <w:t>5</w:t>
      </w:r>
      <w:r>
        <w:rPr>
          <w:rFonts w:ascii="Times New Roman" w:cs="Times New Roman" w:eastAsia="Times New Roman" w:hAnsi="Times New Roman"/>
          <w:sz w:val="17"/>
          <w:szCs w:val="17"/>
          <w:color w:val="auto"/>
        </w:rPr>
        <w:t>) of this Article V, and thereafter until such director’s successor is elected and qualified, or until such director’s earlier death, resignation or removal in the manner hereinafter provided.</w:t>
      </w:r>
    </w:p>
    <w:p>
      <w:pPr>
        <w:spacing w:after="0" w:line="135" w:lineRule="exact"/>
        <w:rPr>
          <w:rFonts w:ascii="Times New Roman" w:cs="Times New Roman" w:eastAsia="Times New Roman" w:hAnsi="Times New Roman"/>
          <w:sz w:val="17"/>
          <w:szCs w:val="17"/>
          <w:color w:val="auto"/>
        </w:rPr>
      </w:pPr>
    </w:p>
    <w:p>
      <w:pPr>
        <w:ind w:left="120" w:firstLine="436"/>
        <w:spacing w:after="0" w:line="256" w:lineRule="auto"/>
        <w:tabs>
          <w:tab w:leader="none" w:pos="815" w:val="left"/>
        </w:tabs>
        <w:numPr>
          <w:ilvl w:val="0"/>
          <w:numId w:val="35"/>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Except as provided in paragraph (8) of this Article V, each director shall serve for a term ending on the date of the third annual meeting following the annual meeting at which such director was elected; provided, however, that each director initially appointed as a Class I director shall serve for an initial term expiring at the Corporation’s first annual meeting of stockholders following the effectiveness of this Certificate of Incorporation; each director initially appointed as a Class II director shall serve for an initial term expiring at the Corporation’s second annual meeting of stockholders following the effectiveness of this Certificate of Incorporation; and each director initially appointed as a Class III director shall serve for an initial term expiring at the Corporation’s third annual meeting of stockholders following the effectiveness of this Certificate of Incorporation.</w:t>
      </w:r>
    </w:p>
    <w:p>
      <w:pPr>
        <w:spacing w:after="0" w:line="183" w:lineRule="exact"/>
        <w:rPr>
          <w:sz w:val="20"/>
          <w:szCs w:val="20"/>
          <w:color w:val="auto"/>
        </w:rPr>
      </w:pPr>
    </w:p>
    <w:p>
      <w:pPr>
        <w:ind w:left="120"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8"/>
          <w:szCs w:val="18"/>
          <w:color w:val="auto"/>
          <w:strike w:val="1"/>
        </w:rPr>
        <w:t>6</w:t>
      </w:r>
      <w:r>
        <w:rPr>
          <w:rFonts w:ascii="Times New Roman" w:cs="Times New Roman" w:eastAsia="Times New Roman" w:hAnsi="Times New Roman"/>
          <w:sz w:val="18"/>
          <w:szCs w:val="18"/>
          <w:color w:val="auto"/>
        </w:rPr>
        <w:t xml:space="preserve">) Any director or the entire Board may be removed from office </w:t>
      </w:r>
      <w:r>
        <w:rPr>
          <w:rFonts w:ascii="Times New Roman" w:cs="Times New Roman" w:eastAsia="Times New Roman" w:hAnsi="Times New Roman"/>
          <w:sz w:val="18"/>
          <w:szCs w:val="18"/>
          <w:color w:val="auto"/>
          <w:strike w:val="1"/>
        </w:rPr>
        <w:t>only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with or without</w:t>
      </w:r>
      <w:r>
        <w:rPr>
          <w:rFonts w:ascii="Times New Roman" w:cs="Times New Roman" w:eastAsia="Times New Roman" w:hAnsi="Times New Roman"/>
          <w:sz w:val="18"/>
          <w:szCs w:val="18"/>
          <w:color w:val="auto"/>
        </w:rPr>
        <w:t xml:space="preserve"> cause </w:t>
      </w:r>
      <w:r>
        <w:rPr>
          <w:rFonts w:ascii="Times New Roman" w:cs="Times New Roman" w:eastAsia="Times New Roman" w:hAnsi="Times New Roman"/>
          <w:sz w:val="18"/>
          <w:szCs w:val="18"/>
          <w:color w:val="auto"/>
          <w:strike w:val="1"/>
        </w:rPr>
        <w:t>and only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upon</w:t>
      </w:r>
      <w:r>
        <w:rPr>
          <w:rFonts w:ascii="Times New Roman" w:cs="Times New Roman" w:eastAsia="Times New Roman" w:hAnsi="Times New Roman"/>
          <w:sz w:val="18"/>
          <w:szCs w:val="18"/>
          <w:color w:val="auto"/>
        </w:rPr>
        <w:t xml:space="preserve"> the affirmative vote of at least </w:t>
      </w:r>
      <w:r>
        <w:rPr>
          <w:rFonts w:ascii="Times New Roman" w:cs="Times New Roman" w:eastAsia="Times New Roman" w:hAnsi="Times New Roman"/>
          <w:sz w:val="18"/>
          <w:szCs w:val="18"/>
          <w:color w:val="auto"/>
          <w:strike w:val="1"/>
        </w:rPr>
        <w:t>sixty-six and two-thirds percent (66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 majority</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color w:val="auto"/>
          <w:strike w:val="1"/>
        </w:rPr>
        <w:t>total</w:t>
      </w:r>
      <w:r>
        <w:rPr>
          <w:rFonts w:ascii="Times New Roman" w:cs="Times New Roman" w:eastAsia="Times New Roman" w:hAnsi="Times New Roman"/>
          <w:sz w:val="18"/>
          <w:szCs w:val="18"/>
          <w:color w:val="auto"/>
        </w:rPr>
        <w:t xml:space="preserve"> voting power of the </w:t>
      </w:r>
      <w:r>
        <w:rPr>
          <w:rFonts w:ascii="Times New Roman" w:cs="Times New Roman" w:eastAsia="Times New Roman" w:hAnsi="Times New Roman"/>
          <w:sz w:val="18"/>
          <w:szCs w:val="18"/>
          <w:color w:val="auto"/>
          <w:strike w:val="1"/>
        </w:rPr>
        <w:t>outstanding shares of the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then-outstanding voting</w:t>
      </w:r>
      <w:r>
        <w:rPr>
          <w:rFonts w:ascii="Times New Roman" w:cs="Times New Roman" w:eastAsia="Times New Roman" w:hAnsi="Times New Roman"/>
          <w:sz w:val="18"/>
          <w:szCs w:val="18"/>
          <w:color w:val="auto"/>
        </w:rPr>
        <w:t xml:space="preserve"> stock of the Corporation entitled to vote in any annual election of directors </w:t>
      </w:r>
      <w:r>
        <w:rPr>
          <w:rFonts w:ascii="Times New Roman" w:cs="Times New Roman" w:eastAsia="Times New Roman" w:hAnsi="Times New Roman"/>
          <w:sz w:val="18"/>
          <w:szCs w:val="18"/>
          <w:color w:val="auto"/>
          <w:strike w:val="1"/>
        </w:rPr>
        <w:t>or Class of directors</w:t>
      </w:r>
      <w:r>
        <w:rPr>
          <w:rFonts w:ascii="Times New Roman" w:cs="Times New Roman" w:eastAsia="Times New Roman" w:hAnsi="Times New Roman"/>
          <w:sz w:val="18"/>
          <w:szCs w:val="18"/>
          <w:color w:val="auto"/>
        </w:rPr>
        <w:t>, voting together as a single class.</w:t>
      </w:r>
    </w:p>
    <w:p>
      <w:pPr>
        <w:spacing w:after="0" w:line="175" w:lineRule="exact"/>
        <w:rPr>
          <w:sz w:val="20"/>
          <w:szCs w:val="20"/>
          <w:color w:val="auto"/>
        </w:rPr>
      </w:pPr>
    </w:p>
    <w:p>
      <w:pPr>
        <w:ind w:left="120" w:right="20" w:firstLine="436"/>
        <w:spacing w:after="0" w:line="258" w:lineRule="auto"/>
        <w:tabs>
          <w:tab w:leader="none" w:pos="815" w:val="left"/>
        </w:tabs>
        <w:numPr>
          <w:ilvl w:val="0"/>
          <w:numId w:val="36"/>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Vacancies occurring on the Board for any reason, including, without limitation, vacancies occurring as a result of the death, resignation, retirement, disqualification or removal from office of a director, or the creation of new directorships that increase the number of directors, shall solely be filled by a majority vote of the directors then in office, even if the number of such directors is less than a quorum, or by a sole remaining director, or by the written consent of such directors as permitted by the General Corporation Law and as provided in the Bylaws of the Corporation, and shall not be filled by the stockholders.</w:t>
      </w:r>
    </w:p>
    <w:p>
      <w:pPr>
        <w:spacing w:after="0" w:line="183" w:lineRule="exact"/>
        <w:rPr>
          <w:rFonts w:ascii="Times New Roman" w:cs="Times New Roman" w:eastAsia="Times New Roman" w:hAnsi="Times New Roman"/>
          <w:sz w:val="18"/>
          <w:szCs w:val="18"/>
          <w:color w:val="auto"/>
          <w:strike w:val="1"/>
        </w:rPr>
      </w:pPr>
    </w:p>
    <w:p>
      <w:pPr>
        <w:ind w:left="120" w:right="680" w:firstLine="436"/>
        <w:spacing w:after="0" w:line="282" w:lineRule="auto"/>
        <w:tabs>
          <w:tab w:leader="none" w:pos="815" w:val="left"/>
        </w:tabs>
        <w:numPr>
          <w:ilvl w:val="0"/>
          <w:numId w:val="36"/>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Any director chosen to fill a vacancy pursuant to paragraph (7) of this Article V shall, at the time such director is chosen or as soon as practicable thereafter, be designated by the Board as either a Class I, Class II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strike w:val="1"/>
        </w:rPr>
        <w:t>Class III director, with such Class corresponding to the Class in which such vacancy existed. Such director shall serve for a term equal to the remainder of the term of the other directors of such Class in office at the time such vacancy was filled (or, if no other directors are a member of such Class at such time, for a term equal to the remainder of the term that a director of such Class would have served had such director been in office at the time of the effectiveness of this Certificate of Incorporation and served continuously as a director until the time that such vacancy was filled).</w:t>
      </w:r>
    </w:p>
    <w:p>
      <w:pPr>
        <w:spacing w:after="0" w:line="176" w:lineRule="exact"/>
        <w:rPr>
          <w:sz w:val="20"/>
          <w:szCs w:val="20"/>
          <w:color w:val="auto"/>
        </w:rPr>
      </w:pPr>
    </w:p>
    <w:p>
      <w:pPr>
        <w:ind w:left="120" w:right="380" w:firstLine="436"/>
        <w:spacing w:after="0" w:line="286" w:lineRule="auto"/>
        <w:tabs>
          <w:tab w:leader="none" w:pos="815" w:val="left"/>
        </w:tabs>
        <w:numPr>
          <w:ilvl w:val="0"/>
          <w:numId w:val="37"/>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Any director chosen to fill a vacancy pursuant to paragraph (5) of this Article V, shall serve for a term expiring at the next annual meeting of stockholders.</w:t>
      </w:r>
    </w:p>
    <w:p>
      <w:pPr>
        <w:spacing w:after="0" w:line="155" w:lineRule="exact"/>
        <w:rPr>
          <w:sz w:val="20"/>
          <w:szCs w:val="20"/>
          <w:color w:val="auto"/>
        </w:rPr>
      </w:pPr>
    </w:p>
    <w:p>
      <w:pPr>
        <w:ind w:left="120"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7</w:t>
      </w:r>
      <w:r>
        <w:rPr>
          <w:rFonts w:ascii="Times New Roman" w:cs="Times New Roman" w:eastAsia="Times New Roman" w:hAnsi="Times New Roman"/>
          <w:sz w:val="18"/>
          <w:szCs w:val="18"/>
          <w:color w:val="auto"/>
          <w:strike w:val="1"/>
        </w:rPr>
        <w:t>9</w:t>
      </w:r>
      <w:r>
        <w:rPr>
          <w:rFonts w:ascii="Times New Roman" w:cs="Times New Roman" w:eastAsia="Times New Roman" w:hAnsi="Times New Roman"/>
          <w:sz w:val="18"/>
          <w:szCs w:val="18"/>
          <w:color w:val="auto"/>
        </w:rPr>
        <w:t>) At any meeting of stockholders at which directors are elected, directors shall be elected by a plurality of the voting power of the shares entitled to vote on the election of directors and present in person or by proxy at the meeting. Elections of directors of the Corporation need not be by written ballot, except and to the extent provided in the Bylaws of the Corporation.</w:t>
      </w:r>
    </w:p>
    <w:p>
      <w:pPr>
        <w:spacing w:after="0" w:line="171" w:lineRule="exact"/>
        <w:rPr>
          <w:sz w:val="20"/>
          <w:szCs w:val="20"/>
          <w:color w:val="auto"/>
        </w:rPr>
      </w:pPr>
    </w:p>
    <w:p>
      <w:pPr>
        <w:ind w:left="120"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8</w:t>
      </w:r>
      <w:r>
        <w:rPr>
          <w:rFonts w:ascii="Times New Roman" w:cs="Times New Roman" w:eastAsia="Times New Roman" w:hAnsi="Times New Roman"/>
          <w:sz w:val="18"/>
          <w:szCs w:val="18"/>
          <w:color w:val="auto"/>
          <w:strike w:val="1"/>
        </w:rPr>
        <w:t>10</w:t>
      </w:r>
      <w:r>
        <w:rPr>
          <w:rFonts w:ascii="Times New Roman" w:cs="Times New Roman" w:eastAsia="Times New Roman" w:hAnsi="Times New Roman"/>
          <w:sz w:val="18"/>
          <w:szCs w:val="18"/>
          <w:color w:val="auto"/>
        </w:rPr>
        <w:t>) To the fullest extent permitted by the General Corporation Law as it now exists and as it may hereafter be amended, no director of the Corporation shall be personally liable to the Corporation or its stockholders for monetary damages for breach of fiduciary duty as a director. For the avoidance of all doubt, notwithstanding any other provision in this Certificate of Incorporation, no amendment to, modification of or repeal of this paragraph (</w:t>
      </w:r>
      <w:r>
        <w:rPr>
          <w:rFonts w:ascii="Times New Roman" w:cs="Times New Roman" w:eastAsia="Times New Roman" w:hAnsi="Times New Roman"/>
          <w:sz w:val="18"/>
          <w:szCs w:val="18"/>
          <w:b w:val="1"/>
          <w:bCs w:val="1"/>
          <w:u w:val="single" w:color="auto"/>
          <w:color w:val="auto"/>
        </w:rPr>
        <w:t>8</w:t>
      </w:r>
      <w:r>
        <w:rPr>
          <w:rFonts w:ascii="Times New Roman" w:cs="Times New Roman" w:eastAsia="Times New Roman" w:hAnsi="Times New Roman"/>
          <w:sz w:val="18"/>
          <w:szCs w:val="18"/>
          <w:color w:val="auto"/>
          <w:strike w:val="1"/>
        </w:rPr>
        <w:t>10</w:t>
      </w:r>
      <w:r>
        <w:rPr>
          <w:rFonts w:ascii="Times New Roman" w:cs="Times New Roman" w:eastAsia="Times New Roman" w:hAnsi="Times New Roman"/>
          <w:sz w:val="18"/>
          <w:szCs w:val="18"/>
          <w:color w:val="auto"/>
        </w:rPr>
        <w:t>) shall apply to or have any effect on the liability or alleged liability of any director of the Corporation for or with respect to any acts or omissions of such director occurring prior to such amendment.</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9</w:t>
      </w:r>
      <w:r>
        <w:rPr>
          <w:rFonts w:ascii="Times New Roman" w:cs="Times New Roman" w:eastAsia="Times New Roman" w:hAnsi="Times New Roman"/>
          <w:sz w:val="18"/>
          <w:szCs w:val="18"/>
          <w:color w:val="auto"/>
          <w:strike w:val="1"/>
        </w:rPr>
        <w:t>11</w:t>
      </w:r>
      <w:r>
        <w:rPr>
          <w:rFonts w:ascii="Times New Roman" w:cs="Times New Roman" w:eastAsia="Times New Roman" w:hAnsi="Times New Roman"/>
          <w:sz w:val="18"/>
          <w:szCs w:val="18"/>
          <w:color w:val="auto"/>
        </w:rPr>
        <w:t>) Nothing in this Article V shall be deemed to affect or restrict (i) any rights of the holders of any series of Preferred Stock to elect directors as provided for or fixed pursuant to the provisions of Article IV, or (ii) the ability of the Board to provide, pursuant to Article IV, for the preferences and relative, participating, optional or other special rights, if any, and any qualifications, limitations or restrictions thereof, of the shares of any series of Preferred Stock, including with regard to those directors, if any, to be elected by the holders of any series of Preferred Stock.</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Amendment to Amended and Restated Certificate of Incorporation</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Additions to the Amended and Restated Certificate of Incorporation pursuant the Bylaw Supermajority Amendment contemplated by Proposal 4 are indicated below by bold, underlined text and deletions contemplated thereby are indicated below by strike-out text. The full text of the Company’s currently applicable Amended and Restated Certificate of Incorporation was filed as an exhibit to the Company’s Quarterly Report on Form 10-Q filed with the SEC on September 8, 2020.</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proposed Bylaw Supermajority Amendment changes to Article IX are set forth below:</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by the General Corporation Law, the Board shall expressly have the power to adopt, amend or repeal the Bylaws of the Corporation. Any adoption, amendment or repeal of the Bylaws of the Corporation by the Board shall require the approval of a majority of the entire Board. The stockholders shall also have the power to adopt, amend or repeal the Bylaws of the Corporation, provided, however, that, in addition to any vote of the holders of any class or series of stock of the Corporation required by law or by this Certificate of Incorporation, the affirmative vote of at least </w:t>
      </w:r>
      <w:r>
        <w:rPr>
          <w:rFonts w:ascii="Times New Roman" w:cs="Times New Roman" w:eastAsia="Times New Roman" w:hAnsi="Times New Roman"/>
          <w:sz w:val="18"/>
          <w:szCs w:val="18"/>
          <w:color w:val="auto"/>
          <w:strike w:val="1"/>
        </w:rPr>
        <w:t>sixty-six and two-thirds percent (66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 majority</w:t>
      </w:r>
      <w:r>
        <w:rPr>
          <w:rFonts w:ascii="Times New Roman" w:cs="Times New Roman" w:eastAsia="Times New Roman" w:hAnsi="Times New Roman"/>
          <w:sz w:val="18"/>
          <w:szCs w:val="18"/>
          <w:color w:val="auto"/>
        </w:rPr>
        <w:t xml:space="preserve"> of the voting power of the then-outstanding voting stock of the Corporation, voting together as a single class, shall be required for our stockholders to amend, repeal or adopt any provision of the Bylaws of the Corporation.</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00"/>
          </w:cols>
          <w:pgMar w:left="320" w:top="482" w:right="5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Amendment to Amended and Restated Certificate of Incorporation</w:t>
      </w:r>
    </w:p>
    <w:p>
      <w:pPr>
        <w:spacing w:after="0" w:line="22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Additions to the Amended and Restated Certificate of Incorporation pursuant the Charter Supermajority Amendment contemplated by Proposal 5 are indicated below by bold, underlined text and deletions contemplated thereby are indicated below by strike-out text. The full text of the Company’s currently applicable Amended and Restated Certificate of Incorporation was filed as an exhibit to the Company’s Quarterly Report on Form 10-Q filed with the SEC on September 8, 2020.</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proposed Charter Supermajority Amendment changes to Article X are set forth below:</w:t>
      </w:r>
    </w:p>
    <w:p>
      <w:pPr>
        <w:spacing w:after="0" w:line="225" w:lineRule="exact"/>
        <w:rPr>
          <w:sz w:val="20"/>
          <w:szCs w:val="20"/>
          <w:color w:val="auto"/>
        </w:rPr>
      </w:pPr>
    </w:p>
    <w:p>
      <w:pPr>
        <w:ind w:left="120" w:firstLine="436"/>
        <w:spacing w:after="0" w:line="258"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Certificate of Incorporation to the contrary, and in addition to any affirmative vote of the holders of any particular class of stock of the Corporation required by applicable law or this Certificate of Incorporation, the affirmative vote of at least </w:t>
      </w:r>
      <w:r>
        <w:rPr>
          <w:rFonts w:ascii="Times New Roman" w:cs="Times New Roman" w:eastAsia="Times New Roman" w:hAnsi="Times New Roman"/>
          <w:sz w:val="18"/>
          <w:szCs w:val="18"/>
          <w:color w:val="auto"/>
          <w:strike w:val="1"/>
        </w:rPr>
        <w:t>sixty-six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and two-thirds percent (66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 majority</w:t>
      </w:r>
      <w:r>
        <w:rPr>
          <w:rFonts w:ascii="Times New Roman" w:cs="Times New Roman" w:eastAsia="Times New Roman" w:hAnsi="Times New Roman"/>
          <w:sz w:val="18"/>
          <w:szCs w:val="18"/>
          <w:color w:val="auto"/>
        </w:rPr>
        <w:t xml:space="preserve"> of the voting power of the then-outstanding voting stock of the Corporation, voting together as a single class, shall be required for our stockholders to amend, repeal or adopt any provisions of this Certificate of Incorporation </w:t>
      </w:r>
      <w:r>
        <w:rPr>
          <w:rFonts w:ascii="Times New Roman" w:cs="Times New Roman" w:eastAsia="Times New Roman" w:hAnsi="Times New Roman"/>
          <w:sz w:val="18"/>
          <w:szCs w:val="18"/>
          <w:color w:val="auto"/>
          <w:strike w:val="1"/>
        </w:rPr>
        <w:t>inconsistent with 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paragraphs (2) and (4) of Article VII, or this Article X of this Certificate of Incorporation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100"/>
          </w:cols>
          <w:pgMar w:left="320" w:top="482"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454775" cy="8375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54775" cy="837501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454775" cy="8375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54775" cy="837501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lvl>
    <w:lvl w:ilvl="1">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1)"/>
      <w:numFmt w:val="decimal"/>
      <w:start w:val="8"/>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4"/>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2"/>
    </w:lvl>
  </w:abstractNum>
  <w:abstractNum w:abstractNumId="28">
    <w:nsid w:val="3006C83E"/>
    <w:multiLevelType w:val="hybridMultilevel"/>
    <w:lvl w:ilvl="0">
      <w:lvlJc w:val="left"/>
      <w:lvlText w:val="(%1)"/>
      <w:numFmt w:val="decimal"/>
      <w:start w:val="3"/>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832"/>
    </w:lvl>
  </w:abstractNum>
  <w:abstractNum w:abstractNumId="33">
    <w:nsid w:val="5072367"/>
    <w:multiLevelType w:val="hybridMultilevel"/>
    <w:lvl w:ilvl="0">
      <w:lvlJc w:val="left"/>
      <w:lvlText w:val="(%1)"/>
      <w:numFmt w:val="lowerRoman"/>
      <w:start w:val="5"/>
    </w:lvl>
  </w:abstractNum>
  <w:abstractNum w:abstractNumId="34">
    <w:nsid w:val="3804823E"/>
    <w:multiLevelType w:val="hybridMultilevel"/>
    <w:lvl w:ilvl="0">
      <w:lvlJc w:val="left"/>
      <w:lvlText w:val="(%1)"/>
      <w:numFmt w:val="decimal"/>
      <w:start w:val="3"/>
    </w:lvl>
  </w:abstractNum>
  <w:abstractNum w:abstractNumId="35">
    <w:nsid w:val="77465F01"/>
    <w:multiLevelType w:val="hybridMultilevel"/>
    <w:lvl w:ilvl="0">
      <w:lvlJc w:val="left"/>
      <w:lvlText w:val="(%1)"/>
      <w:numFmt w:val="decimal"/>
      <w:start w:val="7"/>
    </w:lvl>
  </w:abstractNum>
  <w:abstractNum w:abstractNumId="36">
    <w:nsid w:val="7724C67E"/>
    <w:multiLevelType w:val="hybridMultilevel"/>
    <w:lvl w:ilvl="0">
      <w:lvlJc w:val="left"/>
      <w:lvlText w:val="(%1)"/>
      <w:numFmt w:val="decimal"/>
      <w:start w:val="6"/>
    </w:lvl>
  </w:abstractNum>
  <w:abstractNum w:abstractNumId="37">
    <w:nsid w:val="5C482A9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2026-03-26T15:22:37Z</dcterms:created>
  <dcterms:modified xsi:type="dcterms:W3CDTF">2026-03-26T15:22:37Z</dcterms:modified>
</cp:coreProperties>
</file>