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ind w:left="0" w:right="0" w:firstLine="27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10-K</w:t>
      </w:r>
    </w:p>
    <w:p>
      <w:pPr>
        <w:pStyle w:val="TextBody"/>
        <w:bidi w:val="0"/>
        <w:spacing w:lineRule="auto" w:line="288" w:before="100" w:after="283"/>
        <w:jc w:val="left"/>
        <w:rPr/>
      </w:pPr>
      <w:r>
        <w:rPr>
          <w:rFonts w:ascii="Times New Roman;serif" w:hAnsi="Times New Roman;serif"/>
          <w:b/>
          <w:color w:val="000000"/>
          <w:sz w:val="18"/>
        </w:rPr>
        <w:t>(</w:t>
      </w:r>
      <w:r>
        <w:rPr>
          <w:rFonts w:ascii="Times New Roman;serif" w:hAnsi="Times New Roman;serif"/>
          <w:b/>
          <w:color w:val="000000"/>
          <w:sz w:val="16"/>
        </w:rPr>
        <w:t>Mark One)</w:t>
      </w:r>
    </w:p>
    <w:tbl>
      <w:tblPr>
        <w:tblW w:w="8682" w:type="dxa"/>
        <w:jc w:val="center"/>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fiscal year ended December 31, 2025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tbl>
      <w:tblPr>
        <w:tblW w:w="2610" w:type="dxa"/>
        <w:jc w:val="center"/>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to </w:t>
            </w:r>
          </w:p>
        </w:tc>
      </w:tr>
    </w:tbl>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01-38609 </w:t>
      </w:r>
    </w:p>
    <w:p>
      <w:pPr>
        <w:pStyle w:val="TextBody"/>
        <w:bidi w:val="0"/>
        <w:spacing w:lineRule="auto" w:line="288" w:before="0" w:after="0"/>
        <w:jc w:val="center"/>
        <w:rPr/>
      </w:pPr>
      <w:r>
        <w:rPr>
          <w:color w:val="000000"/>
        </w:rPr>
        <w:t> </w:t>
      </w:r>
      <w:r>
        <w:rPr>
          <w:rFonts w:ascii="Times New Roman;serif" w:hAnsi="Times New Roman;serif"/>
          <w:b/>
          <w:color w:val="000000"/>
          <w:sz w:val="32"/>
        </w:rPr>
        <w:t>KLX Energy Services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30"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799"/>
        <w:gridCol w:w="799"/>
        <w:gridCol w:w="1146"/>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36-4904146</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 xml:space="preserve">3040 Post Oak Boulevard, 15th Floor,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Houston, TX 77056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(832) 844-1015</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principal executive offices of registrant)</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39"/>
        <w:gridCol w:w="999"/>
        <w:gridCol w:w="1012"/>
        <w:gridCol w:w="484"/>
        <w:gridCol w:w="484"/>
        <w:gridCol w:w="486"/>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KLXE</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if the Registrant is not required to file reports pursuant to Section 13 or Section 15(d) of the Act. Yes ☐ No ☒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72"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80"/>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40" w:after="283"/>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As of June 30, 2025, the aggregate market value of the registrant’s common stock held by non</w:t>
        <w:noBreakHyphen/>
        <w:t>affiliates was approximately $29.0 million. Shares of common stock held by executive officers and directors have been excluded since such persons may be deemed affiliates. This determination of affiliate status is not a determination for any other purpose. The registrant has one class of common stock, $0.01 par value, of which 19,529,046 shares were outstanding as of February 27, 2026.</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DOCUMENTS INCORPORATED BY REFERENCE: </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for its annual meeting of stockholders to be held on May 6, 2026, which will be filed with the Securities and Exchange Commission within 120 days of December 31, 2025, are incorporated by reference in 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149"/>
        <w:gridCol w:w="130"/>
        <w:gridCol w:w="130"/>
        <w:gridCol w:w="3148"/>
        <w:gridCol w:w="3083"/>
        <w:gridCol w:w="3096"/>
        <w:gridCol w:w="136"/>
        <w:gridCol w:w="136"/>
        <w:gridCol w:w="197"/>
      </w:tblGrid>
      <w:tr>
        <w:trPr/>
        <w:tc>
          <w:tcPr>
            <w:tcW w:w="1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PART I </w:t>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6">
              <w:r>
                <w:rPr>
                  <w:rStyle w:val="InternetLink"/>
                  <w:rFonts w:ascii="Arial;sans-serif" w:hAnsi="Arial;sans-serif"/>
                  <w:b w:val="false"/>
                  <w:color w:val="0000FF"/>
                  <w:sz w:val="20"/>
                  <w:u w:val="single"/>
                </w:rPr>
                <w:t>Item 1. 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6">
              <w:r>
                <w:rPr>
                  <w:rStyle w:val="InternetLink"/>
                  <w:rFonts w:ascii="Arial;sans-serif" w:hAnsi="Arial;sans-serif"/>
                  <w:b w:val="false"/>
                  <w:color w:val="0000FF"/>
                  <w:sz w:val="20"/>
                  <w:u w:val="single"/>
                </w:rPr>
                <w:t>8</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9">
              <w:r>
                <w:rPr>
                  <w:rStyle w:val="InternetLink"/>
                  <w:rFonts w:ascii="Arial;sans-serif" w:hAnsi="Arial;sans-serif"/>
                  <w:b w:val="false"/>
                  <w:color w:val="0000FF"/>
                  <w:sz w:val="20"/>
                  <w:u w:val="single"/>
                </w:rPr>
                <w:t>Item 1A. 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9">
              <w:r>
                <w:rPr>
                  <w:rStyle w:val="InternetLink"/>
                  <w:rFonts w:ascii="Arial;sans-serif" w:hAnsi="Arial;sans-serif"/>
                  <w:b w:val="false"/>
                  <w:color w:val="0000FF"/>
                  <w:sz w:val="20"/>
                  <w:u w:val="single"/>
                </w:rPr>
                <w:t>23</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22">
              <w:r>
                <w:rPr>
                  <w:rStyle w:val="InternetLink"/>
                  <w:rFonts w:ascii="Arial;sans-serif" w:hAnsi="Arial;sans-serif"/>
                  <w:b w:val="false"/>
                  <w:color w:val="0000FF"/>
                  <w:sz w:val="20"/>
                  <w:u w:val="single"/>
                </w:rPr>
                <w:t>Item 1B. 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22">
              <w:r>
                <w:rPr>
                  <w:rStyle w:val="InternetLink"/>
                  <w:rFonts w:ascii="Arial;sans-serif" w:hAnsi="Arial;sans-serif"/>
                  <w:b w:val="false"/>
                  <w:color w:val="0000FF"/>
                  <w:sz w:val="20"/>
                  <w:u w:val="single"/>
                </w:rPr>
                <w:t>48</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25">
              <w:r>
                <w:rPr>
                  <w:rStyle w:val="InternetLink"/>
                  <w:rFonts w:ascii="Arial;sans-serif" w:hAnsi="Arial;sans-serif"/>
                  <w:b w:val="false"/>
                  <w:color w:val="0000FF"/>
                  <w:sz w:val="20"/>
                  <w:u w:val="single"/>
                </w:rPr>
                <w:t>Item 1C. 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22">
              <w:r>
                <w:rPr>
                  <w:rStyle w:val="InternetLink"/>
                  <w:rFonts w:ascii="Arial;sans-serif" w:hAnsi="Arial;sans-serif"/>
                  <w:b w:val="false"/>
                  <w:color w:val="0000FF"/>
                  <w:sz w:val="20"/>
                  <w:u w:val="single"/>
                </w:rPr>
                <w:t>48</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28">
              <w:r>
                <w:rPr>
                  <w:rStyle w:val="InternetLink"/>
                  <w:rFonts w:ascii="Arial;sans-serif" w:hAnsi="Arial;sans-serif"/>
                  <w:b w:val="false"/>
                  <w:color w:val="0000FF"/>
                  <w:sz w:val="20"/>
                  <w:u w:val="single"/>
                </w:rPr>
                <w:t>Item 2. 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28">
              <w:r>
                <w:rPr>
                  <w:rStyle w:val="InternetLink"/>
                  <w:rFonts w:ascii="Arial;sans-serif" w:hAnsi="Arial;sans-serif"/>
                  <w:b w:val="false"/>
                  <w:color w:val="0000FF"/>
                  <w:sz w:val="20"/>
                  <w:u w:val="single"/>
                </w:rPr>
                <w:t>50</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31">
              <w:r>
                <w:rPr>
                  <w:rStyle w:val="InternetLink"/>
                  <w:rFonts w:ascii="Arial;sans-serif" w:hAnsi="Arial;sans-serif"/>
                  <w:b w:val="false"/>
                  <w:color w:val="0000FF"/>
                  <w:sz w:val="20"/>
                  <w:u w:val="single"/>
                </w:rPr>
                <w:t>Item 3. 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31">
              <w:r>
                <w:rPr>
                  <w:rStyle w:val="InternetLink"/>
                  <w:rFonts w:ascii="Arial;sans-serif" w:hAnsi="Arial;sans-serif"/>
                  <w:b w:val="false"/>
                  <w:color w:val="0000FF"/>
                  <w:sz w:val="20"/>
                  <w:u w:val="single"/>
                </w:rPr>
                <w:t>50</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34">
              <w:r>
                <w:rPr>
                  <w:rStyle w:val="InternetLink"/>
                  <w:rFonts w:ascii="Arial;sans-serif" w:hAnsi="Arial;sans-serif"/>
                  <w:b w:val="false"/>
                  <w:color w:val="0000FF"/>
                  <w:sz w:val="20"/>
                  <w:u w:val="single"/>
                </w:rPr>
                <w:t>Item 4. 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34">
              <w:r>
                <w:rPr>
                  <w:rStyle w:val="InternetLink"/>
                  <w:rFonts w:ascii="Arial;sans-serif" w:hAnsi="Arial;sans-serif"/>
                  <w:b w:val="false"/>
                  <w:color w:val="0000FF"/>
                  <w:sz w:val="20"/>
                  <w:u w:val="single"/>
                </w:rPr>
                <w:t>50</w:t>
              </w:r>
            </w:hyperlink>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PART II </w:t>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40">
              <w:r>
                <w:rPr>
                  <w:rStyle w:val="InternetLink"/>
                  <w:rFonts w:ascii="Arial;sans-serif" w:hAnsi="Arial;sans-serif"/>
                  <w:b w:val="false"/>
                  <w:color w:val="0000FF"/>
                  <w:sz w:val="20"/>
                  <w:u w:val="single"/>
                </w:rPr>
                <w:t>Item 5. Market for Registrant's Common Equity, Related Shareholder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40">
              <w:r>
                <w:rPr>
                  <w:rStyle w:val="InternetLink"/>
                  <w:rFonts w:ascii="Arial;sans-serif" w:hAnsi="Arial;sans-serif"/>
                  <w:b w:val="false"/>
                  <w:color w:val="0000FF"/>
                  <w:sz w:val="20"/>
                  <w:u w:val="single"/>
                </w:rPr>
                <w:t>51</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43">
              <w:r>
                <w:rPr>
                  <w:rStyle w:val="InternetLink"/>
                  <w:rFonts w:ascii="Arial;sans-serif" w:hAnsi="Arial;sans-serif"/>
                  <w:b w:val="false"/>
                  <w:color w:val="0000FF"/>
                  <w:sz w:val="20"/>
                  <w:u w:val="single"/>
                </w:rPr>
                <w:t>Item 6. 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43">
              <w:r>
                <w:rPr>
                  <w:rStyle w:val="InternetLink"/>
                  <w:rFonts w:ascii="Arial;sans-serif" w:hAnsi="Arial;sans-serif"/>
                  <w:b w:val="false"/>
                  <w:color w:val="0000FF"/>
                  <w:sz w:val="20"/>
                  <w:u w:val="single"/>
                </w:rPr>
                <w:t>51</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46">
              <w:r>
                <w:rPr>
                  <w:rStyle w:val="InternetLink"/>
                  <w:rFonts w:ascii="Arial;sans-serif" w:hAnsi="Arial;sans-serif"/>
                  <w:b w:val="false"/>
                  <w:color w:val="0000FF"/>
                  <w:sz w:val="20"/>
                  <w:u w:val="single"/>
                </w:rPr>
                <w:t>Item 7. 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46">
              <w:r>
                <w:rPr>
                  <w:rStyle w:val="InternetLink"/>
                  <w:rFonts w:ascii="Arial;sans-serif" w:hAnsi="Arial;sans-serif"/>
                  <w:b w:val="false"/>
                  <w:color w:val="0000FF"/>
                  <w:sz w:val="20"/>
                  <w:u w:val="single"/>
                </w:rPr>
                <w:t>53</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61">
              <w:r>
                <w:rPr>
                  <w:rStyle w:val="InternetLink"/>
                  <w:rFonts w:ascii="Arial;sans-serif" w:hAnsi="Arial;sans-serif"/>
                  <w:b w:val="false"/>
                  <w:color w:val="0000FF"/>
                  <w:sz w:val="20"/>
                  <w:u w:val="single"/>
                </w:rPr>
                <w:t>Item 7A. 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61">
              <w:r>
                <w:rPr>
                  <w:rStyle w:val="InternetLink"/>
                  <w:rFonts w:ascii="Arial;sans-serif" w:hAnsi="Arial;sans-serif"/>
                  <w:b w:val="false"/>
                  <w:color w:val="0000FF"/>
                  <w:sz w:val="20"/>
                  <w:u w:val="single"/>
                </w:rPr>
                <w:t>66</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64">
              <w:r>
                <w:rPr>
                  <w:rStyle w:val="InternetLink"/>
                  <w:rFonts w:ascii="Arial;sans-serif" w:hAnsi="Arial;sans-serif"/>
                  <w:b w:val="false"/>
                  <w:color w:val="0000FF"/>
                  <w:sz w:val="20"/>
                  <w:u w:val="single"/>
                </w:rPr>
                <w:t>Item 8. Financial Statements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64">
              <w:r>
                <w:rPr>
                  <w:rStyle w:val="InternetLink"/>
                  <w:rFonts w:ascii="Arial;sans-serif" w:hAnsi="Arial;sans-serif"/>
                  <w:b w:val="false"/>
                  <w:color w:val="0000FF"/>
                  <w:sz w:val="20"/>
                  <w:u w:val="single"/>
                </w:rPr>
                <w:t>67</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45">
              <w:r>
                <w:rPr>
                  <w:rStyle w:val="InternetLink"/>
                  <w:rFonts w:ascii="Arial;sans-serif" w:hAnsi="Arial;sans-serif"/>
                  <w:b w:val="false"/>
                  <w:color w:val="0000FF"/>
                  <w:sz w:val="20"/>
                  <w:u w:val="single"/>
                </w:rPr>
                <w:t>Item 9. 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45">
              <w:r>
                <w:rPr>
                  <w:rStyle w:val="InternetLink"/>
                  <w:rFonts w:ascii="Arial;sans-serif" w:hAnsi="Arial;sans-serif"/>
                  <w:b w:val="false"/>
                  <w:color w:val="0000FF"/>
                  <w:sz w:val="20"/>
                  <w:u w:val="single"/>
                </w:rPr>
                <w:t>92</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48">
              <w:r>
                <w:rPr>
                  <w:rStyle w:val="InternetLink"/>
                  <w:rFonts w:ascii="Arial;sans-serif" w:hAnsi="Arial;sans-serif"/>
                  <w:b w:val="false"/>
                  <w:color w:val="0000FF"/>
                  <w:sz w:val="20"/>
                  <w:u w:val="single"/>
                </w:rPr>
                <w:t>Item 9A. 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48">
              <w:r>
                <w:rPr>
                  <w:rStyle w:val="InternetLink"/>
                  <w:rFonts w:ascii="Arial;sans-serif" w:hAnsi="Arial;sans-serif"/>
                  <w:b w:val="false"/>
                  <w:color w:val="0000FF"/>
                  <w:sz w:val="20"/>
                  <w:u w:val="single"/>
                </w:rPr>
                <w:t>93</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51">
              <w:r>
                <w:rPr>
                  <w:rStyle w:val="InternetLink"/>
                  <w:rFonts w:ascii="Arial;sans-serif" w:hAnsi="Arial;sans-serif"/>
                  <w:b w:val="false"/>
                  <w:color w:val="0000FF"/>
                  <w:sz w:val="20"/>
                  <w:u w:val="single"/>
                </w:rPr>
                <w:t>Item 9B. 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51">
              <w:r>
                <w:rPr>
                  <w:rStyle w:val="InternetLink"/>
                  <w:rFonts w:ascii="Arial;sans-serif" w:hAnsi="Arial;sans-serif"/>
                  <w:b w:val="false"/>
                  <w:color w:val="0000FF"/>
                  <w:sz w:val="20"/>
                  <w:u w:val="single"/>
                </w:rPr>
                <w:t>93</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54">
              <w:r>
                <w:rPr>
                  <w:rStyle w:val="InternetLink"/>
                  <w:rFonts w:ascii="Arial;sans-serif" w:hAnsi="Arial;sans-serif"/>
                  <w:b w:val="false"/>
                  <w:color w:val="0000FF"/>
                  <w:sz w:val="20"/>
                  <w:u w:val="single"/>
                </w:rPr>
                <w:t>Item 9C. Disclosure Regarding Foreign Jurisdictions That Prevent Inspection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54">
              <w:r>
                <w:rPr>
                  <w:rStyle w:val="InternetLink"/>
                  <w:rFonts w:ascii="Arial;sans-serif" w:hAnsi="Arial;sans-serif"/>
                  <w:b w:val="false"/>
                  <w:color w:val="0000FF"/>
                  <w:sz w:val="20"/>
                  <w:u w:val="single"/>
                </w:rPr>
                <w:t>94</w:t>
              </w:r>
            </w:hyperlink>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PART III </w:t>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60">
              <w:r>
                <w:rPr>
                  <w:rStyle w:val="InternetLink"/>
                  <w:rFonts w:ascii="Arial;sans-serif" w:hAnsi="Arial;sans-serif"/>
                  <w:b w:val="false"/>
                  <w:color w:val="0000FF"/>
                  <w:sz w:val="20"/>
                  <w:u w:val="single"/>
                </w:rPr>
                <w:t>Item 10. 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60">
              <w:r>
                <w:rPr>
                  <w:rStyle w:val="InternetLink"/>
                  <w:rFonts w:ascii="Arial;sans-serif" w:hAnsi="Arial;sans-serif"/>
                  <w:b w:val="false"/>
                  <w:color w:val="0000FF"/>
                  <w:sz w:val="20"/>
                  <w:u w:val="single"/>
                </w:rPr>
                <w:t>94</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63">
              <w:r>
                <w:rPr>
                  <w:rStyle w:val="InternetLink"/>
                  <w:rFonts w:ascii="Arial;sans-serif" w:hAnsi="Arial;sans-serif"/>
                  <w:b w:val="false"/>
                  <w:color w:val="0000FF"/>
                  <w:sz w:val="20"/>
                  <w:u w:val="single"/>
                </w:rPr>
                <w:t>Item 11. 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63">
              <w:r>
                <w:rPr>
                  <w:rStyle w:val="InternetLink"/>
                  <w:rFonts w:ascii="Arial;sans-serif" w:hAnsi="Arial;sans-serif"/>
                  <w:b w:val="false"/>
                  <w:color w:val="0000FF"/>
                  <w:sz w:val="20"/>
                  <w:u w:val="single"/>
                </w:rPr>
                <w:t>98</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66">
              <w:r>
                <w:rPr>
                  <w:rStyle w:val="InternetLink"/>
                  <w:rFonts w:ascii="Arial;sans-serif" w:hAnsi="Arial;sans-serif"/>
                  <w:b w:val="false"/>
                  <w:color w:val="0000FF"/>
                  <w:sz w:val="20"/>
                  <w:u w:val="single"/>
                </w:rPr>
                <w:t>Item 12. Security Ownership of Certain Beneficial Owners and Management and Related Shareholder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66">
              <w:r>
                <w:rPr>
                  <w:rStyle w:val="InternetLink"/>
                  <w:rFonts w:ascii="Arial;sans-serif" w:hAnsi="Arial;sans-serif"/>
                  <w:b w:val="false"/>
                  <w:color w:val="0000FF"/>
                  <w:sz w:val="20"/>
                  <w:u w:val="single"/>
                </w:rPr>
                <w:t>99</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69">
              <w:r>
                <w:rPr>
                  <w:rStyle w:val="InternetLink"/>
                  <w:rFonts w:ascii="Arial;sans-serif" w:hAnsi="Arial;sans-serif"/>
                  <w:b w:val="false"/>
                  <w:color w:val="0000FF"/>
                  <w:sz w:val="20"/>
                  <w:u w:val="single"/>
                </w:rPr>
                <w:t>Item 13. 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69">
              <w:r>
                <w:rPr>
                  <w:rStyle w:val="InternetLink"/>
                  <w:rFonts w:ascii="Arial;sans-serif" w:hAnsi="Arial;sans-serif"/>
                  <w:b w:val="false"/>
                  <w:color w:val="0000FF"/>
                  <w:sz w:val="20"/>
                  <w:u w:val="single"/>
                </w:rPr>
                <w:t>99</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72">
              <w:r>
                <w:rPr>
                  <w:rStyle w:val="InternetLink"/>
                  <w:rFonts w:ascii="Arial;sans-serif" w:hAnsi="Arial;sans-serif"/>
                  <w:b w:val="false"/>
                  <w:color w:val="0000FF"/>
                  <w:sz w:val="20"/>
                  <w:u w:val="single"/>
                </w:rPr>
                <w:t>Item 14. Principal Accounting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72">
              <w:r>
                <w:rPr>
                  <w:rStyle w:val="InternetLink"/>
                  <w:rFonts w:ascii="Arial;sans-serif" w:hAnsi="Arial;sans-serif"/>
                  <w:b w:val="false"/>
                  <w:color w:val="0000FF"/>
                  <w:sz w:val="20"/>
                  <w:u w:val="single"/>
                </w:rPr>
                <w:t>99</w:t>
              </w:r>
            </w:hyperlink>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PART IV</w:t>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78">
              <w:r>
                <w:rPr>
                  <w:rStyle w:val="InternetLink"/>
                  <w:rFonts w:ascii="Arial;sans-serif" w:hAnsi="Arial;sans-serif"/>
                  <w:b w:val="false"/>
                  <w:color w:val="0000FF"/>
                  <w:sz w:val="20"/>
                  <w:u w:val="single"/>
                </w:rPr>
                <w:t>Item 15. Exhibits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78">
              <w:r>
                <w:rPr>
                  <w:rStyle w:val="InternetLink"/>
                  <w:rFonts w:ascii="Arial;sans-serif" w:hAnsi="Arial;sans-serif"/>
                  <w:b w:val="false"/>
                  <w:color w:val="0000FF"/>
                  <w:sz w:val="20"/>
                  <w:u w:val="single"/>
                </w:rPr>
                <w:t>99</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81">
              <w:r>
                <w:rPr>
                  <w:rStyle w:val="InternetLink"/>
                  <w:rFonts w:ascii="Arial;sans-serif" w:hAnsi="Arial;sans-serif"/>
                  <w:b w:val="false"/>
                  <w:color w:val="0000FF"/>
                  <w:sz w:val="20"/>
                  <w:u w:val="single"/>
                </w:rPr>
                <w:t>Item 16. 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81">
              <w:r>
                <w:rPr>
                  <w:rStyle w:val="InternetLink"/>
                  <w:rFonts w:ascii="Arial;sans-serif" w:hAnsi="Arial;sans-serif"/>
                  <w:b w:val="false"/>
                  <w:color w:val="0000FF"/>
                  <w:sz w:val="20"/>
                  <w:u w:val="single"/>
                </w:rPr>
                <w:t>103</w:t>
              </w:r>
            </w:hyperlink>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184">
              <w:r>
                <w:rPr>
                  <w:rStyle w:val="InternetLink"/>
                  <w:rFonts w:ascii="Arial;sans-serif" w:hAnsi="Arial;sans-serif"/>
                  <w:b w:val="false"/>
                  <w:color w:val="0000FF"/>
                  <w:sz w:val="20"/>
                  <w:u w:val="single"/>
                </w:rPr>
                <w:t>Signatures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6408483fb4c12acfe74e56095368a_184">
              <w:r>
                <w:rPr>
                  <w:rStyle w:val="InternetLink"/>
                  <w:rFonts w:ascii="Arial;sans-serif" w:hAnsi="Arial;sans-serif"/>
                  <w:b w:val="false"/>
                  <w:color w:val="0000FF"/>
                  <w:sz w:val="20"/>
                  <w:u w:val="single"/>
                </w:rPr>
                <w:t>105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w:t>
        <w:noBreakHyphen/>
        <w:t>looking statements to encourage companies to provide prospective information to investors. This Annual Report on Form 10</w:t>
        <w:noBreakHyphen/>
        <w:t>K (this “Annual Report”) includes forward</w:t>
        <w:noBreakHyphen/>
        <w:t>looking statements that reflect our current expectations and projections about our future results, performance and prospects. Forward</w:t>
        <w:noBreakHyphen/>
        <w:t>looking statements include all statements that are not historical in nature or are not current facts. When used in this Annual Report, the words “believe,” “expect,” “plan,” “intend,” “anticipate,” “estimate,” “predict,” “potential,” “continue,” “may,” “might,” “should,” “could,” “will” or the negative of these terms or similar expressions are intended to identify forward</w:t>
        <w:noBreakHyphen/>
        <w:t xml:space="preserve">looking statements, although not all forward-looking statements contain such identifying words.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w:t>
        <w:noBreakHyphen/>
        <w:t>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w:t>
        <w:noBreakHyphen/>
        <w:t xml:space="preserve">looking statements. Factors that might cause such a difference include those discussed in our filings with the Securities and Exchange Commission (the "SEC"), in particular those discussed under “Item 1A. Risk Factors,” as well as “Item 1. Business”, “Item 7. Management’s Discussion and Analysis of Financial Condition and Results of Operations” and elsewhere in this Annual Report, including the following factors: </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compliance with the covenants in our debt agreements and our liquidity levels and 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 par value $0.01 per share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supply, demand and costs of equipment, including as a result of tariffs;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("IT")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a global pandemic and subsequent variants;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light of these risks and uncertainties, you are cautioned not to put undue reliance on any forward-looking statements in this Annual Report. These statements should be considered only after carefully reading this entire Annual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Annual Report not to occur.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Annual Report are expressly qualified in their entirety by this cautionary statement. This cautionary statement should also be considered in connection with any subsequent written or oral forward-looking statement that we or persons acting on our behalf may issue.</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0" w:after="0"/>
        <w:jc w:val="both"/>
        <w:rPr/>
      </w:pPr>
      <w:r>
        <w:rPr>
          <w:rFonts w:ascii="Arial;sans-serif" w:hAnsi="Arial;sans-serif"/>
          <w:b w:val="false"/>
          <w:color w:val="000000"/>
          <w:sz w:val="20"/>
        </w:rPr>
        <w:t>Below is a summary of the material risk factors that make an investment in our Common Stock speculative or risky.</w:t>
      </w:r>
      <w:r>
        <w:rPr>
          <w:color w:val="000000"/>
        </w:rPr>
        <w:t xml:space="preserve"> </w:t>
      </w:r>
      <w:r>
        <w:rPr>
          <w:rFonts w:ascii="Arial;sans-serif" w:hAnsi="Arial;sans-serif"/>
          <w:b w:val="false"/>
          <w:color w:val="000000"/>
          <w:sz w:val="20"/>
        </w:rPr>
        <w:t>This summary does not address all of the risks that we face. Additional discussion of the risks summarized in this risk factor summary, and other risks that we face, can be found in Item 1A “Risk Factors” and should be carefully considered, together with other information in this Annual Report, before making investment decisions regarding our Common Stock.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depends on domestic capital spending by the oil and natural gas industry, and reductions in capital spending could have a material adverse effect on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volatility of oil and natural gas prices may adversely affect the demand for our services and negatively impact our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may be adversely affected by a deterioration in general economic conditions or a weakening of the broader energy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unable to maintain existing prices or implement price increases on our services.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past acquisition activity and any future acquisitions may not be successful in delivering expected performance post-acquisition, which could have a material adverse effect on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Conservation measures and technological advances could reduce demand for oil and natural gas.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involves many hazards and operational risks that could adversely affect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Increased labor costs, the unavailability of skilled workers or labor-related litigation could hurt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operate in highly competitive markets and our failure to compete effectively may negatively impact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have operated at a loss, and there is no assurance of our profitability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assets require capital for maintenance, upgrades and refurbishment, and we may require capital expenditures for new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indenture (the “2030 Senior Notes Indenture”) that governs our Senior Secured Floating Rate Cash / PIK Notes due 2030 (the “2030 Senior Notes”) and the credit agreement that governs our asset-based lending facility (the “2028 ABL Facility”) have significant financial and operating restrictions that may have an adverse effect on our business, financial condition and results of operations.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have substantial indebtedness, and our ability to repay such indebtedness as it becomes due will depend on our future operating performance.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significant level of indebtedness may limit our ability to borrow additional funds or capitalize on acquisition or other business opportunities.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experience future impairment charges.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Customer payment delays of outstanding receivables and customer bankruptcies could have a material adverse effect on our liquidity, results of operations, and consolidated financial condition.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Shortages or increases in the costs of the equipment we use in our operations could adversely affect our operations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are dependent on a small number of suppliers for key goods and services that we use in our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inability to develop, obtain, maintain or implement new technology may cause us to become less competitive.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success may be affected by our ability to use and protect our proprietary technology as well as our ability to enter into license agreements.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operations rely on an extensive network of IT systems and a failure to maintain, upgrade and protect such systems could adversely impact our business, financial condition and results of operations. Our operations are subject to cybersecurity risks that could have a material adverse effect on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Oilfield anti</w:t>
        <w:noBreakHyphen/>
        <w:t>indemnity provisions enacted by many states may restrict or prohibit a party’s indemnification of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trucking regulations may increase our transportation costs and negatively impact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and our customers are subject to environmental and occupational health and safety laws and regulations that could increase our or our customers’ costs of doing business and adversely impact our business,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Increased attention to sustainability matters may impact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federal Endangered Species Act (the "ESA") and comparable laws intended to protect certain species of wildlife govern our and our oil and natural gas exploration and production ("E&amp;P") customers’ operations, which constraints could have an adverse impact on our ability to expand some of our existing operations or limit our customers’ ability to develop new oil and natural gas wells.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Tariffs and other trade measures could adversely affect our business, results of operations, financial position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PART I </w:t>
      </w:r>
    </w:p>
    <w:tbl>
      <w:tblPr>
        <w:tblW w:w="1981" w:type="dxa"/>
        <w:jc w:val="left"/>
        <w:tblInd w:w="0" w:type="dxa"/>
        <w:tblLayout w:type="fixed"/>
        <w:tblCellMar>
          <w:top w:w="28" w:type="dxa"/>
          <w:left w:w="28" w:type="dxa"/>
          <w:bottom w:w="28" w:type="dxa"/>
          <w:right w:w="28" w:type="dxa"/>
        </w:tblCellMar>
      </w:tblPr>
      <w:tblGrid>
        <w:gridCol w:w="298"/>
        <w:gridCol w:w="262"/>
        <w:gridCol w:w="265"/>
        <w:gridCol w:w="338"/>
        <w:gridCol w:w="338"/>
        <w:gridCol w:w="48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BUSINESS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Except as otherwise indicated or unless the context otherwise requires, “KLX Energy Services,” “KLXE,” “Company,” “we,” “us” and “our” refer to KLX Energy Services Holdings, Inc. and its consolidated subsidiaries.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is a growth-oriented provider of diversified oilfield services to leading onshore oil and natural gas E&amp;P companies operating in both conventional and unconventional plays in all of the active major basins throughout the United States. KLXE was initially formed from the combination and integration of seven private oilfield service companies acquired during 2013 and 2014. Each of the acquired businesses was regional in nature and brought one or two specific service capabilities to KLX Energy Services. We became incorporated in Delaware on June 28, 2018, and on September 14, 2018, we completed our spin-off from KLX Inc. and became an independent, publicly traded company. See Item 7. "Management Discussion and Analysis of Financial Condition and Results of Operations" for more details of our acquisitions since becoming a publicly traded company, including our 2020 acquisition of Quintana Energy Services Inc. (“QES,” and such acquisition the “QES Merger”) and our 2023 acquisition of Greene's Energy Group, LLC (“Greene's,” and such acquisition the “Greene's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deliver mission critical oilfield services to primarily independent major oil and gas companies focused on drilling, completion, production and intervention activities for technically demanding wells from over 60 service facilities located in the United States. Our primary services include directional drilling, coiled tubing, thru tubing, hydraulic frac rentals, fishing, pressure control, wireline, rig-assisted snubbing, fluid pumping, flowback, testing, pressure pumping and well control services. Our primary rentals and products include hydraulic fracturing stacks, blow out preventers, tubulars, downhole tools, dissolvable plugs, composite plugs and accommodation units.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proprietary products and specialized services are supported by technically skilled personnel and a broad portfolio of innovative in-house research and development (“R&amp;D”), manufacturing, repair and maintenance capabilities. We work with our customers to provide engineered solutions across the entire lifecycle of the well, by streamlining operations, reducing non-productive time and developing cost-effective solutions and customized tools for our customers’ most challenging service needs, which include technically complex unconventional wells requiring extended reach horizontal laterals with greater completion intensity per well. We believe long-term revenue growth opportunities will continue to be driven by increases in the number of new customers served and the breadth of services we offer to existing and prospective customers. See Item 7. "Management's Discussion and Analysis of Financial Condition and Results of Operations" for more details about our complementary suite of our targeted services and engineered solutions.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endeavor to create a “next generation” oilfield services company in terms of management controls, processes and operating metrics and have driven these processes down through the operating management structure in every region. We believe this differentiates us from many of our competitors. This allows us to offer our customers in all of our geographic regions discrete, comprehensive and differentiated services that leverage both the technical expertise of our skilled engineers and our in-house R&amp;D team.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Industry 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our services and products is cyclical and substantially dependent upon activity levels in the oil and gas industry, particularly our customers’ willingness to spend capital on the exploration for and development of oil and natural gas. Activity levels are driven primarily by drilling rig counts, technological advances, well completions, workover activity, the geological characteristics of the producing wells and their effect on the services required to commence and maintain production levels and our customers’ capital and operating budgets. Our customers’ spending plans are generally based on their outlook for near-term and long-term commodity prices, which are affected by both domestic and global supply and demand factors. In particular, while U.S. natural gas prices are correlated with global oil price movements, they are also affected by local weather, transportation and consumption patterns. As a result, the demand for our services and products is highly sensitive to current and expected commodity prices.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Since 2023, the oil and gas industry has been experiencing a slow decline in activity, as measured by US rig count, coupled with a decrease in oil prices. In 2025, WTI prices dipped below $60/bbl amid oversupply from international producers, and finished the year on a downward trajectory. Oil and natural gas prices have been, and may remain, volatile, which impacts demand for our business. Global supply and demand factors may continue to result in commodity price volatility.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more information, see “Risk Factors” in Item 1A of Part I and “Management’s Discussion and Analysis of Financial Condition and Results of Operations – Recent Trends and Outlook” in Item 7 of Part II of this Annual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principal high value-added services and related tools and equipment we offer to support our customers throughout the lifecycle of the well include drilling, completions, production and well intervention services and products in each of our geographic reporting segments.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Drilling:</w:t>
      </w:r>
      <w:r>
        <w:rPr>
          <w:color w:val="000000"/>
        </w:rPr>
        <w:t xml:space="preserve"> </w:t>
      </w:r>
      <w:r>
        <w:rPr>
          <w:rFonts w:ascii="Arial;sans-serif" w:hAnsi="Arial;sans-serif"/>
          <w:b w:val="false"/>
          <w:color w:val="000000"/>
          <w:sz w:val="20"/>
        </w:rPr>
        <w:t>We provide directional drilling and associated drilling support services, including accommodations packages, to E&amp;P companies in many of the most active areas of onshore oil and natural gas developments in the United States, including all active U.S. oil and natural gas basins with level 1 facilities in Appalachian Mountain, Gulf Coast, Mid-Continent, West Texas and Rocky Mountain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drilling activities are comprised of directional drilling services, downhole navigational and rental tools businesses and support services, including well planning, site supervision, accommodation rentals and other drilling rentals, which assist customers in the drilling and placement of complex directional and horizontal wellbores. These directional drilling activities utilize in-house positive pulse and electromagnetic measurement-while-drilling communication options to ensure accurate and timely delivery of data transmission for all real-time drilling applications as well as logging-while-drilling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navigation, our systems offer various technologies, including gamma ray, azimuthal gamma ray, real-time continuous inclination and azimuth, rotary steerable, pressure-while-drilling, mode shifting, stick-slip and destructive dynamics, dynamic sequencing and real-time shock and vibration modules. KLXE utilizes modern well planning and anti-collision software to assist our well planners in providing accurate real-time information to our customers. Additionally, KLXE offers our K-series mud motor fleet that features a proprietary transmission-mandrel to deliver strong build rates, fights fatigue on extended laterals and is available to service all known well profiles. The demand for these services tend to be influenced primarily by customer drilling-related activity levels.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2025, our market share of the U.S. onshore drilling market was 3.9%, as compared to 4.9% as of December 31, 2024, as measured by the number of rigs we have worked on during the year as a proportion of the total number of rigs published by Baker Hughes. We intend to continue to re-deploy additional directional drilling capacity into 2026, as market conditions warrant.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pPr>
      <w:r>
        <w:rPr>
          <w:rFonts w:ascii="Arial;sans-serif" w:hAnsi="Arial;sans-serif"/>
          <w:b/>
          <w:i/>
          <w:color w:val="000000"/>
          <w:sz w:val="20"/>
        </w:rPr>
        <w:t xml:space="preserve">Completion: </w:t>
      </w:r>
      <w:r>
        <w:rPr>
          <w:rFonts w:ascii="Arial;sans-serif" w:hAnsi="Arial;sans-serif"/>
          <w:b w:val="false"/>
          <w:color w:val="000000"/>
          <w:sz w:val="20"/>
        </w:rPr>
        <w:t xml:space="preserve">Our completions activities are focused on services that help our customers complete and stimulate extended reach horizontal laterals and more technical wellbores. We are highly experienced in safely servicing deep, high-pressure, high-temperature wells in all of the most active onshore basins in the United States and provide premium perforating services for both wireline and tubing-conveyed applications.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 This is in addition to our customer-centered focus on execution rather than price.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completions activities include a wide range of services: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coiled tubing and nitrogen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wireline services (including pump down perforating, logging and pipe recovery);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pressure control products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wellhead and hydraulic fracturing rental products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flowback and testing services;</w:t>
      </w:r>
    </w:p>
    <w:p>
      <w:pPr>
        <w:pStyle w:val="TextBody"/>
        <w:bidi w:val="0"/>
        <w:spacing w:lineRule="auto" w:line="252" w:before="0" w:after="0"/>
        <w:ind w:left="0" w:right="0" w:hanging="360"/>
        <w:jc w:val="left"/>
        <w:rPr/>
      </w:pPr>
      <w:r>
        <w:rPr>
          <w:color w:val="000000"/>
        </w:rPr>
        <w:t>•</w:t>
      </w:r>
      <w:r>
        <w:rPr>
          <w:rFonts w:ascii="Arial;sans-serif" w:hAnsi="Arial;sans-serif"/>
          <w:b w:val="false"/>
          <w:color w:val="000000"/>
          <w:sz w:val="20"/>
        </w:rPr>
        <w:t>thru-tubing technologies and services;</w:t>
      </w:r>
    </w:p>
    <w:p>
      <w:pPr>
        <w:pStyle w:val="TextBody"/>
        <w:bidi w:val="0"/>
        <w:spacing w:lineRule="auto" w:line="252" w:before="0" w:after="0"/>
        <w:ind w:left="0" w:right="0" w:hanging="360"/>
        <w:jc w:val="left"/>
        <w:rPr/>
      </w:pPr>
      <w:r>
        <w:rPr>
          <w:color w:val="000000"/>
        </w:rPr>
        <w:t>•</w:t>
      </w:r>
      <w:r>
        <w:rPr>
          <w:rFonts w:ascii="Arial;sans-serif" w:hAnsi="Arial;sans-serif"/>
          <w:b w:val="false"/>
          <w:color w:val="000000"/>
          <w:sz w:val="20"/>
        </w:rPr>
        <w:t>fishing services;</w:t>
      </w:r>
    </w:p>
    <w:p>
      <w:pPr>
        <w:pStyle w:val="TextBody"/>
        <w:bidi w:val="0"/>
        <w:spacing w:lineRule="auto" w:line="252" w:before="0" w:after="0"/>
        <w:ind w:left="0" w:right="0" w:hanging="360"/>
        <w:jc w:val="left"/>
        <w:rPr/>
      </w:pPr>
      <w:r>
        <w:rPr>
          <w:color w:val="000000"/>
        </w:rPr>
        <w:t>•</w:t>
      </w:r>
      <w:r>
        <w:rPr>
          <w:rFonts w:ascii="Arial;sans-serif" w:hAnsi="Arial;sans-serif"/>
          <w:b w:val="false"/>
          <w:color w:val="000000"/>
          <w:sz w:val="20"/>
        </w:rPr>
        <w:t>rig assist snubbing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cementing products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acidizing and pressure pumping services; and</w:t>
      </w:r>
    </w:p>
    <w:p>
      <w:pPr>
        <w:pStyle w:val="TextBody"/>
        <w:bidi w:val="0"/>
        <w:spacing w:lineRule="auto" w:line="252" w:before="0" w:after="0"/>
        <w:ind w:left="0" w:right="0" w:hanging="360"/>
        <w:jc w:val="left"/>
        <w:rPr/>
      </w:pPr>
      <w:r>
        <w:rPr>
          <w:color w:val="000000"/>
        </w:rPr>
        <w:t>•</w:t>
      </w:r>
      <w:r>
        <w:rPr>
          <w:rFonts w:ascii="Arial;sans-serif" w:hAnsi="Arial;sans-serif"/>
          <w:b w:val="false"/>
          <w:color w:val="000000"/>
          <w:sz w:val="20"/>
        </w:rPr>
        <w:t>downhole completion tools, including: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toe sleeves;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wet shoe cementing bypass subs;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composite plugs;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dissolvable plugs;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liner hangers;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stage cementing tools, inflatables, float and casing equipment;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retrievable completion tools.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coiled tubing units are used in the provision of completion services or in support of well-servicing and workover applications. Our rig-assisted snubbing units are used in conjunction with a workover rig to insert or remove downhole tools or in support of other well services while maintaining pressure in the well, or in support of unconventional completions. Our nitrogen pumping units provide a non-combustible environment downhole and are used in support of other pressure control or well-servicing applications.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2025, we had a fleet of 39 coiled tubing units, 18 of which are large diameter coiled tubing units, across our geographical regions. Over time, when the industry recovers, we anticipate that our investments in large diameter coil tubing spreads will allow us to increase our share of spend as the large diameter coil tubing pulls through asset light services such as thru-tubing and pressure control services, while leveraging our enhanced cost structure.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optimize the quality and performance of our magnesium alloy based line of dissolvable hydraulic fracturing plugs. Our proprietary dissolvable plugs deliver all the benefits of a traditional hydraulic fracturing plug but without the need for bottom hole intervention for removal. Our latest generation dissolvable frac plug, the PhantM™, has been deployed successfully across major U.S. oil and natural gas basins in now more than 1,300 wells by more than 80 customers. Our PhantM™ plugs dissolve quickly and reliably, resulting in faster time to production, are effective in a wide range of operating temperatures and salinity, including temperatures ranging from 80 to 350 degrees Fahrenheit, and do not require mill out, thus saving time and cost.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48 wireline units in the fleet and 17, or 35%, are configured to run pump down or plug-and-perf operations. Our R&amp;D organization also enables our operations to support our customers with cutting edge pump down operations that include greaseless wireline, addressable gun systems and addressable release tools, to provide our customers with high quality pump down services. Four of the 17 plug-and-perf units are our new Whisper™ Series units. These specialized units are electric/battery-powered and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and our customers' sustainability efforts by reducing carbon footprint and noise levels. Additionally, the significant fuel savings due to the units being electrically powered make these units more cost effective to operate. We also maintain a full line of radial cement bond tools, compensated neutron porosity tools and casing evaluation tools to provide well evaluation services to our clients. We also utilize greaseless line and quiet truck wireline technology to meet the environmental concerns of our customers.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full line of valves and corresponding services to assist clients with their pressure control needs during hydraulic fracturing operations. These valves are assembled in predetermined configurations based on customer preference and installed on the wellhead to control flow and pressure during hydraulic fracturing operations. We own a large line of valves serving the North American onshore oil and gas market.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 technologies that we currently deploy on behalf of our customers include our (i) patented flotation collar, which assists customers in getting completion casing to the bottom of extended reach wells when friction prevents getting casing to depth, (ii) proprietary internal pressure actuated toe sleeve, which allows customers a consistent and reliable hydraulic fracturing initiation sleeve at the toe of the completion, (iii) composite hydraulic fracturing plug, a flow control device that is set in the wellbore at given intervals to divert fluid into the formation, and (iv) dissolvable plugs.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Production:</w:t>
      </w:r>
      <w:r>
        <w:rPr>
          <w:color w:val="000000"/>
        </w:rPr>
        <w:t xml:space="preserve"> </w:t>
      </w:r>
      <w:r>
        <w:rPr>
          <w:rFonts w:ascii="Arial;sans-serif" w:hAnsi="Arial;sans-serif"/>
          <w:b w:val="false"/>
          <w:color w:val="000000"/>
          <w:sz w:val="20"/>
        </w:rPr>
        <w:t>We also provide services to enhance and maintain oil and gas production throughout the productive lives of our customers’ wells. Our production services include maintenance-related intervention services as well as the provision of specifically required products and equipment. As with our completion and intervention service offerings, we have developed a portfolio of proprietary tools that we believe differentiates our production solutions service offering. The principal services and equipment we provide across the production lifecycle of the well include (i) production blow out preventers, (ii) mechanical wireline services, (iii) hydro-testing, (iv) premium tubulars and (v) other specialized production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our proprietary production tool portfolio creates a distinct competitive advantage for us in selling our production services. Key downhole production tools that we have developed and deployed with strong customer adoption include: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Punch Ram Tool</w:t>
      </w:r>
      <w:r>
        <w:rPr>
          <w:color w:val="000000"/>
        </w:rPr>
        <w:t>—</w:t>
      </w:r>
      <w:r>
        <w:rPr>
          <w:rFonts w:ascii="Arial;sans-serif" w:hAnsi="Arial;sans-serif"/>
          <w:b w:val="false"/>
          <w:color w:val="000000"/>
          <w:sz w:val="20"/>
        </w:rPr>
        <w:t xml:space="preserve">The punch ram tool gives customers the ability to safely and repeatedly release trapped pressure inside production tubulars during pulling operations. The alternative is to “hot-tap” the tubing, which is a high-risk operation that most operators are not willing to employ.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Intervention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Our intervention services consist of best-in-class technicians and equipment that are focused on providing customers engineered solutions to downhole complications. Intervention involves the application of specialized tools and procedures to retrieve lost equipment and remove other obstructions that either interfere with the completion of the well or are causing diminished production. The principal services we provide to remediate these complications include fishing, thru-tubing and pipe recovery. Given the unique geology and operating characteristics of each well, no two complications are the same, yet each complication our customers experience results in substantial disruption to their well operation and economics. As a result, resolution is “mission critical” to our customers and superior outcomes can support premium pricing. Those outcomes rely principally on the skill and experience of the technicians dedicated to resolving the issues and the availability of exactly the right tools for every eventuality. We believe we have one of the leading teams of intervention specialists in the industry, supported by a comprehensive portfolio of intervention tools and equipment. Each of our geographic regions is fully staffed with top technicians and fully equipped with a comprehensive range and quantity of equipment given the wellbore profiles for the region.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support our intervention group with a portfolio of tools consisting of patented and other proprietary technologies. Recent innovations currently deployed in the field include our: (i) DXD Venturi Tool; (ii) SpectrA PDC Bearing Section; (iii) Hydraulic By-Pass Tool; and (iv) Drill Mate (Mechanical By-Pass Valve). These tools were designed to improve upon conventional technology used by our competitors.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DXD Venturi Tool</w:t>
      </w:r>
      <w:r>
        <w:rPr>
          <w:color w:val="000000"/>
        </w:rPr>
        <w:t>—</w:t>
      </w:r>
      <w:r>
        <w:rPr>
          <w:rFonts w:ascii="Arial;sans-serif" w:hAnsi="Arial;sans-serif"/>
          <w:b w:val="false"/>
          <w:color w:val="000000"/>
          <w:sz w:val="20"/>
        </w:rPr>
        <w:t xml:space="preserve">The patent pending DXD (Debris Extraction Device) is an internally developed downhole tool that assists customers in removing unwanted debris from the wellbore. Utilizing fluid dynamics, the tool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consists of a jet section that accelerates fluid across a nozzle. This increase in fluid velocity creates a pressure drop inside the tool, which draws fluid through an inlet. As the fluid is drawn into the system through the inlet, it picks up unwanted debris in the fluid flow, which is then caught in a series of chambers installed below the tool. The chambers then carry the debris out of the hole when the system is brought back to surface.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SpectrA PDC Bearing Section—</w:t>
      </w:r>
      <w:r>
        <w:rPr>
          <w:rFonts w:ascii="Arial;sans-serif" w:hAnsi="Arial;sans-serif"/>
          <w:b w:val="false"/>
          <w:color w:val="000000"/>
          <w:sz w:val="20"/>
        </w:rPr>
        <w:t>The patented SpectrA PDC bearing pack is an extremely reliable and robust thru-tubing motor that deploys the industry’s only all PDC (Polycrystalline Diamond Compact) bearing design - meaning no ball bearings. The elegant design greatly reduces the operating cost of our thru-tubing motors and provides us with a significant differentiator in the thru-tubing space. Since being deployed, SpectrA PDC has proven to be one of the most robust bearing packs available on the market, and its most recent enhancement is able to accommodate increased full flow through the bit.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Hydraulic By-Pass Tool—</w:t>
      </w:r>
      <w:r>
        <w:rPr>
          <w:rFonts w:ascii="Arial;sans-serif" w:hAnsi="Arial;sans-serif"/>
          <w:b w:val="false"/>
          <w:color w:val="000000"/>
          <w:sz w:val="20"/>
        </w:rPr>
        <w:t xml:space="preserve">The patented hydraulic by-pass tool allows us to run our conventional motor assemblies and achieve substantially higher circulation rates without reducing the expected life of our conventional power section. The additional fluid being pumped and by-passed optimizes the downhole hydraulics for the operation and assists with proper debris removal.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Drill Mate (Mechanical By-Pass Valve)</w:t>
      </w:r>
      <w:r>
        <w:rPr>
          <w:color w:val="000000"/>
        </w:rPr>
        <w:t>—</w:t>
      </w:r>
      <w:r>
        <w:rPr>
          <w:rFonts w:ascii="Arial;sans-serif" w:hAnsi="Arial;sans-serif"/>
          <w:b w:val="false"/>
          <w:color w:val="000000"/>
          <w:sz w:val="20"/>
        </w:rPr>
        <w:t xml:space="preserve">The patented Drill Mate is a downhole tool that was developed to give customers a way to mechanically by-pass fluid during drill out or clean out operations. The tool is a two-piece system that opens and closes based upon the amount of weight being set on the mill or bit. During bottom milling with the tool, the tool is in the closed position, putting 100% of the flow through the motor bottomhole assembly ("BHA"). As weight is removed from the mill or bit either by milling through the obstruction or picking up off bottom, the tool strokes open, thereby exposing by-pass ports that divert fluid through them. At this point, a customer can increase the amount of fluid being pumped through the BHA to assist in debris removal. This increase in fluid rate does not affect the life of the motor as the additional fluid is by-passed through the Drill Mate tool.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Customers and Marketing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Substantially all of our customers are engaged in the energy industry. Most of our sales are to major, large independent and regional oil and natural gas companies, and these sales have resulted in a diversified and geographically balanced portfolio of more than 550 customers within North America. Revenues from our five largest customers collectively represented approximately 31% of our revenues for the year ended December 31, 2025. No single customer accounted for more than 10% of our revenues during the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sales activities are conducted through a network of sales representatives and business development personnel, which provide coverage on a product-line and geographical basis. Sales representatives work closely with local operations managers to target potential opportunities through strategic focus and planning. Customers are identified as targets based on their drilling and completion activity, geographic location and economic viability. Direction of the sales team is conducted through weekly meetings and daily communication. Our marketing activities are performed internally. Our strategy is based on building a strong North American brand though multiple media outlets including our website, select social media accounts, print, billboard advertisements, press releases and various industry-specific conferences, publications and lectures. We have a technical sales organization with expertise and focus within their specific service line. Our strategy is to sell our services using data to demonstrate safety and service quality. We accomplish this through communication across sales regions and operations departments to share best practices and leverage existing customer relationships.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Competition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markets in which we operate are highly competitive. We compete on a number of factors including performance, safety, quality, reliability, service, price, response time and a growing breadth of services and products. Additionally, projects are often awarded on a bid basis, which tends to create a highly competitive environment. To be successful, a company must provide services that meet the specific needs of oil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natural gas E&amp;P companies and drilling, completions, production and intervention service contractors at competitive prices. We provide our services across the United States and we compete against different companies in each service and product line we offer. Our competition includes many large and small oilfield service companies, including the largest integrated oilfield services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major competitors include Schlumberger, Halliburton, Baker Hughes, Patterson-UTI Energy, Liberty Oilfield Services, RPC, ProPetro Holding Corp., Phoenix Technology Services, STEP Energy Services, Ranger Energy Services, Nine Energy Services, Scientific Drilling International and other private competitors.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differentiate our company from our competitors by delivering a broad range of drilling, completion, production and intervention services safely with high quality equipment and highly competent personnel, which we believe enables us to deliver superior execution while operating an efficient and safe working environment. While we must be competitive in our pricing, we believe our customers select our services based on the local leadership, relationships and expertise that our field management and operating personnel use to deliver quality services. We maintain and develop new business through corporate, regional, safety, quality and discrete product/service specialist sales teams throughout the United States.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focus on cultivating our existing customer relationships as well as developing new relationships, while maintaining our high standard of customer service, technology, safety, performance and quality of crews, equipped us to effectively compete and succeed in a competitive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Suppliers and Procurement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purchase a wide variety of materials, components and partially completed and finished products from manufacturers and suppliers for our use. We are not dependent on any single source of supply for those parts, supplies, materials or equipment and, as of December 31, 2025, no single supplier accounted for more than 10% of our total supply and procurement costs. To date, we have generally been able to obtain the equipment, parts and supplies necessary to support our operations on a timely basis.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As a result, we may be unable to mitigate any future supply shortages and our results of operations, prospects and financial condition could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Customer Service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highly differentiated in each of the geographic markets that we serve with our services and associated product offerings. This is achieved by providing targeted, complementary services and related products and being responsive to our customers with both quality, as measured by the industry-standard non-productive time, and timely responses to requests. The key elements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24 hours a day, seven days a week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recognized industry leading technicians in our principal service and product lines;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responsiveness to our customers’ requirements for ready-to-deploy American Petroleum Institute certified equipment and a “can do” philosophy;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technical interface with customers via product line management personnel;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client relationship building.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Technology and Intellectual Property</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engineering and technology efforts are focused on providing efficient and cost-effective solutions to maximize production for our customers across major North American onshore basins. We have dedicated resources focused on the internal development of new technology and equipment, as well as resources focused on sourcing and commercializing new technologies through strategic relationships. Our sales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earnings are influenced by our ability to successfully introduce new or improved products and services to the market.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in the aggregate our patents and licenses are important to us, we do not regard any single patent, license or strategic relationship as critical or essential to our business as a whole. In general, we depend on our technological capabilities, customer service-oriented culture and application of our know-how to distinguish ourselves from our competitors, rather than our right to exclude others through patents or exclusive licenses. We also consider the quality and timely delivery of our products, the service we provide to our customers, and the technical knowledge and skill of our personnel to be more important than our registered intellectual property in our ability to compete.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we have become a “go-to” service provider for piloting certain new technologies across North America because of our service quality, execution at the wellsite and scale. These strategic relationships provide us and our customers with access to unique technology from independent innovators. This also allows us to minimize exposure to potential technology adoption risks and the significant costs associated with developing and implementing R&amp;D internally. Our internal resources are focused on evolving our existing proprietary tools to stay on trend and ensure quicker, lower completion and production costs for our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 Management and Insurance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provision of technical services or use of certain of our tools and equipment in connection therewith could involve operational risk and thereby expose us to liabilities. An accident involving our services or equipment, or the failure of a product, could result in personal injury, loss of life and damage to property, equipment or the environment. Damages from a catastrophic occurrence, such as a fire or explosion, could result in substantial claims for damages. We generally attempt to negotiate the terms of our Master Services Agreements ("MSAs") consistent with industry practice. In general, we attempt to take responsibility for our own personnel and property, while our customers, such as the E&amp;P companies and well operators, take responsibility for their own personnel, property and all liabilities arising from well and subsurface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claims for loss of oil and gas production and damage to formations can occur in the oilfield services industry. If a serious accident were to occur at a location where our equipment and services are being used, it could result in us being named as a defendant in lawsuits asserting large claims. Because our business involves the transportation of heavy equipment and materials, we from time to time experience traffic accidents, which may result in spills, property damage and personal injury.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Oilfield services companies, despite efforts to maintain high safety standards, from time to time, have suffered accidents. Our business is subject to the same risks and, as a result, there is a risk that we will experience accidents in the future. In addition to the property and personal losses from these accidents, the frequency and severity of these incidents affect our operating costs and insurability, and our relationship with customers, employees and regulatory agencies. In particular, in recent years many of our large customers have placed an increased emphasis on the safety records of their service providers. Any significant increase in the frequency or severity of these incidents, or the general level of compensatory payments, could adversely affect the cost of, or our ability to obtain, workers’ compensation and other forms of insurance, and could have other material adverse effects on our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maintain a risk management program that covers operating hazards, including products and completed operations, property damage and personal injury claims as well as certain limited environmental claims. Our risk management program includes primary, umbrella and excess umbrella liability policies in excess of $75.0 million per occurrence, including sudden and accidental pollution claims. We believe that our insurance is sufficient to cover property and casualty liability claims.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endeavor to allocate potential liabilities and risks between the parties in our MSAs. We retain the risk for any liability not indemnified by our customers and in excess of our insurance coverage. These MSAs delineate our and our customers’ respective warranty and indemnification obligations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services we provide. We endeavor to negotiate MSAs with our customers that provide, among other things, that we and our customers assume (without regard to fault) liability for damages to our respective personnel and property. For catastrophic losses, we endeavor to negotiate MSAs that include industry-standard carve-outs from the knock-for-knock indemnities. Additionally, our MSAs often provide carve-outs to the “without regard to fault” concept that would permit, for example, us to be held responsible for events of catastrophic loss only if they arise as a result of our gross negligence or willful misconduct. Our MSAs typically provide for industry-standard pollution indemnities, pursuant to which we assume liability for surface pollution associated with our equipment and originating above the surface (without regard to fault), and our customer assumes (without regard to fault) liability arising from all other pollution, including, without limitation, underground pollution and pollution emanating from the wellbore as a result of an explosion, fire or blowout. The summary of MSAs set forth above is a summary of the material terms of the typical MSA that we have in place and does not reflect every MSA that we have entered into or may enter into in the future, some of which may contain indemnity structures and risk allocations between our customers and us that are different than those described here.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Information Technology</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IT systems provide us with a scalable integrated platform that facilitates efficient operations, consolidated invoicing and optimal equipment utilization on both a site and segment basis. Our operating strategy is based upon balancing high asset and personnel utilization levels with consistently superior customer service. As such, our IT systems are integral to effectively managing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Government Regulation and Environmental, Health and Safety Matters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those of our customers are subject to extensive and changing federal, state and local laws and regulations establishing health, safety and environmental quality standards, including those governing discharges of pollutants into the air and water, protection of natural resources and certain wildlife and the management and disposal of hazardous substances and wastes. Failure to comply with these laws and regulations or comply with permits may result in the assessment of administrative, civil and criminal penalties; the imposition of remedial or corrective action requirements; and the imposition of injunctions or other orders to prohibit certain activities, restrict certain operations or force future compliance with environmental regulations. We are also subject to laws and regulations, such as the Comprehensive Environmental Response, Compensation, and Liability Act (“CERCLA”) and similar state statutes, governing remediation of contamination, which could occur or might have occurred at facilities that we own or operate, or which we formerly owned or operated, or to which we send or have sent hazardous substances or wastes for treatment, recycling or disposal. Historically, our environmental compliance costs have not had a material adverse effect on our operations. However, we could become subject to future liabilities or obligations as a result of new or more stringent interpretations of existing laws and regulations. In addition, we may have liabilities or obligations in the future if we discover any environmental contamination or liability relating to our facilities or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summary of some of the existing laws, rules and regulations, as amended from time to time, to which we or our customers are subject.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Hazardous Substances and Waste Handling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Resource Conservation and Recovery Act (“RCRA”) and comparable state statutes, regulate the generation, transportation, treatment, storage, disposal and cleanup of hazardous and non-hazardous wastes. Under the guidance issued by the Environmental Protection Agency (the “EPA”), individual states administer some or all of the provisions of RCRA, sometimes in conjunction with their own, more stringent requirements. We are required to manage the disposal of hazardous and non-hazardous wastes in compliance with RCRA and analogous state laws. RCRA currently exempts many E&amp;P wastes from classification as hazardous waste. Specifically, RCRA excludes from the definition of hazardous waste produced waters and other wastes intrinsically associated with the exploration, development, or production of crude oil and natural gas. However, efforts have been made from time to time to remove this exclusion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thus it is possible that certain E&amp;P waste now classified as non-hazardous waste and excluded from treatment as hazardous wastes may in the future be designated as “hazardous wastes” under RCRA or other applicable statutes. Naturally Occurring Radioactive Materials (“NORM”) may contaminate extraction and processing equipment used in the oil and natural gas industry. The waste resulting from such contamination is regulated by federal and state laws. Standards have been developed for worker protection; treatment, storage, and disposal of NORM and NORM waste; management of NORM-contaminated waste piles, containers and tanks; and limitations on the relinquishment of NORM contaminated land for unrestricted use under RCRA and state laws. Stricter regulation of wastes generated during our or our customers’ operations could result in increased costs for our operations or the operations of our customers, which could in turn reduce demand for our products and services and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Comprehensive Environmental Response, Compensation, and Liability Act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CERCLA, also known as the Superfund law, imposes joint and several liability, without regard to fault or legality of conduct, on classes of persons who are considered to be responsible for the release of a hazardous substance into the environment. These persons include the current and former owner or operator of the site where the release occurred, and anyone who transported or disposed or arranged for the transport or disposal of a hazardous substance released at the site. Persons who are or were responsible for releases of hazardous substances under CERCLA and any state analogs may be subject to joint and several, strict liability for the costs of cleaning up the hazardous substances that have been released into the environment, and for damages to natural resources and for the costs of certain health studies. We currently own, lease, or operate numerous properties that have been used for manufacturing and other operations for many years. These properties and the substances disposed or released on them may be subject to CERCLA, RCRA and analogous state laws. Under such laws, we could be required to remove previously disposed substances and wastes, remediate contaminated property, or perform remedial operations to prevent future contamination. The EPA has the power to make additional substances subject to CERCLA and RCRA, including certain Per- and Polyfluorinated Substances (PFAS). For example, in May 2024, the EPA adopted a final rule to list two PFAS (i.e., PFOA and PFOS) as CERCLA hazardous substances. This rule is currently subject to judicial challenge but could result in additional remediation costs at certain properties in the future and could impose additional costs on some of our customers. The EPA has also announced its intention to develop a framework to guide future hazardous substance designations under CERCLA. In addition, it is not uncommon for neighboring landowners and other third-parties to file claims for personal injury and property damage allegedly caused by the hazardous substances released into the environment.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Endangered Species Act and Migratory Bird Treaty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ESA and comparable state laws were established to protect endangered and threatened species. Under the ESA, if a species is listed as threatened or endangered, restrictions may be imposed on activities adversely affecting that species’ habitat. The U.S. Fish and Wildlife Service (“FWS”) has the ability to designate additional species as protected by the ESA and alter the areas designated as habitat for such species. For example, FWS recently published a rule listing two distinct population segments of the Lesser Prairie Chicken under the ESA, a species found in some states where we operate. Further, in May 2024, FWS listed the Dunes Sagebrush Lizard as an endangered species under the ESA. The listing of the Dunes Sagebrush Lizard or designation of its habitat could impact the availability of frac sand used by our customers. Additionally, in April 2023, the FWS published a proposed rule to list the Greater Sage Grouse as threatened under the ESA. Both the Dunes Sagebrush Lizard and the Greater Sage Grouse can be found in some areas where we and our customers operate. While we cannot predict the outcome of these or any other future proposed or finalized listings, or whether the Trump Administration may take action that would impact any currently listed species or otherwise change the compliance obligations under ESA implementing regulations, the designation of previously unidentified endangered or threatened species, or other agency actions aimed at species conservation could indirectly cause us to incur additional costs, cause our or our oil and natural gas E&amp;P customers' operations to become subject to operating restrictions or bans, result in new difficulties obtaining permits or other authorizations, and limit future development activity in affected areas, which could reduce demand for our products and services to those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Similar protections are offered to migratory birds under the Migratory Bird Treaty Act (“MBTA”). FWS has taken differing positions on the extent to which there is criminal liability under the MBTA for certain actions reacted to migratory birds, their nests, or their eggs. Some of our customers may be adversely affected by seasonal or permanent restrictions on drilling activities designed to protect various wildlife, which may limit our ability to operate in protected areas. Permanent restrictions imposed to protect endangered and threatened species could prohibit drilling in certain areas or require the implementation of expensive mitigation measures, which could in turn adversely impact demand for our products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National Environmental Policy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E&amp;P activities on federal lands may be subject to review under the National Environmental Policy Act (“NEPA”). NEPA requires federal agencies, including the Department of the Interior, to evaluate major agency actions that have the potential to significantly impact the environment. Approvals necessary for our customers to operate on federal or Tribal land are subject to NEPA. The NEPA review process has the potential to delay the permitting and subsequent development of oil and natural gas projects. NEPA requirements have been subject to or influenced by regulations and guidance from the Council on Environmental Quality (“CEQ”), and the CEQ’s requirements and guidance for such reviews have altered several times during the past few years under different administrations. Following an Executive Order from President Trump, in February 2025, the CEQ released an interim final rule rescinding its regulations implementing NEPA. In May 2025, the Supreme Court issued its opinion in Seven County Infrastructure Coalition v. Eagle County, emphasizing the “substantial judicial deference” that courts must grant agencies when considering NEPA challenges. Federal agencies have begun the process of preparing their own new or updated NEPA-implementing rules or guidelines. In September 2025, the CEQ issued new guidance to federal agencies implementing NEPA to encourage them to limit their NEPA reviews, rely more heavily on sponsor-prepared documents, and streamline the NEPA process.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While we cannot predict the ultimate impact of these recent changes, any restrictions or delays on our customers’ operations as a result of permitting or environmental impact analysis regulatory requirements could in turn adversely impact demand for our products and services.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Worker Health and Safety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subject to a number of federal and state laws and regulations, including the federal Occupational Safety and Health Act, which establishes requirements to protect the health and safety of workers. The U.S. Occupational Safety and Health Administration (“OSHA”) hazard communication standard, the EPA community right-to-know regulations under Title III of the federal Superfund Amendment and Reauthorization Act and comparable state statutes require maintenance of information about hazardous materials used or produced in operations and provision of this information to employees, state and local government authorities and citizens. The Federal Motor Carrier Safety Administration regulates and provides safety oversight of commercial motor vehicles, the EPA establishes requirements to protect human health and the environment, the federal Bureau of Alcohol, Tobacco, Firearms and Explosives (“ATF”) establishes requirements for the safe use and storage of explosives, and the federal Nuclear Regulatory Commission establishes requirements for the protection against ionizing radiation. Substantial fines and penalties can be imposed and orders or injunctions limiting or prohibiting certain operations may be issued in connection with any failure to comply with these laws and regulations.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Additionally, OSHA has implemented rules establishing a more stringent permissible exposure limit for exposure to respirable crystalline silica and other provisions to protect employees. These rules require compliance with engineering control obligations to limit exposures to respirable crystalline silica in connection with hydraulic fracturing activities. OSHA and analogous state agencies may continue to propose changes in their regulations regarding workplace exposure to crystalline silica, such as permissible exposure limits and required controls and personal protective equipment. Additionally, the inhalation of respirable crystalline silica is associated with health risks, including the lung disease silicosis. These health risks have been, and may continue to be, a significant issue confronting the hydraulic fracturing industry. Concerns over silicosis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potential adverse health effects, as well as concerns regarding potential liability from the use of hydraulic fracturing sand, may have the effect of discouraging our customers' use of hydraulic fracturing sand.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Transportation Safety and Compliance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Operating a fleet of over 1,400 vehicles, we are subject to regulation as a motor carrier by the U.S. Department of Transportation (the “DOT”) and analogous state agencies, which requires us to comply with a number of federal and state laws and regulations, including the Federal Motor Carrier Safety Regulations and Hazardous Material Regulations for interstate travel, and comparable state regulations for intrastate travel. These regulatory authorities exercise broad powers, governing activities such as the authorization to engage in motor carrier operations, regulatory safety, equipment testing, driver requirements and specifications, and insurance requirements.</w:t>
      </w:r>
      <w:r>
        <w:rPr>
          <w:color w:val="000000"/>
        </w:rPr>
        <w:t xml:space="preserve"> </w:t>
      </w:r>
      <w:r>
        <w:rPr>
          <w:rFonts w:ascii="Arial;sans-serif" w:hAnsi="Arial;sans-serif"/>
          <w:b w:val="false"/>
          <w:color w:val="000000"/>
          <w:sz w:val="20"/>
        </w:rPr>
        <w:t>The trucking industry is subject to possible regulatory and legislative changes that may affect the economics of the industry by requiring changes in operating practices (including for example, changes in fuel emissions limits, hours of service regulations that govern the amount of time a driver may drive or work in any specific period and limits on vehicle weight and size) or by reducing the demand for common or contract carrier services or the cost of providing truckload services.</w:t>
      </w:r>
      <w:r>
        <w:rPr>
          <w:color w:val="000000"/>
        </w:rPr>
        <w:t xml:space="preserve"> </w:t>
      </w:r>
      <w:r>
        <w:rPr>
          <w:rFonts w:ascii="Arial;sans-serif" w:hAnsi="Arial;sans-serif"/>
          <w:b w:val="false"/>
          <w:color w:val="000000"/>
          <w:sz w:val="20"/>
        </w:rPr>
        <w:t xml:space="preserve">Additional regulatory initiatives may be pursued relating to fuel quality, engine efficiency and greenhouse gas (“GHG”) emissions, which could further increase our costs due to truck purchases and maintenance, impairment of equipment productivity, decreases in the residual value of vehicles, unpredictable fluctuations in fuel prices and increases in operating expenses. Our operations, including routing and weight restrictions, could be affected by road construction, road repairs, detours and state and local regulations and ordinances restricting access to certain roads and our increased truck traffic could contribute to deteriorating road conditions in some areas. Also, state and local regulation of permitted routes and times on specific roadways could adversely affect our operations. We cannot predict whether, or in what form, any legislative or regulatory changes or municipal ordinances applicable to our logistics operations will be enacted and to what extent any such legislation or regulations could increase our costs or otherwise adversely affect our business or operations. Moreover, substantial fines and penalties can be imposed and orders or injunctions limiting or prohibiting certain operations may be issued in connection with any failure to comply with laws and regulations relating to the safe operation of commercial motor vehicles.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Water Discharges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Federal Water Pollution Control Act (the “Clean Water Act” or “CWA”) and analogous state laws impose restrictions and strict controls with respect to the discharge of pollutants, including spills and leaks of oil and other substances, into waters of the United States. The discharge of pollutants into regulated waters, including jurisdictional wetlands, is prohibited, except in accordance with the terms of a permit issued by the EPA or U.S. Army Corps of Engineers (“Corps”) or an analogous state agency.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There continues to be uncertainty on the federal government’s applicable jurisdictional reach under the CWA over “waters of the United States”, including wetlands, as the EPA and the Corps under recent presidential administrations have pursued multiple rulemakings since 2015 in an attempt to define the scope of such reach. In September 2023, the EPA issued a final rule, the implementation of which varies by state due to ongoing litigation. However, in November 2025, the EPA and the Corps proposed a rule to further update and narrow the September 2023 definition of “waters of the United States,” guided by the </w:t>
      </w:r>
      <w:r>
        <w:rPr>
          <w:rFonts w:ascii="Arial;sans-serif" w:hAnsi="Arial;sans-serif"/>
          <w:b w:val="false"/>
          <w:i/>
          <w:color w:val="000000"/>
          <w:sz w:val="20"/>
        </w:rPr>
        <w:t>Sackett v. EPA</w:t>
      </w:r>
      <w:r>
        <w:rPr>
          <w:color w:val="000000"/>
        </w:rPr>
        <w:t xml:space="preserve"> </w:t>
      </w:r>
      <w:r>
        <w:rPr>
          <w:rFonts w:ascii="Arial;sans-serif" w:hAnsi="Arial;sans-serif"/>
          <w:b w:val="false"/>
          <w:color w:val="000000"/>
          <w:sz w:val="20"/>
        </w:rPr>
        <w:t>decision.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the extent the scope of the CWA’s jurisdiction continues to change and expand in areas where we or our customers conduct operations, such developments could delay, restrict or halt the development of projects, result in longer permitting timelines, or increased compliance expenditures or mitigation costs for our customers’ operations, which may reduce our customers’ rate of production of oil and gas and reduce the demand for our products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other CWA matters, spill prevention, control and countermeasure requirements of federal laws require appropriate containment berms and similar structures to help prevent the contamination of navigable waters by a petroleum hydrocarbon tank spill, rupture or leak. In addition, the CWA and analogous state laws require individual permits or coverage under general permits for discharges of storm water runoff from certain types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facilities. Federal and state regulatory agencies can impose administrative, civil and criminal penalties as well as other enforcement mechanisms for non-compliance with discharge permits or other requirements of the CWA and analogous state laws and regulations. The CWA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Air Emissions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federal Clean Air Act (“CAA”), and comparable state laws, regulate emissions of various air pollutants through air emissions permitting programs and the imposition of other requirements. In addition, the EPA has developed, and continues to develop, stringent regulations governing emissions of toxic air pollutants at specified sources. These regulations change frequently. These laws and regulations may require us or our customers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2020, the EPA under the Trump Administration published a decision to retain the National Ambient Air Quality Standard (“NAAQS”) for ground level ozone that was set by the EPA in 2015. Previously, in December 2024, the EPA issued a rule to revise the secondary NAAQS for sulfur oxides, but retained without revision the secondary standards for oxides of nitrogen and particulate matter. We cannot predict what further actions, if any, or on what timeline, the Trump Administration may take with respect to this standard. State implementation of the revised NAAQS could result in stricter permitting requirements, which in turn could delay or impair our or our customers’ ability to obtain air emission permits, and result in increased expenditures for pollution control equipment, the costs of which could be significant. Federal and state regulatory agencies can impose administrative, civil and criminal penalties, as well as injunctive relief, for non-compliance with air permits or other requirements of the CAA and associated state laws and regulations.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Climate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threat of climate change has attracted considerable attention in the United States and around the world. Numerous proposals have been made and could continue to be made at the international, national, regional and state levels of government to monitor and limit existing emissions of GHGs as well as to restrict or eliminate such future emissions.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U.S. Congress has not adopted comprehensive climate change legislation, though certain federal laws, such as the Inflation Reduction Act of 2022 (“IRA”), have been enacted to advance numerous climate-related objectives. However, certain of these initiatives have been paused, repealed or otherwise modified due to the passage of the One Big Beautiful Bill Act (“OBBBA”) in July 2025. For example, the IRA amended the CAA to impose a fee on the emission of methane from sources required to report their GHG emissions to the EPA, including those sources in the onshore petroleum and natural gas production and gathering and boosting source categories. However, the OBBBA delayed the implementation of the methane emissions fee until 2034. While we will not be required to pay this fee, some of our customers may. The IRA also directed the EPA to revise GHG reporting requirements for segments of the oil and gas sector, including portions of our customer base, and in May 2024, the EPA finalized updates to the reporting requirements. In September 2025, however, the EPA issued a proposed rule to delay GHG reporting for the oil and gas sector until 2034. We cannot predict whether, how, or when a future administration or a future Congress might take action to alter either of these rules, though implementation of the methane emissions fee and GHG reporting revisions could increase our customers’ operating or compliance costs and adversely affect their businesses, thereby reducing demand for our products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Additionally, the IRA contains hundreds of billions of dollars in incentives for the development of renewable energy, clean hydrogen, clean fuels, electric vehicles, and supporting infrastructure and carbon capture and sequestration, among other provisions. However, the Trump Administration has taken steps to reduce or eliminate certain incentives, including those for zero-emission vehicles, and the OBBBA eliminates electric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vehicle credits previously available for new and used electric and commercial fleets. We cannot predict whether or not these regulatory repeals will ultimately be successful or if future administrations may seek to restore related incentives. To the extent any future similar legislation begins to provide such incentives, these incentives could accelerate the transition of the U.S. economy away from the use of fossil fuels towards lower- or zero-carbon emissions alternatives, reduce demand for our customers’ products, and thereby reduce demand for our services.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EPA has adopted rules that, among other things, establish construction and operating permit reviews for GHG emissions from certain large stationary sources, require the monitoring and annual reporting of GHG emissions from certain petroleum and natural gas system sources, and impose new standards reducing methane emissions from oil and gas operations through limitations on venting and flaring and the implementation of enhanced emission leak detection and repair requirements.</w:t>
      </w:r>
      <w:r>
        <w:rPr>
          <w:color w:val="0000FF"/>
        </w:rPr>
        <w:t xml:space="preserve"> </w:t>
      </w:r>
      <w:r>
        <w:rPr>
          <w:rFonts w:ascii="Arial;sans-serif" w:hAnsi="Arial;sans-serif"/>
          <w:b w:val="false"/>
          <w:color w:val="000000"/>
          <w:sz w:val="20"/>
        </w:rPr>
        <w:t>However, following the change in U.S. presidential administrations, proposals have been made to repeal or otherwise modify these requirements and the EPA’s GHG “Endangerment Finding,” which underpins the majority of EPA’s GHG regulations. We cannot predict whether such efforts will ultimately be successful.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Previously, in December 2023, the EPA had issued a final rule and establishing more stringent methane regulations for new, modified, and reconstructed facilities in the oil and gas sector, known as Quad Ob, as well as standards for existing sources for the first time ever, known as Quad Oc. However, in March 2025, the EPA announced plans to reconsider Quad Ob and Quad Oc. Additionally, in November 2025, the EPA finalized an interim final rule extending the compliance deadlines for certain provisions provided in Quad Ob and Quad Oc. Litigation challenging the EPA’s final interim rule extending such compliance deadlines for new and existing oil and gas sources remains pending. While these regulations do not apply directly to our operations, they may apply to many of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the substance and timing of any reconsidered rule remains uncertain, any similar future methane emissions regulations could increase operating or compliance costs for our customers and impact demand for our services including because fines and penalties for violations of these rules can be substantial.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Some states where we operate, such as New Mexico and Colorado, have also imposed new or more stringent methane emission regulations. Additionally, various states and groups of states have adopted or are considering adopting legislation, regulations or other regulatory initiatives that are focused on such areas as GHG cap and trade programs, carbon taxes, reporting and tracking programs, and restriction of emissions.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example, both New York and Vermont have enacted “climate superfund” laws which seek to require compensatory payments from certain entities in the fossil fuel industry, including extractors and refiners, who are responsible for a certain amount of annual GHG emissions. While these laws have been challenged, and neither are directly applicable to our business, they could result in significant financial obligations to our customers. Additionally, in October 2023, the Governor of California signed the Climate Corporate Data Accountability Act (“CCDAA”) and Climate-Related Financial Risk Act (“CRFRA”) into law. The CCDAA requires both public and private U.S. companies that are “doing business in California” and that have a total annual revenue of $1 billion to publicly disclose and verify, on an annual basis, Scope 1, 2 and 3 GHG emissions. Both laws are vague and potentially broad with respect to their applicability, appearing to require only minimal contacts with California. The CRFRA requires the disclosure of a climate-related financial risk report (in line with the Task Force on the Climate-related Financial Disclosures recommendations or equivalent disclosure requirements under the International Sustainability Standards Board’s climate-related disclosure standards) every other year for public and private companies that are “doing business in California” and have total annual revenue of $500 million. Reporting under both laws was to begin in 2026. However, both laws are currently subject to legal challenges and the Ninth Circuit recently enjoined the implementation of the CRFRA. Although the outcome of the legal challenges is uncertain at this time, implementation may result in additional costs to comply with these disclosure requirements for us or our customers, as well as increased costs of and restrictions on access to capital for us or our customers. Separately, these and other enhanced climate related disclosure requirements could lead to reputational or other harm with customers, regulators, investors or other stakeholders and could also increase our litigation risks relating to alleged climate-related damages resulting from our operations, statements alleged to have been made by us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others in our industry regarding climate change risks, or in connection with any future disclosures we may make regarding reported emissions, particularly given the inherent uncertainties and estimations with respect to calculating and reporting GHG emissions.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Litigation risks are also increasing as a number of states, municipalities and other plaintiffs have sought to bring suit against the largest oil and natural gas E&amp;P companies in state or federal court alleging, among other things, that such energy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climate change and sustainability policies may impact the Company or our customers’ access to capital. Certain shareholders and bondholders currently invested in fossil-fuel energy companies may be concerned about the potential effects of climate change and may elect in the future to shift some or all of their investments into non-fossil fuel energy related sectors. Institutional lenders who provide financing to fossil-fuel energy companies also have become more attentive to sustainable lending and investment practice that favors “clean” power sources, such as wind and solar, making those sources more attractive, and some of them may elect not to provide funding for fossil fuel energy companies. While we cannot predict how or to what extent sustainable lending and investment practice may impact our operations, a material reduction in the capital available to us or our fossil fuel-related customers could make it more difficult to secure funding for exploration, development, production, transportation, and processing activities, which could reduce the demand for our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Finally, increasing concentrations of GHGs in the Earth’s atmosphere may produce climate changes that could have significant physical effects, such as increased frequency and severity of storms, droughts, and floods and other climatic events, as well as chronic shifts in temperature and precipitation patterns. These climatic developments have the potential to cause physical damage to our and our customers’ assets or disrupt operations and thus could have an adverse effect on each of our operations. Additionally, changing meteorological conditions, particularly temperature, may result in changes to the amount, timing, or location of demand for energy or its production. While our consideration of changing climatic conditions and inclusion of safety factors in design is intended to reduce the uncertainties that climate change and other events may potentially introduce, our ability to mitigate the adverse impacts of these events depends in part on the effectiveness of our facilities and our disaster preparedness and response and business continuity planning, which may not have considered or be prepared for every eventuality.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Hydraulic Fracturing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businesses are dependent on our customers’ hydraulic fracturing and horizontal drilling activities. Hydraulic fracturing is an important and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the federal level, the EPA has asserted federal regulatory authority over certain hydraulic fracturing activities involving the use of diesel fuels and regarding certain wastewater discharges from onshore unconventional oil and gas extraction facilities under the Safe Drinking Water Act. The federal Bureau of Land Management has issued rules governing hydraulic fracturing activities on federal lands, and the drilling and completion of oil and gas wells, including hydraulic fracturing operations, are subject to federal, state and local regulation on federal lands.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U.S. Congress has from time to time considered but refused to adopt federal legislation regarding hydraulic fracturing including considering amending the current exemption for hydraulic fracturing operations that do not include fracturing fluids that contain diesel fuel under the Safe Drinking Water Act’s Underground Injection Control program. The Biden Administration pursued various legislative and regulatory initiatives to restrict hydraulic fracturing activities on federal lands. These or similar actions, if taken in the future,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impose additional hydraulic fracturing limitations on our customers that could ultimately result in decreased demand for our products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the state level, many states have adopted legal requirements that have imposed new or more stringent permitting, public disclosure or well construction requirements on hydraulic fracturing activities, including states where our customers operate. States could also elect to place prohibitions on hydraulic fracturing and local governments may seek to adopt ordinances within their jurisdictions regulating the time, place or manner of drilling activities in general or hydraulic fracturing activities in particular.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Seismic Events and Water Availability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Wells used for the disposal by injection of flowback water or certain other oilfield fluids below ground into non-producing formations have been associated with an increased number of seismic events, with research suggesting that the link between seismic events and wastewater disposal may vary by region and local geology. The U.S. geological survey has identified six states with the most significant hazards from induced seismicity, which includes Oklahoma, Kansas, Texas, Colorado, New Mexico, and Arkansas. In response to these concerns, regulators in some states have adopted additional requirements related to seismicity and its potential association with hydraulic fracturing. For example, Texas and Oklahoma have issued rules for wastewater disposal wells that impose certain permitting and operating restrictions and reporting requirements on disposal wells in proximity to faults. Texas and Oklahoma have also issued orders or other directives, from time to time, requesting or even compelling operators of certain wells where seismic incidents have occurred to restrict or suspend disposal well operations. Another consequence of seismic events may be lawsuits alleging that disposal well operations have caused damage to neighboring properties or otherwise violated state and federal rules regulating waste disposal.</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Finally, water is an essential component of shale oil and natural gas production during both the drilling and hydraulic fracturing processes. Our customers' access to water to be used in these processes may be adversely affected due to reasons such as changes in regulations, weather patterns due to climate change, periods of extended drought, private, third-party competition for water in localized areas or the implementation of local or state governmental programs to monitor or restrict the beneficial use of water subject to their jurisdiction for hydraulic fracturing to assure adequate local water supplies.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Employees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2025, we had approximately 1,548 employees. Approximately 88% of our employees are engaged in operations, quality and purchasing, 4% in sales and marketing and 8% in finance, human resources, IT, management and general administration. Our employees are not unionized, and we consider our employee relations to be good.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Available Information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filings with the SEC, including this Annual Report, our Quarterly Reports on Form 10-Q, our Proxy Statement, Current Reports on Form 8-K and amendments to any of those reports are available free of charge on our website, https://www.klx.com, as soon as reasonably practicable after they are filed with, or furnished to, the SEC. These reports may also be obtained on the SEC’s website, www.sec.gov, which contains reports, proxy statements, information statements, and other information regarding SEC registrants, including KLX Energy Services Holdings,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reports filed or furnished with the SEC and provided on our website, we publicly disclose material information from time to time in our press releases, at annual meetings of stockholders and in publicly accessible conferences and Investor presentations primarily through our Investor Relations pages (https://investor.klx.com).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 should be noted that references to the Company's website in this Annual Report are provided as a convenience and do not constitute, and should not be deemed, an incorporation by reference of the information contained on, or available through, the website, and such information should not be considered part of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53" w:type="dxa"/>
        <w:jc w:val="left"/>
        <w:tblInd w:w="0" w:type="dxa"/>
        <w:tblLayout w:type="fixed"/>
        <w:tblCellMar>
          <w:top w:w="28" w:type="dxa"/>
          <w:left w:w="28" w:type="dxa"/>
          <w:bottom w:w="28" w:type="dxa"/>
          <w:right w:w="28" w:type="dxa"/>
        </w:tblCellMar>
      </w:tblPr>
      <w:tblGrid>
        <w:gridCol w:w="346"/>
        <w:gridCol w:w="305"/>
        <w:gridCol w:w="308"/>
        <w:gridCol w:w="1723"/>
        <w:gridCol w:w="1723"/>
        <w:gridCol w:w="2448"/>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 (U.S. dollars in millions, except per unit data)</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Investing in our Common Stock involves a high degree of risk.</w:t>
      </w:r>
      <w:r>
        <w:rPr>
          <w:color w:val="000000"/>
        </w:rPr>
        <w:t xml:space="preserve"> </w:t>
      </w:r>
      <w:r>
        <w:rPr>
          <w:rFonts w:ascii="Arial;sans-serif" w:hAnsi="Arial;sans-serif"/>
          <w:b w:val="false"/>
          <w:i/>
          <w:color w:val="000000"/>
          <w:sz w:val="20"/>
        </w:rPr>
        <w:t>You should carefully consider the information in this Annual Report, including the matters addressed under “Cautionary Statement Regarding Forward-Looking Statements” and the following risks before making an investment decision. If any of the following risks or uncertainties or any other risks or uncertainties of which we are currently unaware actually occur, or if any of our underlying assumptions prove to be incorrect, our business, financial condition and results of operations could be materially adversely affected. The trading price of our Common Stock could decline due to any of these risks, and you may lose all or part of your investment.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Relating to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business depends on domestic capital spending by the oil and natural gas industry, and reductions in capital spending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revenues are generated primarily from customers who are engaged in drilling for and production of oil and natural gas. Demand for services in the oil and natural gas industry is cyclical and subject to sudden and significant volatility, and we depend on our customers’ willingness to make capital and operating expenditures to explore for, develop and produce oil and natural gas in the United States. The oil and gas industry experienced significant increases in activity in late 2021 and 2022 due to the recovery from the COVID-19 pandemic. Oil prices moderated in 2023 and 2024 and declined further in 2025 due to increased global supply, softer demand growth and broader macroeconomic uncertainty, with further price decreases in early 2026. U.S. natural gas prices declined materially in 2023 and reached multi-year lows in 2024 due to strong domestic production, elevated storage levels and relatively mild weather. During 2025, natural gas prices have begun to slowly recover, supported by production curtailments, incremental LNG export capacity and seasonal demand, although prices have remained volatile into early 2026. Oil and natural gas prices have been, and may remain, volatile, which impacts demand for our business. However, an unexpected slowdown in economic activity may result in lower capital expenditures, project modifications, delays or cancellations, general business disruptions, and delays in payment of, or nonpayment of, amounts that are owed to us, which could have a material adverse effect on our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Over the past several years, an increasing number of E&amp;P companies increased their focus on generating free cash flow; as a result, if oil prices drop or spending for activities exceeds amounts budgeted earlier in their fiscal years, many E&amp;P companies will sharply curtail spending, which negatively impacts demand for our services. This practice has been commonly referred to as “budget exhaustion” in the industry. The lack of notice of budget exhaustion negatively impacts our hiring practices and operating efficiencies.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 factors over which we have no control that could affect our customers’ willingness to undertake drilling, completion, production, and intervention spending activities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level of prices, and expectations about prices, for oil and natural gas;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level of domestic and global oil and natural gas production;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level of domestic and global oil and natural gas inventories;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availability, pricing and perceived safety of pipeline, trucking, train storage and other transportation capacity;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supply of and demand for oilfield services and equipment;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lead times associated with acquiring equipment and availability of qualified personnel;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cost of exploring for, developing, producing and delivering oil and natural gas;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expected rates of decline in production from existing and prospective wells;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82"/>
        <w:gridCol w:w="2763"/>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discovery rates of new oil and natural gas reserves;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prolonged reduction in the overall level of oil and natural gas E&amp;P activities, whether resulting from changes in oil and natural gas prices or otherwise;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uncertainty in capital and commodities markets and the ability of oil and natural gas E&amp;P companies to raise equity capital and debt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federal, state and local regulation of hydraulic fracturing and other oilfield service activities, as well as E&amp;P activities, including public pressure on governmental bodies and regulatory agencies to regulate the oil and gas industry;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moratoriums on drilling activity resulting in a cessation of operation or a failure to expand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adverse weather conditions, including rain, tropical storms, hurricanes and severe cold weather, that can affect oil and natural gas operations over a wide area;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oil refining capacity;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merger and divestiture activity among oil and gas producers;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availability of water resources and suitable proppants in sufficient quantities and on acceptable terms for use in hydraulic fracturing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availability, capacity and cost of disposal and recycling services for used hydraulic fracturing fluids;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Arial;sans-serif" w:hAnsi="Arial;sans-serif"/>
                <w:b w:val="false"/>
                <w:color w:val="000000"/>
                <w:sz w:val="20"/>
              </w:rPr>
            </w:pPr>
            <w:r>
              <w:rPr>
                <w:rFonts w:ascii="Arial;sans-serif" w:hAnsi="Arial;sans-serif"/>
                <w:b w:val="false"/>
                <w:color w:val="000000"/>
                <w:sz w:val="20"/>
              </w:rPr>
              <w:t>the political environment in oil and natural gas producing regions, including uncertainty or instability resulting from civil disorder, terrorism or war, such as the continuing conflicts in Ukraine, Iran and Israel and events in Venezuela;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worldwide political, military and economic conditions;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global or national health pandemics, epidemics or concerns, such as the COVID-19 pandemic, which reduced and may further reduce demand for oil and natural gas and related products due to reduced global or national economic activity;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actions of the Organization of the Petroleum Exporting Countries ("OPEC"), its members and other state-controlled oil companies relating to oil and natural gas price and production levels, including announcements of potential changes to such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advances in exploration, development and production technologies or in technologies affecting energy consumption;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stockholder activism or activities by non-governmental organizations to restrict the exploration, development and production of oil and natural gas;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potential acceleration of the energy transition and development of alternative fuels;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price and availability of alternative fuels and energy sources.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The volatility of oil and natural gas prices may adversely affect the demand for our services and negatively impact our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demand for our services is primarily determined by current and anticipated oil and natural gas prices and the related levels of capital spending and drilling activity in the areas in which we have operations. Volatility or weakness in oil prices or natural gas prices (or the perception that oil prices or natural gas prices will decrease) affects the spending patterns of our customers and may result in the drilling of fewer new wells. This, in turn, could lead to lower demand for our services and may cause lower utilization of our assets. We have experienced, and may in the future experience, significant fluctuations in operating results as a result of the reactions of our customers to changes in oil and natural gas prices.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Historically, prices for oil and natural gas have been extremely volatile and are expected to continue to be volatile. During the past five years, West Texas Intermediate (“WTI”) has ranged from a low of $47.47 per barrel (“Bbl”) in January 2021 to a high of $123.64 per Bbl in March 2022. As of December 31, 2025, WTI closed at $57.26 per Bbl, a 21.0% decrease compared to the closing price of WTI on December 31, 2024. On February 2, 2026, WTI closed at $61.60 per Bbl.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Significant factors that are likely to affect commodity prices in current and future periods include, but are not limited to, price reductions or increased production by OPEC members and other oil exporting nations, the effect of U.S. energy, monetary and trade policies, U.S. and global economic conditions, U.S. and global political and economic developments, including initiatives introduced by the Trump Administration and resulting energy and environmental policies, war or other military conflict, including the continuing conflict between Russia and Ukraine, conditions in the Middle East and South America, including most recently in Iran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Venezuela, and conditions in the U.S. oil and gas industry and the resulting demand for domestic land oilfield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the prices of oil and natural gas continue to be volatile or decline, our business, financial condition and results of operations may be materially and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business may be adversely affected by a deterioration in general economic conditions or a weakening of the broader energy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crude oil prices increased after the worst impacts of the COVID-19 pandemic, drilling activity in the United States has remained well below pre-pandemic levels for much of the recovery period. Active U.S. oil rigs—which peaked above pre-pandemic levels during earlier phases of the recovery—declined through 2023 and 2024 as operators focused on capital discipline and efficiency gains, and have stayed materially lower in 2025 and early 2026, with the active oil rig count generally near the low-to-mid 400s compared to higher counts earlier in the decade. Natural gas rig activity similarly has not returned to pre-pandemic drilling intensity, even as gas rigs have risen from their 2023 lows. We cannot assure you these conditions will not continue to exist throughout 2025. The risks associated with our business are more acute during periods of economic slowdown or recession because such periods may be accompanied by decreased spending by our customers. A prolonged period of economic slowdown and/or recession in the United States, particularly if coupled with a prolonged slowdown in the E&amp;P industry, would materially and adversely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oil and gas industry has historically been both cyclical and seasonal. Activity levels historically have been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generally driven by commodity prices, which are affected by both domestic and global supply and demand factors. In particular, while U.S. oil and natural gas prices are correlated with global oil price movements, they are also affected by local markets, weather and consumption patterns.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results have been, and in the future may be, impacted by the uncertainty caused by an economic downturn, public health crises, geopolitical issues, including the ongoing conflict between Russia and Ukraine and recent developments in Venezuela and Iran, volatility or deterioration in the debt and equity capital markets, inflation, deflation or other adverse economic conditions that negatively affect us or parties with whom we do business resulting in a reduction in our customers’ spending and their non-payment or inability to perform obligations owed to us, such as the failure of customers to honor their commitments or the failure of major suppliers to complete orders.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continued recession or long-term market correction could further materially affect the value of our Common Stock, affect our access to capital and affect our business in the near and long-term. The borrowing base of our 2028 ABL Facility is dependent upon our receivables, which may be significantly lower in the future due to reduced activity levels or decreases in pricing for our services.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industry in which we operate has undergone and may continue to undergo consolidation.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Some of our largest customers have consolidated in recent years and are using their size and purchasing power to achieve economies of scale and pricing concessions. This consolidation may result in reduced capital spending by E&amp;P customers or the acquisition of one or more of our other primary customers, which may lead to decreased demand for our products and services. If we cannot maintain sales levels for customers that have consolidated or replace such revenue with increased business activities from other customers, this consolidation activity could have a significant negative impact on our business, financial condition and results of operations. We are unable to predict what effect consolidations in our industry may have on prices, capital spending by customers, selling strategies, competitive position, ability to retain customers or ability to negotiate favorable agreements with customers.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loss of one or more of our larger customers could have a material adverse effect on our business, financial condition and results of operations. In addition, if a significant customer experiences liquidity constraints or other financial difficulties, it may be unable to make required payments to us or may seek to renegotiate contracts, which could adversely affect our liquidity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adversely affected by the effects of inflation.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U.S. inflation rate has remained at an elevated level through year-end 2025, with official inflation rate of 2.9% per the Federal Reserve and 3.0% per the Bureau of Labor Statistics Producer Price Index. Inflation in wages, materials, parts, equipment and other costs has the potential to adversely affect our results of operations, cash flows and financial position by increasing our overall cost structure, particularly if we are unable to achieve commensurate increases in the prices we charge our customers for our products and services. In addition, the existence of inflation in the economy has resulted in higher interest rates, which could result in higher borrowing costs, supply shortages, increased costs of labor, weakening exchange rates and other similar effects. Sustained levels of high inflation caused the U.S. Federal Reserve and other central banks to increase interest rates several times in an effort to curb inflationary pressure on the costs of goods and services across the United States, including the significant increases in prevailing interest rates that occurred during 2022 and 2023 as a result of the 525 aggregate basis point increase in the federal funds rate, and the associated macroeconomic impact on slowdown in economic growth could negatively impact our business. While the Federal Reserve reduced benchmark interest rates by 100</w:t>
      </w:r>
      <w:r>
        <w:rPr>
          <w:color w:val="000000"/>
        </w:rPr>
        <w:t xml:space="preserve"> </w:t>
      </w:r>
      <w:r>
        <w:rPr>
          <w:rFonts w:ascii="Arial;sans-serif" w:hAnsi="Arial;sans-serif"/>
          <w:b w:val="false"/>
          <w:color w:val="000000"/>
          <w:sz w:val="20"/>
        </w:rPr>
        <w:t>basis points in late 2024 and by 75</w:t>
      </w:r>
      <w:r>
        <w:rPr>
          <w:color w:val="000000"/>
        </w:rPr>
        <w:t xml:space="preserve"> </w:t>
      </w:r>
      <w:r>
        <w:rPr>
          <w:rFonts w:ascii="Arial;sans-serif" w:hAnsi="Arial;sans-serif"/>
          <w:b w:val="false"/>
          <w:color w:val="000000"/>
          <w:sz w:val="20"/>
        </w:rPr>
        <w:t>basis points in 2025, no assurance can be given that such rate cuts will continue. To the extent elevated inflation remains,</w:t>
      </w:r>
      <w:r>
        <w:rPr>
          <w:color w:val="000000"/>
        </w:rPr>
        <w:t xml:space="preserve"> </w:t>
      </w:r>
      <w:r>
        <w:rPr>
          <w:rFonts w:ascii="Arial;sans-serif" w:hAnsi="Arial;sans-serif"/>
          <w:b w:val="false"/>
          <w:color w:val="000000"/>
          <w:sz w:val="20"/>
        </w:rPr>
        <w:t>we may experience further cost increases for our operations, including labor costs and equipment. We cannot predict any future trends in the rate of inflation and a significant increase in inflation, to the extent we are unable to timely pass through the cost increases to our customers, would negatively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unable to maintain existing prices or implement price increases on our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maintain our existing prices or to implement price increases depends on our customers’ ability and willingness to pay such prices. As a result, and given the volatility in the market, we may not be successful in maintaining our existing prices or, in the future, implementing price increases. We cannot predict the magnitude or duration of volatility in oil and gas prices and therefore on the prices we charge our customers. Any inability to maintain our pricing or to increase our pricing from reduced levels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could also be pressure on our pricing and limitations on our ability to increase prices during future periods of increased market demand when a significant amount of new service capacity, including new well service rigs, wireline units and coiled tubing units, may enter the market. In periods of high demand for oilfield services, a tighter labor market may result in higher labor costs. During such periods, our labor costs could increase at a greater rate than our ability to raise prices. Also, we may not be able to successfully increase prices without adversely affecting our activity levels. Even if we are able to increase our prices in future periods, we may not be able to do so at a rate that is sufficient to offset any rising costs,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been expanding our available products and services in recent periods and may continue to expand over time through the internal expansion of products and services and potential acquisitions. Any such expansion, if achieved, could place significant demands on our management team and our operational, administrative and financial resources. We may not be able to expand effectively or manage our expansion successfully, and the failure to do so could have a material adverse effect on our business, financial condition and results of operations and could cause the market value of our Common Stock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60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significant customers change from year to year, depending on the level of E&amp;P activity and the use of our services. For the year ended December 31, 2025, no single customer accounted for more than 10% of our revenues. Our top five customers for the year ended December 31, 2025 together accounted for approximately 31% of our revenues. A reduction in purchases of our products and services by, or the loss of, one of our larger customers for any reason, such as the current industry conditions and economic downturn, insolvency of a customer, decreased production, changes in drilling practices, loss of a customer as a result of the acquisition of such customer by a purchaser who uses a competitor, in-sourcing by customers, a transfer of business to a competitor, or failure to adequately service our clients,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unable to effectively and efficiently manage our equipment fleet as we expand our business, which could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have substantially expanded the size, scope and nature of our business through past mergers and acquisitions, resulting in an increase in the breadth of our product offerings and an expansion of our business geographically. Business expansion places increasing demands on us to increase the inventories that we carry and/or our equipment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adverse weather, difficult market conditions or slowdowns in oil and natural gas exploration in the various regions in which we operate, could have an adverse effect on our business, financial condition and results of operations.</w:t>
      </w: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Possible decreased revenues, difficulty in obtaining access to financing and increased funding costs we experience may be exacerbated by the geographic concentrations of our completion and production operations. We could experience any of these conditions at the same time, resulting in a relatively greater impact on our results of operations than they might have on other companies that have more geographically diversified operations. Such delays or interruptions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past acquisition activity and any future acquisitions may not be successful in delivering expected performance post-acquisition,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was created largely through a series of acquisitions, including the Greene's Acquisition. We regularly evaluate acquisition opportunities, frequently engage in acquisition discussions and conduct due diligence activities and, where appropriate, engage in acquisition negotiations, some of which could be material to us. Our ability to continue to achieve our goals may depend upon our ability to effectively identify attractive businesses, access financing sources on acceptable terms, negotiate favorable transaction terms and successfully integrate any businesses we acquire, achieve cost efficiencies and manage these businesses as part of our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acquisition and merger activities may involve unanticipated delays, costs and other problems. If we encounter unanticipated problems with one of our acquisitions, our senior management may be required to divert attention away from other aspects of our business. We may lose key employees and customers of the acquired and merged businesses, and we may be unable to commercially develop acquired technologies. With any future acquisition or merger, we may also risk entering markets in which we have limited prior experience. Additionally, we may fail to consummate proposed acquisitions or divestitures, after incurring expenses and devoting substantial resources, including management time, to such transactions.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also pose the risk that we may be exposed to successor liability relating to actions by an acquired company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that we assume or incur in connection with acquisitions we complete.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depending upon the acquisition opportunities available, we also may need to raise additional funds through the capital markets or arrange for additional bank financing in order to consummate such acquisitions or to fund capital expenditures necessary to integrate such acquired businesses. The 2030 Senior Notes Indenture permits us to incur additional pari passu indebtedness of up to $150.0 within twelve months of the Refinancing (as defined below) to, among other things, consummate permitted acquisitions and investments, subject to the terms and conditions contained therein. Beyond twelve months, we may not be able to raise the substantial capital required for acquisitions and integrations on satisfactory terms, if at all. In addition, if we elect to utilize shares of Common Stock or other equity securities as consideration for one or more acquisitions or business combinations, such as we did in the Greene's Acquisition, or if we issue Common Stock or other equity securities in order to finance one or more acquisitions, existing stockholders of our company could experience dilution in the value of their securities, which could be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process of integrating an acquired business may involve unforeseen costs and delays or other operational, technical and financial difficulties and may require a disproportionate amount of management attention and financial and other resources. Our failure to achieve consolidation savings, to incorporate the acquired businesses and assets into our existing operations successfully or to minimize any unforeseen operational difficulties could have a material adverse effect on our business, financial condition and results of operations. Furthermore, there is intense competition for acquisition opportunities in our industry. Competition for acquisitions may increase the cost of, or cause us to refrain from, completing acquisitions.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Relating to Our Industry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Conservation measures and technological advances could reduce demand for oil and natural gas.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Fuel conservation measures, alternative fuel requirements, increasing consumer demand for or legislative incentives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60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business involves many hazards and operational risks that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20"/>
        <w:gridCol w:w="2821"/>
        <w:gridCol w:w="4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defects;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accidents resulting in serious bodily injury and the loss of life or property;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damaged or lost equipment;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from accidents or damage by our operators or equipment;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pollution and other damage to the environment;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well blowouts and the uncontrolled flow of natural gas, oil or other well fluids into or through the environment, including onto or into the ground or into the atmosphere, groundwater, surface water or an underground formation;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fires, explosions and cratering;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mechanical or technological failures;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of well control;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spillage handling and disposing of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collapse of the boreholes;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adverse weather conditions;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failure of our employees to comply with our internal environmental, health and safety guidelines.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Although we customarily include a waiver of consequential damages in our customer contracts, defects or other performance problems in the services or products we offer could result in our customers seeking to invalidate such waiver and seek damages from us for losses associated with these defects or other performance problems. The frequency and severity of such incidents will affect operating costs, insurability and relationships with customers, employees and regulators. Our customers may elect not to purchase our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 In addition, these risks may be greater for us upon the acquisition of another company that has not allocated significant resources and management focus to safety and has a poor safety record.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maintain what we believe is customary and reasonable insurance to protect our business against most potential losses, but we are not fully insured against all risks inherent in our business and such insurance may not be adequate to cover our liabilities, especially as the inherent risks in our operations increase with increasing well complexity.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result, we could become subject to material uninsured liabilities or situations where we have high deductibles or self-insured retentions that expose us to liabilities that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Competition among oilfield service and equipment providers is affected by each provider’s reputation for safety and quality.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Increased labor costs, the unavailability of skilled workers or labor-related litigation could hurt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dependent upon a pool of available skilled employees to operate and maintain our business.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which could increase our operating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Although our employees are not covered by a collective bargaining agreement, union organizational efforts could occur and, if successful, could increase our labor costs. A significant increase in the wages paid by competing employers or the unionization of groups of our employees could result in increases in the wage rates that we must pay. Likewise, laws and regulations to which we are subject, such as the Fair Labor Standards Act, which governs such matters as minimum wage, overtime and other working conditions, can increase our labor costs or subject us to liabilities to our employees.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recent years, oilfield services companies have been the subject of a significant volume of wage and hour-related litigation, including claims brought under the Fair Labor Standards Act, in which employee pay practices have been challenged. We have previously been named as defendants in these lawsuits, and we do not maintain insurance for alleged wage and hour-related litigation. The frequency and significance of wage or other employment-related claims may affect expenses, costs and relationships with employees and regulators. Additionally, we could become subject to material uninsured liabilities that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operate in highly competitive markets and our failure to compete effectively may negatively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The competitive environment has intensified as mergers among E&amp;P companies have reduced the number of available customers and may further increase if E&amp;P company bankruptcies further reduce the number of available customers or our existing and potential customers may develop their own service businesses. The fact that certain oilfield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equipment is mobile and can be moved from one market to another in response to market conditions heightens the competition in the industry. In addition, any increase in the supply of hydraulic fracturing fleets could have a material adverse impact on market prices. This increased supply could also require higher capital investment to keep our services competitive.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 Some of our competitors may also be able to devote greater resources to the R&amp;D, promotion and sale of their services and products and better withstand the evolving industry standards and changes in market conditions as compared to us. Our operations may be adversely affected if our competitors introduce new products or services with better features,</w:t>
      </w:r>
      <w:r>
        <w:rPr>
          <w:color w:val="000000"/>
        </w:rPr>
        <w:t> </w:t>
      </w:r>
      <w:r>
        <w:rPr>
          <w:rFonts w:ascii="Arial;sans-serif" w:hAnsi="Arial;sans-serif"/>
          <w:b w:val="false"/>
          <w:color w:val="000000"/>
          <w:sz w:val="20"/>
        </w:rPr>
        <w:t>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competitive pressures described herein, and any others we may not currently be aware of,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Any significant future increase in overall market capacity for completion, intervention and production services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Seasonal and adverse weather conditions adversely affect demand for services and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Weather has a significant impact on demand as consumption of energy is seasonal, and any variation from normal weather patterns, such as cooler or warmer summers and winters, can have a significant impact on demand. Adverse weather conditions, including rain, tropical storms, hurricanes, tornadoes and severe cold weather, have in the past and may in the future interrupt or curtail operations, our customers’ operations, cause supply disruptions and result in a loss of revenue and damage to our equipment and facilities, which may or may not be insured.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which can severely disrupt the normal operation of our business and adversely impact our financial condition and results of operations. During the winter months (first and fourth quarters) and periods of heavy snow, ice or rain, particularly in the northeastern U.S., Colorado, North Dakota and Wyoming, our customers may delay operations or we may not be able to operate or move our equipment between locations. Also, during the spring thaw, which normally starts in late March and continues through June, some areas impose transportation restrictions to prevent damage. In addition, throughout the year heavy rains adversely affect activity levels, as dirt access roads can become impassible in wet conditions and well locations become inaccessible. These locations and activities are susceptible to the physical effects of climate change, such as increased frequency or severity storm systems, hurricanes, droughts, floods, extreme winter weather, or geologic/geophysical conditions.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Relating to Financial Considerations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have operated at a loss, and there is no assurance of our profitability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experienced periods of low demand for our services and have incurred operating losses. Although there have been improvements in profitability, we still had a net loss during the most recent period. We serve customers who are involved in drilling for and production of oil and natural gas. Demand for services in the oil and natural gas industry is cyclical and has experienced significant downturns in recent years, which have significantly affected the performance of our business. Additional adverse developments affecting this industry could have a material adverse effect on our business, financial condition and results of operations. We may not be able to sufficiently reduce our costs or increase our revenues to achieve profitability and generate positive operating income. We may incur further operating losses and experience negative operating cash flow, which may be significant.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assets require capital for maintenance, upgrades and refurbishment, and we may require capital expenditures for new equipment.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equipment requires periodic capital investment in maintenance, upgrades and refurbishment to maintain its competitiveness. The costs of components and labor have increased in the past and may increase in the future with increases in demand, which will require us to incur additional costs to upgrade any equipment we may acquire in the future. Our equipment typically does not generate revenue while it is</w:t>
      </w:r>
      <w:r>
        <w:rPr>
          <w:color w:val="000000"/>
        </w:rPr>
        <w:t> </w:t>
      </w:r>
      <w:r>
        <w:rPr>
          <w:rFonts w:ascii="Arial;sans-serif" w:hAnsi="Arial;sans-serif"/>
          <w:b w:val="false"/>
          <w:color w:val="000000"/>
          <w:sz w:val="20"/>
        </w:rPr>
        <w:t>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if challenging business conditions in the energy sector occur for a prolonged period, we may be unable to make capital investments. Additionally, competition or advances in technology within our 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2030 Senior Notes Indenture and the 2028 ABL Facility have significant financial and operating restrictions that may have an adverse effect on our business, financial condition and results of operations.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 As of December 31, 2025, the Company was in compliance with its debt covenants under the 2030 Senior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6, 2026, the requisite holders agreed to execute the First Amendment to the 2030 Senior Notes Indenture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is no certainty that, following the First Amendment to the Indenture, we will continue being able to comply with our covenants or that we will be able to obtain future amendments in the event we are unable to comply with our covenants. In the event of a covenant breach that is not waived, the noteholders could declare an event of default under the 2030 Senior Notes Indenture. If an event of default occurs, the controlling noteholders under the 2030 Senior Notes Indenture would be entitled to accelerate any outstanding indebtedness and enforce liens securing our obligations under the 2030 Senior Notes. Further, the acceleration of indebtedness under the 2030 Senior Notes could cause an event of default under our 2028 ABL Facility, entitling the requisite lenders of the 2028 ABL Facility to accelerate our indebtedness in respect thereof, terminate all undrawn commitments and enforce liens securing our obligations under the 2028 ABL Facility. If our lenders or noteholders accelerate our obligations under the affected debt agreements, we may not have sufficient liquidity to repay all of our outstanding indebtedness then due and payable.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have substantial indebtedness, and our ability to repay such indebtedness as it becomes due will depend on our future operating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substantial indebtedness. As of December 31, 2025, we had total outstanding long-term indebtedness of $258.3, comprised of $36.0 in outstanding borrowings under our 2028 ABL Facility and $222.3 in net principal amount of 2030 Senior Notes. Our 2028 ABL Facility matures in 2028. See Item 8. Note 6 - Long Term Debt for more information. Under the terms of the 2030 Senior Notes Indenture, we are required to make quarterly redemptions of our 2030 Senior Notes in an amount equal to two percent per annum of all 2030 Senior Notes outstanding as of the prior interest payment date, which will require us to dedicate all or a substantial portion of cash from operations to fund such redemptions. Our ability to pay the principal and interest on our debt as it becomes due, including the quarterly redemptions of the 2030 Senior Notes, and to satisfy our other liabilities will depend on our future operating performance. Our future operating performance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refinance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2028 ABL Facility matures on March 7, 2028 and we intend to work with our existing lenders or other sources of capital to refinance the 2028 ABL Facility as well as our 2030 Senior Notes. If we are unable to refinance the 2028 ABL Facility as planned and uncertainty around our ability to refinance our existing long-term debt still exists, that could result in our auditors issuing a “going concern” or like qualification or exception as early as our audit opinion with respect to the year ending December 31,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our substantial leverage position, as market conditions warrant and subject to our contractual restrictions, liquidity position and other factors, we are evaluating several alternatives for deleveraging including debt for equity exchanges, non-core asset sales or other potential transactions to recapitalize, refinance or otherwise restructure our capital structure. Some of these alternatives may require the consent of current lenders, stockholders or noteholders, and there is no assurance that we will be able to execute any of these alternatives on acceptable terms or at 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service and repay our debt as it becomes due, we may be forced to sell assets or take other disadvantageous actions, including (1) reducing financing in the future for working capital, capital expenditures and other general corporate purposes and (2) dedicating an unsustainable level of our cash flow from operations to the payment of principal and interest on our indebtedness. The lenders or other investors who hold debt that we fail to service or on which we otherwise default could also accelerate amounts due, which could in such an instance potentially trigger a default or acceleration of other debt we may incur.</w:t>
      </w:r>
    </w:p>
    <w:p>
      <w:pPr>
        <w:pStyle w:val="TextBody"/>
        <w:bidi w:val="0"/>
        <w:spacing w:before="0" w:after="0"/>
        <w:jc w:val="left"/>
        <w:rPr/>
      </w:pPr>
      <w:r>
        <w:rPr/>
      </w:r>
    </w:p>
    <w:p>
      <w:pPr>
        <w:pStyle w:val="TextBody"/>
        <w:bidi w:val="0"/>
        <w:spacing w:lineRule="auto" w:line="261" w:before="0" w:after="0"/>
        <w:jc w:val="both"/>
        <w:rPr>
          <w:rFonts w:ascii="Arial;sans-serif" w:hAnsi="Arial;sans-serif"/>
          <w:b/>
          <w:i/>
          <w:color w:val="000000"/>
          <w:sz w:val="20"/>
        </w:rPr>
      </w:pPr>
      <w:r>
        <w:rPr>
          <w:rFonts w:ascii="Arial;sans-serif" w:hAnsi="Arial;sans-serif"/>
          <w:b/>
          <w:i/>
          <w:color w:val="000000"/>
          <w:sz w:val="20"/>
        </w:rPr>
        <w:t>Our significant level of indebtedness may limit our ability to borrow additional funds or capitalize on acquisition or other business opportunities.</w:t>
      </w:r>
    </w:p>
    <w:p>
      <w:pPr>
        <w:pStyle w:val="TextBody"/>
        <w:bidi w:val="0"/>
        <w:spacing w:lineRule="auto" w:line="261"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leverage and the restrictions and obligations contained in the 2030 Senior Notes Indenture and the 2028 ABL Facility and any agreements governing future indebtedness may reduce our ability to incur additional indebtedness, engage in certain transactions or capitalize on acquisition or other business opportunities. If our future cash flows and available borrowings under our 2028 ABL Facility are insufficient to fund our operating expenses, we may be forced to consider additional financing alternatives. If debt and equity capital or alternative financing plans are not available on favorable terms or at all, we may be required to get the necessary consents to amend the terms of our debt to allow us to pursue additional financing alternatives. Our ability to request borrowings for the working capital or general corporate purposes under the 2028 ABL Facility is subject to satisfaction of certain customary conditions, including representations and warranties, no default or event of default, and the amount of requested borrowing not exceeding the lesser of the aggregate commitments thereunder and the borrowing base then in effect.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indebtedness and other financial obligations and restrictions could have financial consequences. For example, they could: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7"/>
        <w:gridCol w:w="2859"/>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increase our vulnerability to adverse economic and industry conditions;</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242424"/>
                <w:sz w:val="20"/>
              </w:rPr>
            </w:pPr>
            <w:r>
              <w:rPr>
                <w:rFonts w:ascii="Arial;sans-serif" w:hAnsi="Arial;sans-serif"/>
                <w:b w:val="false"/>
                <w:color w:val="242424"/>
                <w:sz w:val="20"/>
              </w:rPr>
              <w:t>require us to dedicate a substantial portion of cash from operations to the payment of debt service, including making mandatory quarterly redemptions of the 2030 Senior Notes, thereby reducing the availability of cash to fund working capital, capital expenditures and other general corporate purposes;</w:t>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limit our ability to obtain additional financing for working capital, capital expenditures, general corporate purposes or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place us at a disadvantage compared to our competitors that are less leveraged;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0850"/>
                <wp:effectExtent l="0" t="0" r="0" b="0"/>
                <wp:wrapNone/>
                <wp:docPr id="34" name="Frame3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26"/>
        <w:gridCol w:w="2862"/>
        <w:gridCol w:w="4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limit our flexibility in planning for, or reacting to, changes in our business and in our industry;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make us vulnerable to increases in interest rates with respect to the outstanding 2030 Senior Notes and amounts borrowed under our 2028 ABL Facility.</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experience future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conduct our business operations and execute our strategy, we acquire tangible and intangible assets, which affect the amount of future period amortization expense and possible impairment expense that we may incur. The risk of impairment may be heightened for the duration of the current industry conditions, which may persist for a prolonged period. The determination of the value of such intangible assets requires management to make estimates and assumptions that affect our financial statements. As part of our strategy, we may make additional acquisitions, which may result in the addition of duplicative assets. In the event such an acquisition results in the combined assets of our Company and the acquired assets being in excess of any reasonable forecast of future need, the excess portion of the book value of these assets may be judged to be impaired. In accordance with Accounting Standards Codification (“ASC”) Topic 360, Property, Plant, and Equipment, we assess potential impairment to long-lived assets (property and equipment and amortized intangible assets) when there is evidence that events or changes in circumstances indicate that the carrying amount of an asset may not be recovered. Our judgment regarding the existence of impairment indicators and future cash flows related to intangible assets is based on operational performance of our acquired businesses, expected changes in the global economy, oil and gas price and industry projections, discount rates and other judgmental factors. We would be required to record any such impairment losses resulting from any such test as a charge to operating results. To perform the annual assessment, we utilize a combination of income and market-based approaches to value the reporting units. The income approach to valuation relies on a discounted cash flow analysis to determine the fair value of each reporting unit, which considers forecasted cash flows discounted at an appropriate discount rate. The discount rate is an estimate of the overall after-tax rate of return required by a market participant, whose weighted average cost of capital includes both equity and debt, including a risk premium. Any future impairment loss could have a material non-cash adverse impact on our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Customer payment delays of outstanding receivables and customer bankruptcies could have a material adverse effect on our liquidity, results of operations, and consolidated financial condition.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often provide credit to our customers for our services and we are, therefore, subject to the risk of our customers delaying or failing to pay outstanding invoices. Although we monitor individual customer financial viability in granting such credit arrangements and maintain reserves we believe are adequate to cover exposure for doubtful accounts, in weak economic environments, customers’ delays and failures to pay often increase due to, among other reasons, a reduction in our customers’ cash flow from operations and their access to credit markets. If our customers delay or fail to pay a significant amount of outstanding receivables, it could reduce our availability under our 2028 ABL Facility or otherwise have a material adverse effect on our liquidity,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Some of our customers have entered bankruptcy proceedings in the past, and certain of our customers’ businesses face financial challenges that put them at risk of future bankruptcies. Customer bankruptcies could delay or in some cases eliminate our ability to collect accounts receivable that are outstanding at the time the customer enters bankruptcy proceedings. We are also at risk that we may be required to refund amounts collected from a customer during the period immediately prior to that customer’s bankruptcy filing, and the amount we ultimately collect from the customer’s bankruptcy estate may be significantly less. Customer bankruptcies may also reduce our availability under our 2028 ABL Facility. Although we maintain reserves for potential customer credit losses, customer bankruptcies could result in unanticipated credit losses. As a result, if one or more of our customers enter bankruptcy proceedings, particularly our larger customers or those to whom we have greater credit exposure, it could have a material adverse impact on our liquidity,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60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Relating to Third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Shortages or increases in the costs of the equipment we use in our operations could adversely affect our operations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generally do not have specialized tools, trucks or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either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dependent on a small number of suppliers for key goods and services that we use in our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do not have long-term contracts with third-party suppliers of many of the goods and services used in large volumes in our operations, including manufacturers of technical services equipment and fishing tools, wireline perforating guns and charges and other tools and equipment used in our operations. If demand for goods and services exceeds supply, such as from disruptions to the supply chain or supplier bankruptcies, the availability of certain goods and services used in our industry decreases and the price of such goods and services increases. We are dependent on a small number of suppliers for key goods and services. During the year ended December 31, 2025, based on total purchase cost, our ten largest suppliers of goods and services represented approximately 23% of all such purchases. Our reliance on such suppliers could increase the difficulty of obtaining such goods and services in the event of a disruption to the supply chain or upon a bankruptcy of one or more of these suppliers or upon a shortage in our industry. Price increases, delays in delivery and interruptions in supply may require us to incur higher operating costs. Each of these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rely on a limited number of third parties for sand, proppant and chemicals, and delays in deliveries of such materials, increases in the cost of such materials or our contractual obligations to pay for materials that we ultimately do not require could harm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established relationships with a limited number of suppliers of our raw materials (such as sand, proppant and chemical additives). Should any of our current suppliers be unable to provide the necessary materials or otherwise fail to deliver the materials in a timely manner and in the quantities required, any resulting delays in our ability to provide our services could have a material adverse effect on our ability to compete, business, financial condition and results of operations.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Increasing costs of such materials may negatively impact demand for our services or the profitability of our business operations. In the past, our industry faced sporadic proppant shortages associated with hydraulic fracturing operations requiring work stoppages, which adversely impacted the operating results of several competitors. We may not be able to mitigate any future shortages of materials, including proppant, and our results of operations, prospects and financial condition could be adversely affected. Furthermore, to the extent our contracts require us to purchase more materials, including proppant, than we ultimately require, we may be forced to pay for the excess amount under “take or pay” contract provisions.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0850"/>
                <wp:effectExtent l="0" t="0" r="0" b="0"/>
                <wp:wrapNone/>
                <wp:docPr id="36" name="Frame3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 increase in the cost of proppant as a result of increased demand or a decrease in the number of proppant providers as a result of consolidation could increase our cost of an essential raw material in hydraulic stimulation and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depend on third-party companies to support our operations through the timely supply of products. Our suppliers may experience capacity constraints that may result in their inability to supply us with products in a timely fashion, with adequate quantities or at a desired price. Factors affecting suppliers can include labor disputes, general economic issues, and changes in raw material and energy costs. Natural disasters such as earthquakes or hurricanes, as well as political instability, global or national health pandemics, epidemics or concerns, such as the COVID-19 pandemic, and terrorist activities, may negatively impact the production or delivery capabilities of our suppliers as well. These factors could lead to increased prices and/or the unfavorable allocation of products by our suppliers, which could reduce our revenues and profit margins and harm our customer relations. Significant disruptions in our supply chain could negatively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Relating to Technology and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inability to develop, obtain, maintain or implement new technology may cause us to become less competitive.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energy services industry is subject to the introduction of new drilling, completion and well intervention techniques using new technologies, some of which may be subject to patent protection or costly to obtain. As our competitors and others use or develop new technologies in the future, we may be placed at a competitive disadvantage if we fail to keep pace with technological advancements within our industry. If we cannot obtain patents or other protections for the intellectual property rights in our technology, it may not be economical for us to continue to develop systems, services, and technologies to meet evolving industry requirements at prices acceptable to our customers. Furthermore, we may face competitive pressure to implement or acquire certain new technologies at a substantial cost. Some of our competitors are large national and multinational companies that may have greater financial, technical, manufacturing, marketing and personnel resources which may allow them to develop technological advantages and implement new systems, services and technologies before we can. These large national and multinational companies may also have a larger number of manufacturers for their products or ability to manufacture their own products. We may not be able to implement these new technologies on a timely basis or at an acceptable cost, and as our competitors and others use or develop new or comparable technologies in the future, we may lose market share or be placed at a competitive disadvantage. New technology could also make it easier for our oil and natural gas E&amp;P customers to vertically integrate their operations, thereby reducing or eliminating their need for our services. Thus, limits on our ability to effectively use and implement new and emerging technologies may have a material adverse effect on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currently rely on a limited number of manufacturers for the production of the proprietary products used in the provision of our products and services. Termination of the manufacturing relationship with any of these manufacturers could affect our ability to provide such products and services to our customers. Although we believe other alternate sources of supply for our proprietary products exist, we would need to establish relationships with new manufacturers, which could potentially involve significant expense, delay or potential changes to certain product components. Any interruptions to the supply of any of our key products could have a material adverse effect on our financial condition, business, or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success may be affected by our ability to use and protect our proprietary technology as well as our ability to enter into license agreements.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0850"/>
                <wp:effectExtent l="0" t="0" r="0" b="0"/>
                <wp:wrapNone/>
                <wp:docPr id="37" name="Frame3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success may be affected by our development and implementation of new product designs and improvements and by our ability to protect, obtain and maintain intellectual property assets related to these developments. We rely on a combination of patents and trade secrets to protect our proprietary technology. We have received patents and have filed patent applications with respect to certain aspects of our technology in the U.S. and international jurisdictions. In addition to seeking patent protection, we also protect our proprietary technology with other protective measures, including through a combination of trade secrets and employee and third-party non-disclosure agreements. We cannot assure you that our competitors or other third parties will not infringe upon, misappropriate, violate or challenge our intellectual property rights in the future. Further, we cannot assure you that our intellectual property rights will deter or prevent competitors from creating similar products or services. Any failure to adequately protect or enforce our intellectual property rights could have a material adverse effect to our business, financial condition or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Moreover, our rights in our confidential information, trade secrets and confidential know-how cannot prevent third parties from independently developing similar technologies. Publicly available information (e.g., information in issued patents, published patent applications and scientific literature) may be used by third parties to independently develop similar technology, and we cannot provide assurance that this independently developed technology will not be equivalent or superior to our proprietary technology. In addition, while we have patented some of our key technologies, we do not seek patent protection for all of our proprietary technology, even if such technology is patentable. The process of maintaining, monitoring and enforcing patent protection can be long and expensive. There is also no assurance that patents will be issued from our currently pending or future applications or that, if patents are issued, they will be of sufficient scope to provide meaningful protection or any commercial advantage to us. Further, with respect to exclusive third-party intellectual property arrangements, existing arrangements could be terminated and future arrangements may not be available on commercially acceptable terms, if at all, which could result in a material adverse effect on our financial condition, business or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adversely affected by disputes regarding intellectual property rights and the value of our intellectual property rights is uncertain.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become involved in claims, litigation or dispute resolution proceedings from time to time to maintain, protect or enforce our intellectual property rights against potential third-party infringers, which could be costly and time-consuming. Moreover, in these dispute resolution proceedings, a defendant or opposing third party may assert claims, defenses, counterclaims and countersuits that attack the validity or enforceability of our intellectual property rights, and/or allege that that our business, services, or products infringe, impair, misappropriate, dilute or otherwise violate their intellectual property rights. We may not prevail in any such dispute resolution proceedings, and our intellectual property rights may be found invalid or unenforceable, or our products and services may be found to infringe, impair, misappropriate, dilute or otherwise violate the intellectual property rights of others. The results or costs of any such dispute resolution proceedings may have an adverse effect on our business, financial condition or results of operations. Any dispute resolution proceeding concerning intellectual property could be protracted and costly, is inherently unpredictable and could have an adverse effect on our business, financial condition or results of operations, regardless of its outcome.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if we discover or a legal authority finds that our technologies infringe intellectual property rights of third parties, we may need to obtain licenses from these parties or substantially re-engineer our technologies in order to avoid infringement. We may not be able to obtain the necessary licenses on acceptable terms, or at all, or be able to re-engineer our technologies successfully. Also, as a part of resolving such disputes, we may need to enter into cross-licenses, which could reduce the value of our intellectual property rights. If our inability to obtain required licenses for certain technologies or products prevents us from using the infringed technologies or products, our business, financial condition and results of operations could be materially adversely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operations rely on an extensive network of IT systems and a failure to maintain, upgrade and protect such systems could adversely impact our business, financial condition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0850"/>
                <wp:effectExtent l="0" t="0" r="0" b="0"/>
                <wp:wrapNone/>
                <wp:docPr id="38" name="Frame3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operations. Our operations are subject to cybersecurity risks that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At the same time, cyber incidents have increased in frequency and severity. A cyber incident could be caused by malicious insiders or third parties using sophisticated, targeted methods to circumvent firewalls, encryption, and other cybersecurity defenses, including hacking, fraud, trickery, or other forms of deception. Emerging artificial intelligence technologies may improve or expand the capabilities of malicious third parties in a way we cannot predict at this time, including being used to develop new hacking tools, exploit vulnerabilities, obscure malicious activities and increase the difficulty detecting threats. The U.S. government has issued public warnings that indicate that energy assets might be specific targets of cybersecurity threats. Our IT systems, and networks, and those of our vendors, suppliers and other business partners, are subject to possible breaches and other threats that could cause us harm. The increase in companies and individuals working remotely has increased the risk of cyberattacks and potential cybersecurity incidents, both deliberate attacks and unintentional events. Despite our security measures, our IT systems may become the target of cyberattacks or security breaches (including employee error, malfeasance or other breaches), which could result in the theft or loss of sensitive data, misappropriation of assets, disruption of transactions and reporting functions, our ability to protect confidential information and our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Moreover, we may not be able to anticipate, detect or prevent cyberattacks or security breaches, particularly because the methodologies used by attackers change frequently or may not be recognized until such attack is underway, and because attackers are increasingly using technologies specifically designed to circumvent cybersecurity measures and avoid detection. In addition, as technologies evolve, and cyberattacks become increasingly sophisticated, we may incur significant costs to modify, upgrade or enhance our security measures to protect against such cyberattacks and we may face difficulties in fully anticipating or implementing adequate security measures or mitigating potential harm. To date, we have not experienced any material losses relating to cyberattacks; however, there can be no assurance that we will not suffer such losses in the future. If our IT systems for protecting against cybersecurity risks are inadequate, we could be adversely affected by, among other things, loss or damage of intellectual property, proprietary information, or customer data; interruption of business operations; reputational harm; or additional costs to prevent, respond to, or mitigate cybersecurity attacks.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various laws related to cybersecurity requirements, which are continuing to develop and evolve at a rapid pace. We may not be able to monitor and react to all legal developments in a timely manner. As legislation continues to develop and cyber incidents continue to evolve, we will likely be required to expend additional resources to continue to modify or enhance our protective measures, or to investigate and remediate any vulnerability to cyber incidents in order to comply with such laws. Likewise, our business involves the collection, use, and processing of personal data of our employees, contractors, suppliers, and service providers, and such collection, use and processing is subject to a changing landscape of data privacy laws, rules and regulations. These data privacy laws are not uniform and as the privacy legal landscape continues to develop, we will likely be required to expend significant resources to continue to modify or enhance our compliance measures to comply with such laws, rules and regulations. Any failure or perceived failure by us or our third-party service providers to comply with such data privacy laws, rules and regulations, or any security compromise that results in the unauthorized access, improper disclosure, or misappropriation of personal data or other customer data, could result in significant liabilities, negative publicity or reputational harm. Our systems and insurance coverage for cyber incidents, including deliberate attacks, may not be sufficient to cover all of the losses we may experience as a result of such cyberattacks. These risks could have a material adverse effect on our business, financial condition, reputation or results of operations. See “Item 1C. Cybersecurity” for additional information on our cybersecurity risk management, strategy and governance.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Risks Relating to Government Regulation and Legal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0850"/>
                <wp:effectExtent l="0" t="0" r="0" b="0"/>
                <wp:wrapNone/>
                <wp:docPr id="39" name="Frame3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60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Oilfield anti-indemnity provisions enacted by many states may restrict or prohibit a party’s indemnification of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typically enter into agreements with our customers governing the provision of our services, which usually include certain indemnification provisions for losses resulting from operations. These agreements may require each party to indemnify the other against certain claims regardless of the negligence or other fault of the indemnified party; however, many states place limitations on contractual indemnity provisions,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oilfield services agreements. Such oilfield anti-indemnity acts may restrict or void a party’s indemnification of us, which could have a material adverse effect on our business, financial condition and results of operations.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Changes in trucking regulations may increase our transportation costs and negatively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trucks and other heavy equipment for the transportation and relocation of our oilfield services equipment and are therefore subject to regulation as a motor carrier by the DOT and analogous state agencies, whose regulations include authorizations to engage in motor carrier operations and regulatory safety. In addition, regulations issued by environmental and highway safety regulators can have an adverse impact on our trucking costs, and therefore, on our results of operations. See Part I, Item 1. “Business – Government Regulation and Environmental, Health and Safety Matters” for more discussion on the DOT and analogous state legal requirements relating to trucking matters. While we cannot predict whether, or in what form, any legislation or regulatory and executive actions that change existing trucking legal requirements will occur, we may incur increased expenses associated with new or changed trucking laws, regulatory and executory actions, or other restrictions, which could negatively impact our business, financial condition and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do not directly engage in hydraulic fracturing but provide products and services in support of our customers’ fracturing activities. The practice is controversial in certain parts of the country and there remains increased scrutiny and government regulation of the hydraulic fracturing process. Additionally, with concerns about seismic activity resulting from injection of produced wastewaters into underground disposal wells, certain regulators have and could continue to impose additional requirements related to seismic safety. Our customers’ inability to locate or contractually acquire and sustain the receipt of sufficient amounts of water could also adversely impact their operations. See Part I, Item 1. “Business – Government Regulation and Environmental, Health and Safety Matters” for more discussion on these hydraulic fracturing, seismicity and water availability matters. One or more of these developments could decrease completion of our customers’ oil and gas wells, increase our and our customers’ compliance costs and reduce demand for our products and services, which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and our customers are subject to environmental and occupational health and safety laws and regulations that could increase our or our customers’ costs of doing business and adversely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our customers’ operations are subject to stringent federal, Tribal, state and local laws and regulations governing worker health and safety, protection of the environment, including natural resources and certain wildlife, and management, transportation and disposal of wastes, explosives and other materials. See Part I, Item 1. “Business – Government Regulation and Environmental, Health and Safety Matters”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0850"/>
                <wp:effectExtent l="0" t="0" r="0" b="0"/>
                <wp:wrapNone/>
                <wp:docPr id="40" name="Frame4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discussion on these matters. Additional regulatory requirements in one or more of these areas could adversely impact our customers’ operations, increase our and our customers’ compliance costs and reduce demand for our products and services, any of which could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threat of climate change continues to attract considerable attention in the United States and foreign countries and, as a result, our and our customers’ operations are subject to legislative, regulatory, political, litigation and financial risks associated with the production and processing of fossil fuels and emission of GHGs. See Part I, Item 1. “Business – Government Regulation and Environmental, Health and Safety Matters” for more discussion on the risks associated with attention to the threat of climate change and restriction of GHG emissions. New or amended legislation, executive actions, regulations or other regulatory initiatives that impose more stringent oil and gas sector requirements or fees on GHG emissions or restrict the areas in which this sector may produce oil and natural gas or generate GHG emissions could result in increased compliance costs or costs of producing fossil fuels. Additionally, political, financial and litigation risks may result in our or our customers restricting, delaying or canceling operational or production activities, incurring liability for infrastructure damages as a result of climatic changes, restricting access to capital, or impairing the ability to continue to operate in an economic manner, which could reduce demand for our products and services. Fuel conservation measures, alternative fuel requirements and increasing consumer demand for or legislative incentives supporting alternative energy sources (such as wind, solar, geothermal and tidal) could also reduce demand for oil and natural gas. The occurrence of one or more of these developments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Increased attention to sustainability matters may impact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Increased attention to climate change, increasing societal expectations on companies to address climate change, and potential consumer use of substitutes to fossil-fuel energy commodities may result in increased costs, reduced demand for our customers’ hydrocarbon products and our products and services, reduced profits, increased governmental investigations and private litigation against us, and negative impacts on our stock price and access to capital markets. Increasing attention to climate change and environmental conservation, for example, may result in demand shifts for our customers’ hydrocarbon products and additional governmental investigations and private litigation against those customers. To the extent that societal pressures or political or other factors are involved, it is possible that such liability could be imposed without regard to our causation of or contribution to the asserted damage, or to other mitigating factors. See Part I, Item 1. “Business – Government Regulation and Environmental, Health and Safety Matters” for more discussion on climate change and sustainability matters that may pose a risk to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required to assume responsibility for environmental and other liabilities of companies we have acquired or will acquire.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incur liabilities in connection with environmental conditions currently unknown to us relating to our existing, prior or future operations or those of predecessor companies whose liabilities we may have assumed or acquired. We also could be subject to third-party and governmental claims with respect to environmental matters, including claims under CERCLA in instances where we are identified as a potentially responsible party. We believe that indemnities provided to us in certain of our pre-existing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0850"/>
                <wp:effectExtent l="0" t="0" r="0" b="0"/>
                <wp:wrapNone/>
                <wp:docPr id="41" name="Frame4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600"/>
        <w:jc w:val="lef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face risks from increasing activism against, and negative investor sentiment towards the oil and gas industry, which may adversely impact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Public and political debate regarding climate change, energy transition and the role of fossil fuels in the global energy mix remains active and, in recent years, has become increasingly polarized. While global demand for oil and natural gas continues, companies in the oil and gas industry remain subject to scrutiny from certain investors, advocacy groups and other stakeholders regarding environmental, sustainability and governance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segments of the investment community—including some investment advisers, sovereign wealth funds, pension funds, endowments and other institutional investors—have adopted policies or expressed preferences that limit or discourage investments in fossil fuel-related businesses for social, environmental or reputational reasons. Although investor approaches to sustainability considerations have evolved and, in some cases, moderated, negative sentiment toward the oil and gas sector persists among portions of the capital markets. In addition, financial institutions, insurers and other counterparties may consider climate-related or sustainability factors in making financing, underwriting or business decisions.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Companies perceived as not aligning with evolving investor expectations or broader societal views regarding sustainability and climate-related matters may experience reputational harm, reduced investor demand for their securities, increased shareholder engagement efforts or volatility in their stock price. Shifts in political leadership or public policy priorities may also influence investor perceptions of the long-term outlook for the oil and gas industry, which could affect our valuation, access to capital markets and overall business environment.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Restrictions, delays or cancellations imposed by governmental authorities in issuing permits or leases for our or our customers’ operations could impair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and our customers are required to obtain permits from one or more governmental agencies in order to perform certain activities. Such permits are typically required by state agencies but can also be required by federal and local governmental agencies. Moreover, some of our customers’ drilling and completion activities may take place on federal land or Tribal lands, requiring leases and other approvals from the federal government or Tribes to conduct such drilling and completion activities. The requirements for such permits vary depending on the type of operations, including the location where our customers’ drilling and completion activities will be conducted. As with all governmental permitting processes, and particularly with respect to those processes that involve public participation and comment,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At times, federal agencies have sought to cancel proposed leases for federal lands and refused or delayed required approvals. Permitting or lease delays, an inability to obtain or renew permits or leases, or revocation of our or our customers’ current permits could cause a loss of revenue and could materially and adversely affect our business, financial condition and results of operations. See Part I, Item 1. “Business – Government Regulation and Environmental, Health and Safety Matters” for more discussion on permitting and leasing matters, including actions that may adversely affect oil and natural gas leasing and permitting activities. Consequently, our customers’ operations in certain areas of the United States may be interrupted or suspended for varying lengths of time, resulting in reduced demand for our products and services and a corresponding loss of revenue to us as well as adversely affecting our results of operations in support of those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Silica-related legal requirements, including compliance with OSHA regulations relating to respirable crystalline silica or litigation, could have a material adverse effect on our business, financial condition, results of operation and reputation.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0850"/>
                <wp:effectExtent l="0" t="0" r="0" b="0"/>
                <wp:wrapNone/>
                <wp:docPr id="42" name="Frame4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laws and regulations relating to human exposure to crystalline silica. See Part I, Item 1. “Business – Government Regulation and Environmental, Health and Safety Matters” for more discussion on exposure to crystalline silica and other occupational health and safety matters. If we are unable to satisfy these exposure requirements, or are not able to do so in a manner that is cost effective or attractive to our customers, availability or demand for our products and services could be significantly affected and we can provide no assurance that we will be able to comply with any future laws and regulations relating to exposure to crystalline silica that are adopted, or that the costs of complying with such future laws and regulations would not have a material adverse effect on our operating results by requiring us to modify or cease our operations. Moreover, the actual or perceived health risks of handling hydraulic fracturing sand could materially and adversely affect hydraulic fracturing service providers, including us, through reduced use of hydraulic fracturing sand, the threat of product liability or employee or third-party lawsuits, increased scrutiny by federal, state and local regulatory authorities of us and our E&amp;P customers or reduced financing sources available to the hydraulic fracturing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Explosive incidents arising out of dangerous materials used in our business could disrupt operations and result in bodily injuries and property damages, which occurrences could have a material adverse effect our business, results of operations and financial conditions.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include the licensing, storage and handling of explosive materials that are subject to regulation by the ATF and analogous state agencies. Despite our use of specialized facilities to store and handle dangerous materials and our performance of employee training programs, the storage and handling of explosive materials could result in explosive incidents that temporarily shut down or otherwise disrupt our or our customers' operations or could cause restrictions, delays or cancellations in the delivery of our products and services. It is possible that such incidents could result in death or significant injuries to employees and other persons. Material property damage to us, our customers and third parties arising from an explosion or resulting fire could also occur. Any explosion could expose us to adverse publicity and liability for damages and injuries or cause production restrictions, delays or cancellations, any of which occurrences could have a material adverse effect on our operating results, financial condition and cash flows. Moreover, failure to comply with applicable requirements or the occurrence of an explosive incident may also result in the loss of our ATF or analogous state license to store and handle explosives, which would have a material adverse effect on our business, results of operations and financial conditions.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ESA and comparable laws intended to protect certain species of wildlife govern our and our oil and natural gas E&amp;P customers’ operations, which constraints could have an adverse impact on our ability to expand some of our existing operations or limit our customers’ ability to develop new oil and natural gas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federal ESA and comparable state laws were established to protect endangered and threatened species. Under the ESA, if a species is listed as threatened or endangered, restrictions may be imposed on activities adversely affecting that species' habitat. Similar protections are offered to migratory birds under the MBTA. See Part I, Item 1. “Business – Government Regulation and Environmental, Health and Safety Matters” for more discussion on the impact of wildlife laws. Customer oil and natural gas operations may be adversely affected by seasonal or permanent restrictions on drilling activities designed to protect various wildlife, which may limit their ability to operate in protected areas. Permanent restrictions imposed to protect endangered and threatened species could prohibit drilling in certain areas, require the implementation of expensive mitigation measures, or limit the availability of frac sand. Moreover, the FWS may make determinations on the listing of numerous species as endangered or threatened under the ESA and designate areas as critical habitat, which listings and designations could cause our customers to incur additional costs, become subject to operating restrictions or bans, and limit future development activity in affected areas, which could reduce demand for our products and services to those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subject to claims for personal injury and property damage or other litigation, which could materially adversely affect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0850"/>
                <wp:effectExtent l="0" t="0" r="0" b="0"/>
                <wp:wrapNone/>
                <wp:docPr id="43" name="Frame4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pPr>
      <w:r>
        <w:rPr>
          <w:rFonts w:ascii="Arial;sans-serif" w:hAnsi="Arial;sans-serif"/>
          <w:b w:val="false"/>
          <w:color w:val="000000"/>
          <w:sz w:val="20"/>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r>
        <w:rPr>
          <w:color w:val="0563C1"/>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Generally, our oil and natural gas E&amp;P customers agree to indemnify us against claims arising from their employees’ personal injury or death to the extent that, in the case of our well site services, their employees are injured or their properties are damaged by such operations, unless, in most instances, resulting from our gross negligence or willful misconduct. Similarly, we generally agree to indemnify our E&amp;P customers for liabilities arising from personal injury to or death of any of our employees, unless, in most instances, resulting from gross negligence or willful misconduct of the E&amp;P customer. In addition, our E&amp;P customers generally agree to indemnify us for loss or destruction of customer-owned property or equipment and in turn, we agree to indemnify our customers for loss or destruction of property or equipment we own. Losses due to catastrophic events, such as blowouts, are generally the responsibility of the E&amp;P customer. However, despite this general allocation of risk, we might not succeed in enforcing such contractual allocation, might incur an unforeseen liability falling outside the scope of such allocation or may be required to enter into a service agreement with terms that vary from the above allocations of risk. As a result, we may incur substantial losses which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either we or our affiliates expect to maintain insurance at a level that we believe is consistent with that of similarly situated companies in our industry, we cannot guarantee that this insurance will be adequate to cover all liabilities. Further, insurance may not be generally available in the future or, if available, insurance premiums may make such insurance commercially unjustifiable.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Tariffs and other trade measures could adversely affect our business, results of operations, financial position and cash flows.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cost of raw materials, parts, and components that are manufactured and supplied for our operations may be adversely affected by tariffs imposed by the U.S. government on products imported into the United States and tariffs or other retaliatory trade measures imposed by other jurisdictions. Tariffs and other trade restrictions could also disrupt our supply chain and logistics, restrict or limit the availability of materials or supplies, and cause adverse financial impacts due to volatility in foreign exchange rates and interest rates or inflationary pressures on raw materials and energy. We may not be able to fully mitigate the impact of these increased costs or pass price increases on to our customers. While tariffs and other retaliatory trade measures imposed by other countries on U.S. goods have not yet had a significant impact on our business or results of operations, we cannot predict further developments, and such existing or future tariffs could have a material adverse effect on our results of operations, financial position, and cash flows. Recently, the United States has proposed changes in trade policies that include export control restrictions, the negotiation or termination of trade agreements, the imposition of higher tariffs on imports into the United States, increased economic sanctions on individuals, companies, or countries, and other government regulations affecting trade between the United States and other countries where we may have direct or indirect business relationships, including with suppliers, and a number of other nations have proposed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results of operations, and financial position.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Relating to Our Common Stock</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0850"/>
                <wp:effectExtent l="0" t="0" r="0" b="0"/>
                <wp:wrapNone/>
                <wp:docPr id="44" name="Frame4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Future sales of our Common Stock in the public market could reduce our stock price, and any additional capital raised by us through the sale of equity or convertible securities may dilute your ownership interest.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sell shares of Common Stock in the future. We may also issue additional shares of, and securities exercisable for, or convertible into, Common Stock, including as employee compensation or as consideration in one or more acquisitions or other business combination transactions. As of December 31, 2025, we had outstanding approximately 19.2 million shares of our Common Stock. We also have registered 2,477,051 shares of Common Stock reserved for issuance under our Long-Term Incentive Plan ("LTIP"). Of those shares initially registered and reserved for issuance, as of December 31, 2025, approximately 2,110,977 restricted shares of Common Stock were granted in connection with equity awards to management, directors and employees and approximately 366,074 shares remain available for future issuance. An amendment to the LTIP was approved by stockholders on May 10, 2023 to, among other things, increase the total number of shares of Common Stock for issuance by 1,200,000 shares, resulting in an increase of the total number of shares of our Common Stock reserved for issuance to 1,256,289, and extend the expiration date to March 8, 2033.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Refinancing, on March 12, 2025, we issued warrants to purchase, in aggregate, up to 2,373,187 shares of Common Stock at an exercise price of $0.01 per share, subject to adjustment (the “Warrants”), as described in greater detail in Item 7. “Management’s Discussion and Analysis of Financial Condition and Results of Operations” below. In connection with our entry into the First Amendment to the Indenture, on March 6, 2026 and March 11, 2026, we issued additional Warrants to our noteholders, based on their pro rata ownership of principal amount of the 2030 Senior Notes, providing for the purchase of up to 803,712 shares of Common Stock at an exercise price of $0.01 per share, subject to adjustment, pursuant to Section 4(a)(2) of the Securities Act. The Warrants are exercisable immediately, and in lieu of exercising such Warrant, the holders thereof may convert their Warrants, in whole or in part, into the number of shares of Common Stock they would otherwise be entitled to purchase pursuant to the terms of the Warrants at any time prior to the expiration date. The warrant agreements governing the Warrants stipulate that the Company will file a registration statement with SEC with respect to the shares of Common Stock underlying the Warrants within 90 days of their issuance, providing for registered resale pursuant thereto.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year ended December 31, 2024, we entered into a debt-for-equity exchange agreement (the “Exchange Agreement”) with a noteholder of our 11.5% senior secured notes due 2025 (the “2025 Senior Notes”). Pursuant to the Exchange Agreement, the noteholder exchanged $1.0 in aggregate principal amount of the Company’s outstanding 2025 Senior Notes for an aggregate of 190,476 shares of our Common Stock (the “Exchange”). During the year ended December 31, 2025, we did not have any Exchanges.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the satisfaction of vesting conditions and the requirements of Rule 144, the registered restricted shares of our Common Stock will be available for resale immediately in the public market without restriction. With respect to shares of restricted stock granted to certain members of our management, we have filed a resale prospectus in order to allow such members of our management to freely resell their restricted stock once it has vested. In addition, (i) certain former members of our management are entitled to registration rights with respect to their shares of restricted stock, and (ii) certain former QES stockholders are entitled to registration rights with respect to the shares of Common Stock they received in the QES Merger.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we entered into a Registration Rights and Lock-Up Agreement with Greene’s Holding Corporation in connection with the Greene’s Acquisition. Following their receipt of Common Stock as consideration in the Greene’s Acquisition, subject to release from the associated lock-up provisions and the filing of a resale registration statement or satisfaction of the requirements of Rule 144, the seller may seek to sell the Common Stock delivered to them. These sales (or the perception that these sales may occur), coupled with the increase in the outstanding number of shares of Common Stock, may affect the market for, and the market price of, our Common Stock in an adverse manner.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June 14, 2021, we entered into an Equity Distribution Agreement (as amended from time to time, the “Equity Distribution Agreement”) with Piper Sandler &amp; Co. as sales agent (the “Agent”). Pursuant to the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0850"/>
                <wp:effectExtent l="0" t="0" r="0" b="0"/>
                <wp:wrapNone/>
                <wp:docPr id="45" name="Frame4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the Equity Distribution Agreement, we may sell from time to time through the Agent (the “ATM Offering”) the Company’s Common Stock, par value $0.01 per share, having an aggregate offering price of up to $50.0. On November 16, 2022, the Company entered into Amendment No. 1 to the Equity Distribution Agreement, which, among other things, allows for debt-for-equity exchanges in accordance with Section 3(a)(9) of the Securities Act of 1933, as amended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 During the three and twelve months ended December 31, 2025, the Company sold — and 167,769 shares of Common Stock, respectively, in exchange for gross proceeds of $— and $0.6, respectively, and incurred legal and administrative fees of $— and $0.3, respectively.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as amended to date, may be made in any transactions that are deemed to be “at the market offerings” as defined in Rule 415 under the Securities Act. As of the filing of this Annual Report, the Company is subject to the General Instruction I.B.6 to Form S-3, known as the “baby shelf” rule, which limits the amount of securities we can sell under the Registration Statement in any 12-month period.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shares held by stockholders with registration rights), or the perception that such sales could occur, may adversely affect prevailing market prices of our Common Stock. Sales of or other transactions relating to shares of our Common Stock by our significant stockholders, directors, officers or employees could cause a perception in the marketplace that adverse events or trends have occurred or may be occurring at our company or that it is otherwise an advantageous time to sell shares of our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SEC regulations limit the amount of funds we can raise during any 12-month period pursuant to our shelf registration statement on Form S-3.</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raise capital in the public capital markets, including through our ATM Offering program, has been and may in the future continue to be limited by, among other things, SEC rules and regulations impacting the eligibility of smaller companies to use Form S-3 for primary offerings of securities. Based on our public float as of the date of the filing of this Annual Report, we are only permitted to utilize a shelf registration statement subject to Instruction I.B.6 to Form S-3, which is referred to as the “baby shelf” rule. Pursuant to the “baby shelf” rule, we may not sell more than the equivalent of one-third of our public float during any 12 consecutive months until we again have a public float with a value in excess of $75 million, if ever. Accordingly, if our public float decreases, the number of securities we may sell under our shelf registration statement on Form S-3 will also decrease. Although alternative public and private transaction structures may be available, these may not be on attractive terms, may require additional time and cost or may impose operational restrictions on us.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cannot assure you that we will pay dividends on our Common Stock, and our indebtedness could limit our ability to pay dividends on our Common Stock.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do not currently intend to pay dividends. Our dividend policy will be established by our board of directors (the “Board” or “Board of Directors”) based on our financial condition, results of operations and capital requirements, as well as applicable law, regulatory constraints, industry practice and other business considerations that our Board considers relevant. In addition, the terms of the agreements governing our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0850"/>
                <wp:effectExtent l="0" t="0" r="0" b="0"/>
                <wp:wrapNone/>
                <wp:docPr id="46" name="Frame4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limit, and the terms of the agreements governing any future debt may limit or prohibit, the payments of dividends. We cannot assure you that we will pay dividends in the future or continue to pay any dividends if we do commence the payment of dividends.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our indebtedness could have important consequences for holders of our Common Stock. If we cannot generate sufficient cash flow from operations to meet our debt payment obligations, then our Board’s ability to declare dividends on our Common Stock will be impaired and we may be required to attempt to restructure or refinance our debt, raise additional capital or take other actions such as selling assets, reducing or delaying capital expenditures or reducing any proposed dividends. We cannot assure you that we will be able to effect any such actions or do so on satisfactory terms, if at all, or that such actions would be permitted by the terms of our debt or our other credit and contractual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Certain provisions contained in our amended and restated certificate of incorporation and amended and restated bylaws, and certain provisions of Delaware law may prevent or delay an acquisition of our company or other strategic transactions, which could decrease the trading price of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and amended and restated bylaws contain, and Delaware law contains, provisions that are intended to deter coercive takeover practices and inadequate takeover bids and to encourage prospective acquirers to negotiate with our Board rather than to attempt a hostile takeover. Some of these provisions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7"/>
        <w:gridCol w:w="2881"/>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prohibiting cumulative voting by our stockholders on all matters;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establishing advance notice provisions for stockholder proposals and nominations for elections to the Board of Directors to be acted upon at meetings of stockholders;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classified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granting our Board the ability to authorize undesignated preferred stock;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expressly authorizing our Board to adopt, alter or repeal our bylaws.</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because we have not chosen to be exempt from Section 203 of the Delaware General Corporation Law (the "DGCL"), this provision could also delay or effectively prevent a change of control that some stockholders may favor. In general, Section 203 provides that, subject to limited exceptions, persons that, together with their affiliates and associates, acquire ownership of 15% or more of the outstanding voting stock of a Delaware corporation shall not engage in any “business combination” with that corporation or its subsidiaries, including any merger or various other transactions, for a three-year period following the date on which that person became the owner of 15% or more of the corporation’s outstanding voting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these provisions will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effectively prevent an acquisition that our Board determines is not in the best interests of our company and our stockholders. These provisions may also prevent or discourage attempts to remove and replace incumbent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amended and restated bylaws designate courts in the State of Delaware as the sole and exclusive forum for certain types of actions and proceedings that may be initiated by our stockholders, which could limit our stockholders’ ability to obtain a different judicial forum for intra-corporate disputes with us or our directors, officers, employees or agents.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amended and restated bylaws provide that, unless we otherwise consent in writing to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KLX Energy Services, any action asserting a claim of breach of a fiduciary duty owed by any director, officer, employee or agent of KLX Energy Services to KLX Energy Services or KLX Energy Services’ stockholders, any action asserting a claim arising pursuant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0850"/>
                <wp:effectExtent l="0" t="0" r="0" b="0"/>
                <wp:wrapNone/>
                <wp:docPr id="47" name="Frame4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provision of the DGCL, KLX Energy Services’ certificate of incorporation or the bylaws, or any action asserting a claim governed by the internal affairs doctrine. This provision may limit a stockholder’s ability to bring a claim in a different judicial forum, including one that it may find favorable or convenient for intra-corporate disputes with us or our directors, officers, employees or agents, which may discourage such lawsuits.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securities or industry analysts do not publish research reports or publish unfavorable research about our business, the price and trading volume of our Common Stock could decline.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The trading market for our Common Stock depends in part on the research reports that securities or industry analysts publish about us or our business. If one or more of the analysts who covers us downgrades our securities, the price of our securities would likely decline. If one or more of these analysts ceases to cover us or fails to publish regular reports on us, interest in the purchase of our securities</w:t>
      </w:r>
      <w:r>
        <w:rPr>
          <w:color w:val="000000"/>
        </w:rPr>
        <w:t> </w:t>
      </w:r>
      <w:r>
        <w:rPr>
          <w:rFonts w:ascii="Arial;sans-serif" w:hAnsi="Arial;sans-serif"/>
          <w:b w:val="false"/>
          <w:color w:val="000000"/>
          <w:sz w:val="20"/>
        </w:rPr>
        <w:t>could decrease, which could cause the price of our Common Stock and its trading volume to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General Risks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be unable to attract or retain personnel who are key to our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inability to hire, develop and retain these key employees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Many key responsibilities within our business have been assigned to a small number of employees. The loss of their services could adversely affect our business. In particular, the loss of the services of one or more members of our management team, including our Chief Executive Officer, Chief Financial Officer, Chief Compliance Officer, Chief Accounting Officer and certain of our Vice Presidents, could disrupt our operations. We do not maintain “key person” life insurance policies on any of our employees. As a result, we are not insured against any losses resulting from the death of our key employees.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48" w:type="dxa"/>
        <w:jc w:val="left"/>
        <w:tblInd w:w="0" w:type="dxa"/>
        <w:tblLayout w:type="fixed"/>
        <w:tblCellMar>
          <w:top w:w="28" w:type="dxa"/>
          <w:left w:w="28" w:type="dxa"/>
          <w:bottom w:w="28" w:type="dxa"/>
          <w:right w:w="28" w:type="dxa"/>
        </w:tblCellMar>
      </w:tblPr>
      <w:tblGrid>
        <w:gridCol w:w="346"/>
        <w:gridCol w:w="305"/>
        <w:gridCol w:w="308"/>
        <w:gridCol w:w="991"/>
        <w:gridCol w:w="991"/>
        <w:gridCol w:w="140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1B.</w:t>
            </w:r>
          </w:p>
        </w:tc>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UNRESOLVED STAFF COMMENTS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75" w:type="dxa"/>
        <w:jc w:val="left"/>
        <w:tblInd w:w="0" w:type="dxa"/>
        <w:tblLayout w:type="fixed"/>
        <w:tblCellMar>
          <w:top w:w="28" w:type="dxa"/>
          <w:left w:w="28" w:type="dxa"/>
          <w:bottom w:w="28" w:type="dxa"/>
          <w:right w:w="28" w:type="dxa"/>
        </w:tblCellMar>
      </w:tblPr>
      <w:tblGrid>
        <w:gridCol w:w="346"/>
        <w:gridCol w:w="305"/>
        <w:gridCol w:w="308"/>
        <w:gridCol w:w="532"/>
        <w:gridCol w:w="532"/>
        <w:gridCol w:w="752"/>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1C.</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CYBERSECURITY</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Risk Management and Strategy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IT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Accordingly, KLX maintains a cybersecurity risk program led by our internal IT department and strategic vendors designed to identify, assess, manage, mitigate, and respond to cybersecurity threats. These processes are integrated into the Company’s overall enterprise risk assessment. Our cybersecurity risk program references industry-standard frameworks and incorporates policies and practices designed to protect the privacy and security of our sensitive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perform technical assessments with feedback incorporated into our systems and procedures through continual upgrades intended to further improve our cybersecurity posture.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0850"/>
                <wp:effectExtent l="0" t="0" r="0" b="0"/>
                <wp:wrapNone/>
                <wp:docPr id="48" name="Frame4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60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continue to evaluate internal systems, processes, and controls to identify potential cybersecurity vulnerabilities and mitigate potential loss from cyber-attacks. We have implemented a monitoring and detection system to help identify cybersecurity incidents. All incidents are escalated to our cybersecurity committee, which includes Vice President of IT, Chief Financial Officer, Chief Compliance Officer/General Counsel and other senior management. We also require our employees to receive annual cybersecurity awareness training. We perform cybersecurity tabletop exercises and implement post-incident “lessons learned” to enhance our response. We provide our system users with access consistent with the principle of least privilege, which requires that such users be given no more access than necessary to complete their job functions. We have also implemented a multi-factor authentication process for employees accessing company information.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engage third-party service providers in connection with our cybersecurity risk program, including assessors, consultants, and auditors. We recognize that third-party service providers introduce cybersecurity risks. In an effort to mitigate these risks, we include security and privacy addendums to our contracts where applicable.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Impacts from Cybersecurity Threats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of the date of this report, the Company and our service providers have been subject to certain cybersecurity incidents (including phishing attempts). We are not aware of any prior cybersecurity threats that have materially affected or are reasonably likely to materially affect the Company.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IT systems could have significant consequences to the business. See “Risk Factors” in Item 1A of Part I for additional information about the risks to our business associated with a breach or compromise to our IT systems.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Governance</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Our Board considers cybersecurity risk as part of its overall risk oversight function and has delegated to our audit committee oversight of cybersecurity and other information security risks. Our audit committee oversees management’s activities related to our cybersecurity risk program. Our cybersecurity committee, which includes Vice President of IT, Chief Financial Officer, Chief Compliance Officer/General Counsel and other senior management, reports to the audit committee on a quarterly basis regarding information security and cybersecurity matters, including cybersecurity risks, or as needed, and the audit committee reports to the Board.</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IT department is made up of experienced professionals with an extensive background in information security, risk management and incident response. Our Vice President of IT leads our IT department, which is responsible for assessing, identifying, and managing risks from cybersecurity threats. Our Vice President of IT reports to the Company’s Chief Financial Officer, including with respect to emerging cybersecurity incidents. To facilitate effective oversight, our Vice President of IT holds discussions on cybersecurity risks, incident trends, and the effectiveness of cybersecurity measures as necessitated by emerging material cyber risks. Our Vice President of IT has over thirty years of IT background in a variety of industries, with experience developing security frameworks, training on cyber security best practices, and emergency response and remediation.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0850"/>
                <wp:effectExtent l="0" t="0" r="0" b="0"/>
                <wp:wrapNone/>
                <wp:docPr id="49" name="Frame4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600"/>
        <w:jc w:val="left"/>
        <w:rPr/>
      </w:pPr>
      <w:r>
        <w:rPr/>
      </w:r>
    </w:p>
    <w:tbl>
      <w:tblPr>
        <w:tblW w:w="2251" w:type="dxa"/>
        <w:jc w:val="left"/>
        <w:tblInd w:w="0" w:type="dxa"/>
        <w:tblLayout w:type="fixed"/>
        <w:tblCellMar>
          <w:top w:w="28" w:type="dxa"/>
          <w:left w:w="28" w:type="dxa"/>
          <w:bottom w:w="28" w:type="dxa"/>
          <w:right w:w="28" w:type="dxa"/>
        </w:tblCellMar>
      </w:tblPr>
      <w:tblGrid>
        <w:gridCol w:w="298"/>
        <w:gridCol w:w="262"/>
        <w:gridCol w:w="265"/>
        <w:gridCol w:w="417"/>
        <w:gridCol w:w="417"/>
        <w:gridCol w:w="59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PROPERTIES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lease our corporate headquarters, which is located at 3040 Post Oak Boulevard, 15th Floor, Houston, Texas 77056. We currently own or lease over 60 service facilities, including the following material facilities:</w:t>
      </w:r>
    </w:p>
    <w:tbl>
      <w:tblPr>
        <w:tblW w:w="5113" w:type="dxa"/>
        <w:jc w:val="center"/>
        <w:tblInd w:w="0" w:type="dxa"/>
        <w:tblLayout w:type="fixed"/>
        <w:tblCellMar>
          <w:top w:w="28" w:type="dxa"/>
          <w:left w:w="28" w:type="dxa"/>
          <w:bottom w:w="28" w:type="dxa"/>
          <w:right w:w="28" w:type="dxa"/>
        </w:tblCellMar>
      </w:tblPr>
      <w:tblGrid>
        <w:gridCol w:w="624"/>
        <w:gridCol w:w="548"/>
        <w:gridCol w:w="552"/>
        <w:gridCol w:w="529"/>
        <w:gridCol w:w="529"/>
        <w:gridCol w:w="531"/>
        <w:gridCol w:w="527"/>
        <w:gridCol w:w="527"/>
        <w:gridCol w:w="746"/>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Leased or Owned</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Expiration of Lease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Rocky Mountains</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LaSalle, CO</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11/1/2027</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Mills, WY</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10/31/2026</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Nunn, CO</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11/30/2027</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Williston, ND</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Own</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Southwest</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Odessa, TX</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6/30/2028</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Odessa, TX</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11/30/2028</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Odessa, TX</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5/31/2030</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Pleasanton, TX</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6/30/2027</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Victoria, TX</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Own</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Willis, TX</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Own</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Northeast/Mid-Con</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Bossier City, LA</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6/30/2027</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Bridgeport, WV</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Lease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8/31/2028</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Union City, OK</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Own</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believe that our facilities are adequate for our current operations and allow us to efficiently serve our customers.</w:t>
      </w:r>
      <w:r>
        <w:rPr>
          <w:color w:val="000000"/>
        </w:rPr>
        <w:t xml:space="preserve"> </w:t>
      </w:r>
      <w:r>
        <w:rPr>
          <w:rFonts w:ascii="Arial;sans-serif" w:hAnsi="Arial;sans-serif"/>
          <w:b w:val="false"/>
          <w:color w:val="000000"/>
          <w:sz w:val="20"/>
        </w:rPr>
        <w:t>We do not believe that any single facility is material to our operations and, if necessary, we could obtain a replacement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5" w:type="dxa"/>
        <w:jc w:val="center"/>
        <w:tblInd w:w="0" w:type="dxa"/>
        <w:tblLayout w:type="fixed"/>
        <w:tblCellMar>
          <w:top w:w="28" w:type="dxa"/>
          <w:left w:w="28" w:type="dxa"/>
          <w:bottom w:w="28" w:type="dxa"/>
          <w:right w:w="28" w:type="dxa"/>
        </w:tblCellMar>
      </w:tblPr>
      <w:tblGrid>
        <w:gridCol w:w="298"/>
        <w:gridCol w:w="262"/>
        <w:gridCol w:w="265"/>
        <w:gridCol w:w="1362"/>
        <w:gridCol w:w="1362"/>
        <w:gridCol w:w="192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 (U.S. dollars in millions)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Note 9. “Commitments, Contingencies and Off-Balance Sheet Arrangements” to our audited consolidated financial statements included in Item 8 in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0850"/>
                <wp:effectExtent l="0" t="0" r="0" b="0"/>
                <wp:wrapNone/>
                <wp:docPr id="50" name="Frame5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6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1"/>
        <w:gridCol w:w="239"/>
        <w:gridCol w:w="241"/>
        <w:gridCol w:w="2767"/>
        <w:gridCol w:w="2767"/>
        <w:gridCol w:w="3920"/>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ITEM 5.</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Market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Common Stock is quoted on the Nasdaq Global Select Market (“Nasdaq”) under the symbol “KLXE”.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February 27, 2026, the last reported sale price of our Common Stock as reported by Nasdaq was $2.54 per share. As of such date, based on information provided to us by Computershare, our transfer agent, we had 435 registered holders, and because many of these shares are held by brokers and other institutions on behalf of the beneficial holders, we are unable to estimate the number of beneficial stockholders represented by these holders of record.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do not currently intend to pay dividends. Our Board will establish our dividend policy based on our financial condition, results of operations and capital requirements, as well as applicable law, regulatory constraints, industry practice and other business considerations that our Board considers relevant. The terms of our debt agreements contain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 Sales of Unregistered Equity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unregistered sales of equity securities for the three months ended December 31, 2025.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Refinancing, on March 12, 2025, we issued Warrants to purchase, in aggregate, up to 2,373,187 shares of Common Stock at an exercise price of $0.01 per share, subject to adjustment. The Warrants were not, and the shares of Common Stock issuable upon the exercise of the Warrants will not be, registered under the Securities Act in reliance upon the exemption from registration provided by Section 4(a)(2) thereof as a transaction not involving any public offering.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our entry into the First Amendment to the Indenture, on March 6, 2026 and March 11, 2026, we issued additional Warrants to our noteholders, based on their pro rata ownership of principal amount of the 2030 Senior Notes, providing for the purchase of up to 803,712 shares of Common Stock at an exercise price of $0.01 per share, subject to adjustment. The Warrants were not, and the shares of Common Stock issuable upon the exercise of the Warrants will not be, registered under the Securities Act in reliance upon the exemption from registration provided by Section 4(a)(2) thereof as a transaction not involving any public offering. Under the warrant agreements governing the Warrants, the Company undertakes to file a registration statement with the SEC with respect to the shares of Common Stock underlying the Warrants within 90 days of their issuance, providing for registered resale pursuant thereto.</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0850"/>
                <wp:effectExtent l="0" t="0" r="0" b="0"/>
                <wp:wrapNone/>
                <wp:docPr id="51" name="Frame5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665"/>
        <w:gridCol w:w="436"/>
        <w:gridCol w:w="440"/>
        <w:gridCol w:w="473"/>
        <w:gridCol w:w="473"/>
        <w:gridCol w:w="475"/>
        <w:gridCol w:w="109"/>
        <w:gridCol w:w="109"/>
        <w:gridCol w:w="109"/>
        <w:gridCol w:w="353"/>
        <w:gridCol w:w="681"/>
        <w:gridCol w:w="183"/>
        <w:gridCol w:w="109"/>
        <w:gridCol w:w="109"/>
        <w:gridCol w:w="109"/>
        <w:gridCol w:w="767"/>
        <w:gridCol w:w="767"/>
        <w:gridCol w:w="769"/>
        <w:gridCol w:w="109"/>
        <w:gridCol w:w="109"/>
        <w:gridCol w:w="109"/>
        <w:gridCol w:w="399"/>
        <w:gridCol w:w="2046"/>
        <w:gridCol w:w="297"/>
      </w:tblGrid>
      <w:tr>
        <w:trPr/>
        <w:tc>
          <w:tcPr>
            <w:tcW w:w="66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2025 - October 31, 2025</w:t>
            </w:r>
          </w:p>
        </w:tc>
        <w:tc>
          <w:tcPr>
            <w:tcW w:w="14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 2025 - November 30, 2025</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2025 - December 31, 2025</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The average price paid per share of Common Stock repurchased under the share repurchase program includes commissions paid to the brokers.</w:t>
      </w:r>
    </w:p>
    <w:p>
      <w:pPr>
        <w:pStyle w:val="TextBody"/>
        <w:bidi w:val="0"/>
        <w:spacing w:lineRule="auto" w:line="288" w:before="0" w:after="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In August 2019, our Board of Directors authorized a share repurchase program for the repurchase of outstanding shares of the Company’s Common Stock having an aggregate purchase price up to $50.0 million.</w:t>
      </w:r>
    </w:p>
    <w:p>
      <w:pPr>
        <w:pStyle w:val="TextBody"/>
        <w:bidi w:val="0"/>
        <w:spacing w:before="0" w:after="0"/>
        <w:jc w:val="left"/>
        <w:rPr/>
      </w:pPr>
      <w:r>
        <w:rPr/>
      </w:r>
    </w:p>
    <w:tbl>
      <w:tblPr>
        <w:tblW w:w="2233" w:type="dxa"/>
        <w:jc w:val="left"/>
        <w:tblInd w:w="0" w:type="dxa"/>
        <w:tblLayout w:type="fixed"/>
        <w:tblCellMar>
          <w:top w:w="28" w:type="dxa"/>
          <w:left w:w="28" w:type="dxa"/>
          <w:bottom w:w="28" w:type="dxa"/>
          <w:right w:w="28" w:type="dxa"/>
        </w:tblCellMar>
      </w:tblPr>
      <w:tblGrid>
        <w:gridCol w:w="319"/>
        <w:gridCol w:w="281"/>
        <w:gridCol w:w="284"/>
        <w:gridCol w:w="395"/>
        <w:gridCol w:w="395"/>
        <w:gridCol w:w="559"/>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6. </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[RESERVED]</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0850"/>
                <wp:effectExtent l="0" t="0" r="0" b="0"/>
                <wp:wrapNone/>
                <wp:docPr id="52" name="Frame5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600"/>
        <w:jc w:val="left"/>
        <w:rPr/>
      </w:pPr>
      <w:r>
        <w:rPr/>
      </w:r>
    </w:p>
    <w:tbl>
      <w:tblPr>
        <w:tblW w:w="10205" w:type="dxa"/>
        <w:jc w:val="center"/>
        <w:tblInd w:w="0" w:type="dxa"/>
        <w:tblLayout w:type="fixed"/>
        <w:tblCellMar>
          <w:top w:w="28" w:type="dxa"/>
          <w:left w:w="28" w:type="dxa"/>
          <w:bottom w:w="28" w:type="dxa"/>
          <w:right w:w="28" w:type="dxa"/>
        </w:tblCellMar>
      </w:tblPr>
      <w:tblGrid>
        <w:gridCol w:w="265"/>
        <w:gridCol w:w="233"/>
        <w:gridCol w:w="236"/>
        <w:gridCol w:w="2771"/>
        <w:gridCol w:w="2771"/>
        <w:gridCol w:w="3929"/>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 (U.S. dollars in millions, except per unit data)</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should read the following discussion of our results of operations and financial condition together with our audited consolidated financial statements and accompanying notes included elsewhere in this Annual Report as well as the discussion in “Item 1.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“Item 1A. Risk Factors” and “Cautionary Statement Regarding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year ended December 31, 2025, as compared to the year ended December 31, 2024. In addition, the discussion and analysis addresses our liquidity, financial condition and other matters for these periods.</w:t>
      </w:r>
    </w:p>
    <w:p>
      <w:pPr>
        <w:pStyle w:val="TextBody"/>
        <w:bidi w:val="0"/>
        <w:spacing w:before="0" w:after="0"/>
        <w:ind w:left="0" w:right="0" w:hanging="72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History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QES during the second quarter of 2020 and, by doing so, helped establish KLXE as an industry leading provider of asset-light oilfield solutions across the full well lifecycle to the major onshore oil and gas producing regions of the United States.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26, 2020, the Company’s Board approved a 1-for-5 reverse stock split to stockholders that became effective at 12:01 a.m. on July 28, 2020. On July 28, 2020, we successfully completed the all-stock merger with QES.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merger of KLXE and QES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 After closing the QES Merger, the Company integrated personnel, facilities, processes and systems across all functional areas of the organization.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focused on generating additional cost savings from the QES Merger and to date have realized such savings through eliminating KLXE's legacy corporate headquarters in Wellington, Florida, rationalizing associated corporate functions to Houston, and capturing operational synergies in the areas of personnel, facilities and rolling stock. The QES Merger also enhanced the Company’s ability to effect further industry consolidation. Looking ahead, the Company continues to pursue strategic, accretive consolidation opportunities that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Greene’s Acquisition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8, 2023, the Company completed the acquisition of all of the equity interests of Greene’s. The acquisition was made pursuant to that certain purchase and sale agreement dated March 8, 2023, between the Company and Greene’s Holding Corporation (the “Purchase Agreement”). Greene's is a provider of wellhead protection, flowback and well testing services. The total consideration for the Greene’s Acquisition under the Purchase Agreement consisted of the issuance of approximately 2.4 million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0850"/>
                <wp:effectExtent l="0" t="0" r="0" b="0"/>
                <wp:wrapNone/>
                <wp:docPr id="53" name="Frame5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Company's Common Stock, par value $0.01 per share, subject to customary post-closing adjustments, representing 14.7% of the fully diluted Common Stock of the Company with an implied enterprise value of approximately $30.3 based on a 30-day volume weighted average price as of March 7, 2023 less acquired cash. As of the date of this filing, the integration is complete.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Southwest Region (the Permian Basin, Eagle Ford Shale and the Gulf Coast as well as in industrial and petrochemical facilities), the Rocky Mountains Region (the Bakken, Williston, DJ, Uinta, Powder River, Piceance and Niobrara basins) and the Northeast/Mid-Con Region (the Marcellus and Utica Shale as well as the Mid-Continent STACK and SCOOP and Haynesville Shale)</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R&amp;D organization and, in selected instances, by our technology partners to develop tools covered by 39 patents and 6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invest in innovative technology and equipment designed for modern production techniques that increase efficiencies and production for our customers. North American unconventional onshore wells are increasingly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0850"/>
                <wp:effectExtent l="0" t="0" r="0" b="0"/>
                <wp:wrapNone/>
                <wp:docPr id="54" name="Frame5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The oil and gas industry experienced significant increases in activity in late 2021 and 2022 due to the recovery from the COVID-19 pandemic. Furthermore, sanctions and import bans on Russian oil have been implemented by various countries in response to the ongoing conflict in Ukraine, further impacting global oil supply. While oil prices declined in the first half of 2023 from their 2022 highs, oil prices rebounded in the third quarter of 2023 due to stronger than anticipated economic growth and sustained production cuts from Saudi Arabia and Russia, followed by oil price stabilization, through decreases, in the fourth quarter of 2023 due to a decrease in demand as the overall economy declined. Natural gas prices also declined since the fourth quarter of 2023, bottoming out in the first quarter of 2024 and remaining near historic lows for the remainder of the year, before increasing in early 2025 to a two-year high. Oil and natural gas prices have been, and may remain, volatile, which impacts demand for our business. WTI's average daily price per barrel decreased by approximately $11.24, or 14.7%, to $65.39 per Bbl during the year ended December 31, 2025, compared to the average daily price per barrel of $76.63 during the year ended December 31, 2024. As of December 31, 2025, U.S. land rig count stood at 527, a decrease of 8.0% since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Despite the decrease in commodity prices during the fiscal year ended December 31, 2025, the Company remained focused on building a leaner and more profitable set of service offerings, which allowed us to make meaningful positive impacts to our revenue, operating margins, cash flows and Adjusted EBITDA (as defined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to the year ending December 31, 2026, assuming commodity prices remain volatile, we anticipate that our customers will continue to cautiously allocate capital and operating expense spending. So far in the year ending December 31, 2026, WTI prices have remained largely unchanged, while Organisation for Economic Co-operation and Development crude inventories are expected to remain around the same level as at the end of 2024. Production from OPEC and its allies (“OPEC+”) and other oil producing nations is expected to increase in the low single digits over the next twelve months. This modest increase along with weather-related challenges across the country and a cautious approach to drilling expansion are expected to be some of the driving factors for activity in our industry through December 31,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Oil and natural gas prices could decrease or increase with any changes in demand due to, among other things, the ongoing conflict in Ukraine, the Israel-Hamas conflict, the recent developments in Venezuela and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or a prolonged recession. To what extent these and other external factors (such as government action with respect to climate change regulation) ultimately impact our future business, liquidity, financial condition,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0850"/>
                <wp:effectExtent l="0" t="0" r="0" b="0"/>
                <wp:wrapNone/>
                <wp:docPr id="55" name="Frame5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operations is highly uncertain and dependent on numerous factors, including future developments, that are not within our control and cannot be accurately predicted.</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all of the active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0850"/>
                <wp:effectExtent l="0" t="0" r="0" b="0"/>
                <wp:wrapNone/>
                <wp:docPr id="56" name="Frame5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Year Ended December 31, 2025 Compared to Year Ended December 31,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 The following table provides revenues by segment and product line for the periods indicated:</w:t>
      </w:r>
    </w:p>
    <w:tbl>
      <w:tblPr>
        <w:tblW w:w="7675" w:type="dxa"/>
        <w:jc w:val="center"/>
        <w:tblInd w:w="0" w:type="dxa"/>
        <w:tblLayout w:type="fixed"/>
        <w:tblCellMar>
          <w:top w:w="28" w:type="dxa"/>
          <w:left w:w="28" w:type="dxa"/>
          <w:bottom w:w="28" w:type="dxa"/>
          <w:right w:w="28" w:type="dxa"/>
        </w:tblCellMar>
      </w:tblPr>
      <w:tblGrid>
        <w:gridCol w:w="711"/>
        <w:gridCol w:w="624"/>
        <w:gridCol w:w="630"/>
        <w:gridCol w:w="109"/>
        <w:gridCol w:w="109"/>
        <w:gridCol w:w="109"/>
        <w:gridCol w:w="397"/>
        <w:gridCol w:w="1165"/>
        <w:gridCol w:w="207"/>
        <w:gridCol w:w="109"/>
        <w:gridCol w:w="109"/>
        <w:gridCol w:w="109"/>
        <w:gridCol w:w="397"/>
        <w:gridCol w:w="1165"/>
        <w:gridCol w:w="207"/>
        <w:gridCol w:w="109"/>
        <w:gridCol w:w="109"/>
        <w:gridCol w:w="109"/>
        <w:gridCol w:w="293"/>
        <w:gridCol w:w="293"/>
        <w:gridCol w:w="60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7091" w:type="dxa"/>
        <w:jc w:val="center"/>
        <w:tblInd w:w="0" w:type="dxa"/>
        <w:tblLayout w:type="fixed"/>
        <w:tblCellMar>
          <w:top w:w="28" w:type="dxa"/>
          <w:left w:w="28" w:type="dxa"/>
          <w:bottom w:w="28" w:type="dxa"/>
          <w:right w:w="28" w:type="dxa"/>
        </w:tblCellMar>
      </w:tblPr>
      <w:tblGrid>
        <w:gridCol w:w="499"/>
        <w:gridCol w:w="438"/>
        <w:gridCol w:w="444"/>
        <w:gridCol w:w="109"/>
        <w:gridCol w:w="109"/>
        <w:gridCol w:w="109"/>
        <w:gridCol w:w="397"/>
        <w:gridCol w:w="1165"/>
        <w:gridCol w:w="207"/>
        <w:gridCol w:w="109"/>
        <w:gridCol w:w="109"/>
        <w:gridCol w:w="109"/>
        <w:gridCol w:w="397"/>
        <w:gridCol w:w="1165"/>
        <w:gridCol w:w="207"/>
        <w:gridCol w:w="109"/>
        <w:gridCol w:w="109"/>
        <w:gridCol w:w="109"/>
        <w:gridCol w:w="293"/>
        <w:gridCol w:w="293"/>
        <w:gridCol w:w="605"/>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val="false"/>
          <w:color w:val="000000"/>
          <w:sz w:val="20"/>
        </w:rPr>
        <w:t>For the year ended December 31, 2025, revenues of $636.6 decreased by $72.7 or (10.2)% as compared with the year ended December 31, 2024. The overall decrease in revenues reflects decreased demand for our services during the year. Decreased weighted average price contributed to approximately 16% of the decrease in dollar amount, and decreased weighted average volume contributed to approximately 84%. On a segment basis, Rocky Mountains segment revenue decreased by $29.9 or (13.1)%. Decreased weighted average price contributed to approximately 23% of the decrease in dollar amount, and decreased weighted average volume contributed to approximately 77%. Southwest segment revenue decreased by $37.7 or (14.0)%. Decreased weighted average price contributed to approximately 23% of the decrease in dollar amount, and decreased weighted average volume contributed to approximately 77%. Northeast/Mid-Con segment revenue decreased by $5.1 or (2.4)%</w:t>
      </w:r>
      <w:r>
        <w:rPr>
          <w:rFonts w:ascii="Arial;sans-serif" w:hAnsi="Arial;sans-serif"/>
          <w:b w:val="false"/>
          <w:color w:val="000000"/>
          <w:sz w:val="18"/>
        </w:rPr>
        <w:t xml:space="preserve">. </w:t>
      </w:r>
      <w:r>
        <w:rPr>
          <w:rFonts w:ascii="Arial;sans-serif" w:hAnsi="Arial;sans-serif"/>
          <w:b w:val="false"/>
          <w:color w:val="000000"/>
          <w:sz w:val="20"/>
        </w:rPr>
        <w:t>This decrease was driven entirely by a decrease in weighted average volume.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year ended December 31, 2025, cost of sales was $501.5, or 78.8% of revenues, as compared to $549.7, or 77.5% of revenues, in the year ended December 31, 2024. The decrease in dollar amount was primarily due to decreased activity. The increase in cost of sales as a percentage of revenues was generally consistent across our segments and a result of fixed costs leverage due to lower activity. The two largest components of cost of sales are labor and repair &amp; maintenance. As cost of sales decreased, labor costs per employee increased by 0.9% as compared with the year ended December 31, 2024. Repair &amp; maintenance costs as a percentage of revenues decreased by (0.3)% as compared to the year ended December 31,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SG&amp;A expenses during the twelve months ended December 31, 2025, were $68.5, or 10.8% of revenues, as compared with $79.6, or 11.2% of revenues, in the year ended December 31, 2024. SG&amp;A decreased by $11.1 and decreased as a percentage of revenues due to management of costs as activity decreased. R&amp;D costs were $1.7 in the year ended</w:t>
      </w:r>
      <w:r>
        <w:rPr>
          <w:color w:val="000000"/>
        </w:rPr>
        <w:t xml:space="preserve"> </w:t>
      </w:r>
      <w:r>
        <w:rPr>
          <w:rFonts w:ascii="Arial;sans-serif" w:hAnsi="Arial;sans-serif"/>
          <w:b w:val="false"/>
          <w:color w:val="000000"/>
          <w:sz w:val="20"/>
        </w:rPr>
        <w:t>December 31, 2025 and $1.4</w:t>
      </w:r>
      <w:r>
        <w:rPr>
          <w:color w:val="000000"/>
        </w:rPr>
        <w:t xml:space="preserve"> </w:t>
      </w:r>
      <w:r>
        <w:rPr>
          <w:rFonts w:ascii="Arial;sans-serif" w:hAnsi="Arial;sans-serif"/>
          <w:b w:val="false"/>
          <w:color w:val="000000"/>
          <w:sz w:val="20"/>
        </w:rPr>
        <w:t>in the year ended December 31, 2024, reflecting our continued focus on maintaining an in-house R&amp;D function.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0850"/>
                <wp:effectExtent l="0" t="0" r="0" b="0"/>
                <wp:wrapNone/>
                <wp:docPr id="57" name="Frame5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tbl>
      <w:tblPr>
        <w:tblW w:w="7932" w:type="dxa"/>
        <w:jc w:val="center"/>
        <w:tblInd w:w="0" w:type="dxa"/>
        <w:tblLayout w:type="fixed"/>
        <w:tblCellMar>
          <w:top w:w="28" w:type="dxa"/>
          <w:left w:w="28" w:type="dxa"/>
          <w:bottom w:w="28" w:type="dxa"/>
          <w:right w:w="28" w:type="dxa"/>
        </w:tblCellMar>
      </w:tblPr>
      <w:tblGrid>
        <w:gridCol w:w="804"/>
        <w:gridCol w:w="707"/>
        <w:gridCol w:w="709"/>
        <w:gridCol w:w="109"/>
        <w:gridCol w:w="109"/>
        <w:gridCol w:w="109"/>
        <w:gridCol w:w="440"/>
        <w:gridCol w:w="1100"/>
        <w:gridCol w:w="230"/>
        <w:gridCol w:w="109"/>
        <w:gridCol w:w="109"/>
        <w:gridCol w:w="109"/>
        <w:gridCol w:w="440"/>
        <w:gridCol w:w="1100"/>
        <w:gridCol w:w="230"/>
        <w:gridCol w:w="109"/>
        <w:gridCol w:w="109"/>
        <w:gridCol w:w="109"/>
        <w:gridCol w:w="293"/>
        <w:gridCol w:w="293"/>
        <w:gridCol w:w="605"/>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283"/>
        <w:jc w:val="left"/>
        <w:rPr/>
      </w:pPr>
      <w:r>
        <w:rPr/>
      </w:r>
    </w:p>
    <w:p>
      <w:pPr>
        <w:pStyle w:val="TextBody"/>
        <w:bidi w:val="0"/>
        <w:spacing w:lineRule="auto" w:line="288" w:before="0" w:after="0"/>
        <w:jc w:val="both"/>
        <w:rPr/>
      </w:pPr>
      <w:r>
        <w:rPr>
          <w:rFonts w:ascii="Arial;sans-serif" w:hAnsi="Arial;sans-serif"/>
          <w:b w:val="false"/>
          <w:color w:val="000000"/>
          <w:sz w:val="20"/>
        </w:rPr>
        <w:t>For the year ended December 31, 2025, operating loss was $30.3, as compared to operating loss of $15.5 in the year ended December 31, 2024, largely driven by a decrease in revenues due to lower activity and deleveraging of fixed costs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year ended December 31, 2025, two out of our three operating segments demonstrated lower operating income compared to the year ended December 31, 2024, driven by the decrease in pricing and utilization outpacing decreases in operating costs and labor in the year ended December 31, 2025. Rocky Mountains segment operating income decreased by $18.1 or (76.1)% from $23.8 in the year ended December 31, 2024 to $5.7 in the year ended December 31, 2025. Southwest segment operating income decreased by $7.2 from $3.7 in the year ended December 31, 2024 to a loss of $(3.5) in the year ended December 31, 2025. Northeast/Mid-Con segment operating income increased by $1.3 or 56.5% from $2.3 in the year ended December 31, 2024 to $3.6 in the year ended December 31, 2025. The 20.3% decrease in operating loss in our Corporate and other in the year ended December 31, 2025 was primarily driven by lower incentive-based compensation and legal costs in the year ended December 31,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Income tax expense was $0.8 for the year ended December 31, 2025, as compared to $0.6 for the year ended December 31, 2024. Income tax expense is comprised of federal, state and local taxes for each year reported.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Net loss for the year ended December 31, 2025 was $77.1, as compared to net loss of $53.0 in the year ended December 31, 2024, primarily due to lower activity in the most recent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(as defined below) and 2028 ABL Facility and cash flows from operations. At December 31, 2025, we had $5.7 of cash and cash equivalents and $50.6 of available capacity under the 2028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equity issuances under our ATM Offering program, debt-for-equity exchanges that have reduced interest burden and monetization of non-core and obsolete assets. Most recently, we completed a refinancing of our long-term indebtedness on March 12, 2025, as described in greater detail under “—Refinancing”, “—2028 ABL Facility” and “—2030 Senior Notes” below. As market conditions warrant and subject to our contractual restrictions, liquidity position and other factors, we may further access the public or private debt and equity markets or seek to recapitalize, refinance or otherwise restructure our capital structure.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substantial indebtedness. As of December 31, 2025, we had total outstanding indebtedness of $258.3 under our 2028 ABL Facility and our 2030 Senior Notes as described in greater detail under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0850"/>
                <wp:effectExtent l="0" t="0" r="0" b="0"/>
                <wp:wrapNone/>
                <wp:docPr id="58" name="Frame5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ABL Facility” and “—2030 Senior Notes” below. Our ability to comply with the covenants in our debt instruments and pay the principal and interest on our debt and to satisfy our other liabilities will depend on our future operating performance and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order to ensure our continued compliance with the maximum total net leverage ratio covenant under the 2030 Senior Notes Indenture, on March 6, 2026, the requisite holders agreed to execute the First Amendment to the 2030 Senior Notes Indenture (the “First Amendment to the Indenture”) to provide financial covenant relief, described more fully below under “2030 Senior Notes.” In connection with the entry into the First Amendment to the Indenture, we issued Warrants to our noteholders, based on their pro rata ownership of principal amount of the 2030 Senior Notes, providing for the purchase of up to 803,712 shares of Common Stock at an exercise price of $0.01 per share, subject to adjustment, pursuant to Section 4(a)(2) of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2028 ABL Facility matures on March 7, 2028 and we intend to work with our existing lenders or other sources of capital to refinance the 2028 ABL Facility as well as our 2030 Senior Notes. If we are unable to refinance the 2028 ABL Facility as planned and uncertainty around our ability to refinance our existing long-term debt still exists, that could result in our auditors issuing a “going concern” or like qualification or exception as early as our audit opinion with respect to the year ending December 31,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our substantial leverage position, as market conditions warrant and subject to our contractual restrictions, liquidity position and other factors, we are evaluating several alternatives for deleveraging including debt for equity exchanges, non-core asset sales or other potential transactions to recapitalize, refinance or otherwise restructure our capital structure. Some of these alternatives may require the consent of current lenders, stockholders or noteholders, and there is no assurance that we will be able to execute any of these alternatives on acceptable terms or at 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2028 ABL Facility and our cash flows will provide us with the ability to fund our operations for at least the next twelve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2025 Senior Notes, pursuant to which the Company agreed to issue and sell to the Investors (a) approximately $232.2 in aggregate principal amount of the 2030 Senior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12, 2025, as part of the Refinancing, the Company and certain of its subsidiaries entered into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0850"/>
                <wp:effectExtent l="0" t="0" r="0" b="0"/>
                <wp:wrapNone/>
                <wp:docPr id="59" name="Frame5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are fully and unconditionally guaranteed by each of the Company’s current subsidiaries. The 2030 Senior Notes will also be guaranteed by each of the Company’s future subsidiaries that guarantee the Company’s indebtedness or indebtedness of guarantors, including under the 2028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2028 ABL Facility on a first priority basis) and a second priority security interest on the guarantors’ assets which secure the 2028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 As of December 31, 2025, the Company was in compliance with its debt covenants under the 2030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6, 2026, the requisite holders agreed to execute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is no certainty that the First Amendment to the Indenture will be sufficient to allow us to comply with our covenants or that we will be able to obtain future amendments in the event we are unable to comply with our covenants. For additional details, see “Part I. Item 1A. Risk Factors—Risks Relating to Financial Considerations—The 2030 Senior Notes Indenture and the 2028 ABL Facility have significant financial and operating restrictions that may have an adverse effect on our business, financial condition and results of operations.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 Also in connection with our entry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0850"/>
                <wp:effectExtent l="0" t="0" r="0" b="0"/>
                <wp:wrapNone/>
                <wp:docPr id="60" name="Frame6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into the First Amendment to the Indenture, we issued Warrants to our noteholders, based on their pro rata ownership of principal amount of the 2030 Senior Notes, providing for the purchase of up to 803,712 shares of Common Stock at an exercise price of $0.01 per share, subject to adjustment, pursuant to Section 4(a)(2) of the Securities Act.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lineRule="auto" w:line="288" w:before="240" w:after="283"/>
        <w:jc w:val="both"/>
        <w:rPr/>
      </w:pPr>
      <w:r>
        <w:rPr>
          <w:rFonts w:ascii="Arial;sans-serif" w:hAnsi="Arial;sans-serif"/>
          <w:b w:val="false"/>
          <w:color w:val="000000"/>
          <w:sz w:val="20"/>
        </w:rPr>
        <w:t xml:space="preserve">As of December 31, 2025, the principal amount outstanding under the 2030 Senior Notes was $244.1. On a net basis, after taking into consideration unamortized debt issuance costs and original issue discount for the 2030 Senior Notes, total debt related to the 2030 Senior Notes as of December 31, 2025 was $222.3. The effective interest rate under the 2030 Senior Notes was approximately 12.3% on December 31, 2025. Accrued interest related to the 2030 Senior Notes was </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as of December 31,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previously-issued 2025 Senior Notes were redeemed on March 30, 2025 and the related indenture was satisfied and discharged.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2028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7, 2025, the Company also entered into a Credit Agreement, dated as of March 7, 2025 (the “2028 ABL Facility”), with the Company, as borrower, Eclipse Business Capital LLC, as administrative agent, as collateral agent and as FILO administrative agent and the lenders party thereto. The 2028 ABL Facility is comprised of an asset-based revolving credit facility with a $125.0 commitment (the “Revolving Facility”), a first-in-last-out asset-based credit facility with a $10.0 commitment (the “FILO Facility”), and a committed incremental loan option under the Revolving Facility with a $25.0 commitment (the “Incremental Revolving Loans”).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 over-advance provided on the initial funding date under the Revolving Facility. The 2028 ABL Facility is secured by, among other things, a first priority lien on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0850"/>
                <wp:effectExtent l="0" t="0" r="0" b="0"/>
                <wp:wrapNone/>
                <wp:docPr id="61" name="Frame6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receivable and inventory and contains customary conditions precedent to borrowing and affirmative and negative covenants.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initial funding under the 2028 ABL Facility occurred on March 12, 2025, and the proceeds therefrom were used to repay the Prior ABL Facility in full. After giving effect to the foregoing, we had approximately $39.9 of available borrowing capacity under the 2028 ABL Facility. Our 2028 ABL Facility matures on March 7, 2028.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a springing financial covenant which requires the Company’s consolidated fixed charge coverage ratio to be at least 1.0 to 1.0 if availability under the Revolving Facility falls below $7.0.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 The 2028 ABL Facility contains certain other covenants (including the ability to incur indebtedness for the purpose of consummating permitted acquisitions, subject to the terms of the 2028 ABL Facility), events of default and other customary provisions. As of December 31, 2025, the Company was in compliance with its debt covenants under the 2028 ABL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December 31, 2025, the borrowings outstanding under the 2028 ABL Facility were $36.0. The effective interest rate under the 2028 ABL Facility was approximately 8.61% on December 31, 2025. Accrued interest related to the 2028 ABL Facility was $0.4 as of December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funds available under the 2028 ABL Facility of $50.6 on the December 2025 borrowing base certificate, which includes the undrawn availability on the FILO Facility.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2025, in connection with the completion of the Refinancing, the Prior ABL Facility was repaid in full using borrowings under the 2028 ABL Facility and the commitments thereunder terminated. As of December 31, 2024, $50.0 was outstanding under the Prior ABL Facility and the effective interest rate under the Prior ABL Facility was approximately 7.44%.</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$49.1 during the year ended December 31, 2025, compared to $65.1 in the year ended December 31, 2024. Based on current industry conditions and our significant investments in capital expenditures over the past several years, we expect to incur approximately $40.0 in capital expenditures for the year ending December 31, 2026.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June 14, 2021, the Company entered into the Equity Distribution Agreement with the Agent. Pursuant to the terms of the Equity Distribution Agreement, the ATM Offering had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the EDA Amendment,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0850"/>
                <wp:effectExtent l="0" t="0" r="0" b="0"/>
                <wp:wrapNone/>
                <wp:docPr id="62" name="Frame6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as amended to date, may be made in any transactions that are deemed to be “at the market offerings” as defined in Rule 415 under the Securities Act. As of the filing of this Annual Report, the Company is subject to the General Instruction I.B.6 to Form S-3, known as the “baby shelf” rule, which limits the amount of securities we can sell under the Registration Statement in any 12-month period.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twelve months ended December 31, 2025, the Company sold — and 167,769 shares of Common Stock, respectively, in exchange for gross proceeds of $— and $0.6, respectively, and incurred legal and administrative fees of $— and $0.3, respectively. During the three and twelve months ended December 31, 2024, the Company did not sell any shares of Common Stock and incurred legal and administrative fees of $0.3 and $0.5,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we had $5.7 of cash and cash equivalents. Cash on hand at December 31, 2025 decreased by $85.9 during the year then ended, due to $60.5 of cash flows used in financing activities and $32.9 of cash flows used in investing activities, offset by $7.5 of cash flows provided by operating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Annual Report includes net working capital, which is a “non-GAAP financial measure” as defined in the Securities Exchange Act of 1934, as amended (the “Exchange Act”). Net working capital is calculated as current assets, excluding cash, less current liabilities, excluding accrued interest, operating lease obligations and finance lease obligations. We believe that net working capital provides useful information to investors because it is an important indicator of the Company's liquidity. Our computations of net working capital may not be comparable to other similarly titled measures of other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the reconciliation of current assets and current liabilities to net working capital: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0850"/>
                <wp:effectExtent l="0" t="0" r="0" b="0"/>
                <wp:wrapNone/>
                <wp:docPr id="63" name="Frame6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600"/>
        <w:jc w:val="left"/>
        <w:rPr/>
      </w:pPr>
      <w:r>
        <w:rPr/>
      </w:r>
    </w:p>
    <w:tbl>
      <w:tblPr>
        <w:tblW w:w="7600" w:type="dxa"/>
        <w:jc w:val="left"/>
        <w:tblInd w:w="0" w:type="dxa"/>
        <w:tblLayout w:type="fixed"/>
        <w:tblCellMar>
          <w:top w:w="28" w:type="dxa"/>
          <w:left w:w="28" w:type="dxa"/>
          <w:bottom w:w="28" w:type="dxa"/>
          <w:right w:w="28" w:type="dxa"/>
        </w:tblCellMar>
      </w:tblPr>
      <w:tblGrid>
        <w:gridCol w:w="1178"/>
        <w:gridCol w:w="1034"/>
        <w:gridCol w:w="1042"/>
        <w:gridCol w:w="397"/>
        <w:gridCol w:w="1165"/>
        <w:gridCol w:w="207"/>
        <w:gridCol w:w="109"/>
        <w:gridCol w:w="109"/>
        <w:gridCol w:w="109"/>
        <w:gridCol w:w="397"/>
        <w:gridCol w:w="1165"/>
        <w:gridCol w:w="207"/>
        <w:gridCol w:w="109"/>
        <w:gridCol w:w="109"/>
        <w:gridCol w:w="109"/>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assets</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Accrued interest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Operating lease obligations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Finance lease obligations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liabilities</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Working Capital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Net working capital as of December 31, 2025 was $49.5, an increase of $23.8 as compared to net working capital of $25.7 as of December 31, 2024. Net working capital is calculated as current assets, excluding cash, less current liabilities, excluding current portion of long-term debt, accrued interest, operating lease obligations and finance lease obligations. As of December 31, 2025, total current assets excluding cash increased by $2.8 and total current liabilities excluding current portion of long-term debt, accrued interest, operating lease obligations and finance lease obligations decreased by $21.0. The increase in net current assets was primarily related to a increase</w:t>
      </w:r>
      <w:r>
        <w:rPr>
          <w:color w:val="000000"/>
        </w:rPr>
        <w:t xml:space="preserve"> </w:t>
      </w:r>
      <w:r>
        <w:rPr>
          <w:rFonts w:ascii="Arial;sans-serif" w:hAnsi="Arial;sans-serif"/>
          <w:b w:val="false"/>
          <w:color w:val="000000"/>
          <w:sz w:val="20"/>
        </w:rPr>
        <w:t>of $5.8 in accounts receivable-trade, net and a decrease of $0.3 in inventory. The decrease in total current liabilities was due to a decrease of $5.7 in accounts payable and a decrease of $15.3 in accrued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8092" w:type="dxa"/>
        <w:jc w:val="left"/>
        <w:tblInd w:w="0" w:type="dxa"/>
        <w:tblLayout w:type="fixed"/>
        <w:tblCellMar>
          <w:top w:w="28" w:type="dxa"/>
          <w:left w:w="28" w:type="dxa"/>
          <w:bottom w:w="28" w:type="dxa"/>
          <w:right w:w="28" w:type="dxa"/>
        </w:tblCellMar>
      </w:tblPr>
      <w:tblGrid>
        <w:gridCol w:w="1236"/>
        <w:gridCol w:w="1088"/>
        <w:gridCol w:w="1095"/>
        <w:gridCol w:w="109"/>
        <w:gridCol w:w="109"/>
        <w:gridCol w:w="109"/>
        <w:gridCol w:w="448"/>
        <w:gridCol w:w="1087"/>
        <w:gridCol w:w="234"/>
        <w:gridCol w:w="109"/>
        <w:gridCol w:w="109"/>
        <w:gridCol w:w="109"/>
        <w:gridCol w:w="397"/>
        <w:gridCol w:w="1165"/>
        <w:gridCol w:w="207"/>
        <w:gridCol w:w="109"/>
        <w:gridCol w:w="109"/>
        <w:gridCol w:w="109"/>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was $7.5 for the year ended December 31, 2025, as compared to net cash provided by operating activities of $54.2 for the year ended December 31, 2024. The decrease in operating cash flows was primarily attributable to the decrease in revenues across all operating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$32.9 for the year ended December 31, 2025, as compared to net cash used in investing activities of $51.1 for the year ended December 31, 2024. The cash used in investing activities for the year ended December 31, 2025 was primarily driven by increased maintenance and growth capital spending to support our business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cash used in financing activities was $60.5 for the year ended December 31, 2025, compared to net cash used in financing activities of $24.0 for the year ended December 31, 2024. The cash used in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0850"/>
                <wp:effectExtent l="0" t="0" r="0" b="0"/>
                <wp:wrapNone/>
                <wp:docPr id="64" name="Frame6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activities for the year ended December 31, 2025 was primarily driven by the Refinancing as well as borrowings and repayments under our 2028 ABL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Critical Accounting Estimates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discussion and analysis of our financial condition and results of operations are based upon our consolidated financial statements, which have been prepared in accordance with Generally Accepted Accounting Principles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Accrued Revenue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records accrued revenue for services performed but not yet invoiced as of the reporting date. Revenue is recognized as services are performed in the field in accordance with the applicable master service agreements, based on contractual day rates, footage rates, per-job pricing, or other agreed-upon fee arrangements. Accrued revenue represents revenue recognized for which billing has not yet occurred.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measurement of accrued revenue requires significant judgment. Management estimates amounts earned based on an evaluation of services performed to date, including unprocessed field tickets, stage or job completion status, equipment utilization, and the estimated value of partially completed jobs. These estimates are developed through a monthly review of operational reports, field documentation, and contractual terms.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Adjustments to accrued revenue may be required as a result of revised stage counts, customer acceptance or disputes, pricing adjustments, contract modifications, or operational factors such as weather delays or downtime. While management believes its estimates are reasonable and based on the best information available at the reporting date, actual amounts billed and ultimately collected may differ, and such differences could be material to the consolidated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of December 31, 2025, accrued revenue was $16.4 and is included in Accounts receivable–trade in the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0850"/>
                <wp:effectExtent l="0" t="0" r="0" b="0"/>
                <wp:wrapNone/>
                <wp:docPr id="65" name="Frame6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Note 2 - Recent Accounting Pronouncements to our consolidated financial statements for a discussion of recently issued accounting pronouncements.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left"/>
        <w:rPr/>
      </w:pPr>
      <w:r>
        <w:rPr/>
      </w:r>
    </w:p>
    <w:p>
      <w:pPr>
        <w:pStyle w:val="TextBody"/>
        <w:bidi w:val="0"/>
        <w:spacing w:lineRule="auto" w:line="216" w:before="0" w:after="0"/>
        <w:jc w:val="left"/>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i/>
          <w:color w:val="000000"/>
          <w:sz w:val="20"/>
        </w:rPr>
        <w:t>Revenue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i/>
          <w:color w:val="000000"/>
          <w:sz w:val="20"/>
        </w:rPr>
        <w:t>Adjusted Earnings before interest, taxes, depreciation and amortization ("Adjusted EBITDA")</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53" w:type="dxa"/>
        <w:jc w:val="center"/>
        <w:tblInd w:w="0" w:type="dxa"/>
        <w:tblLayout w:type="fixed"/>
        <w:tblCellMar>
          <w:top w:w="28" w:type="dxa"/>
          <w:left w:w="28" w:type="dxa"/>
          <w:bottom w:w="28" w:type="dxa"/>
          <w:right w:w="28" w:type="dxa"/>
        </w:tblCellMar>
      </w:tblPr>
      <w:tblGrid>
        <w:gridCol w:w="368"/>
        <w:gridCol w:w="324"/>
        <w:gridCol w:w="327"/>
        <w:gridCol w:w="2060"/>
        <w:gridCol w:w="2060"/>
        <w:gridCol w:w="291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7A.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0850"/>
                <wp:effectExtent l="0" t="0" r="0" b="0"/>
                <wp:wrapNone/>
                <wp:docPr id="66" name="Frame6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60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29" w:type="dxa"/>
        <w:jc w:val="center"/>
        <w:tblInd w:w="0" w:type="dxa"/>
        <w:tblLayout w:type="fixed"/>
        <w:tblCellMar>
          <w:top w:w="28" w:type="dxa"/>
          <w:left w:w="28" w:type="dxa"/>
          <w:bottom w:w="28" w:type="dxa"/>
          <w:right w:w="28" w:type="dxa"/>
        </w:tblCellMar>
      </w:tblPr>
      <w:tblGrid>
        <w:gridCol w:w="271"/>
        <w:gridCol w:w="239"/>
        <w:gridCol w:w="240"/>
        <w:gridCol w:w="755"/>
        <w:gridCol w:w="755"/>
        <w:gridCol w:w="106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8.</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w:t>
            </w:r>
          </w:p>
        </w:tc>
      </w:tr>
    </w:tbl>
    <w:p>
      <w:pPr>
        <w:pStyle w:val="TextBody"/>
        <w:bidi w:val="0"/>
        <w:spacing w:before="0" w:after="0"/>
        <w:jc w:val="center"/>
        <w:rPr/>
      </w:pPr>
      <w:r>
        <w:rPr/>
      </w:r>
    </w:p>
    <w:p>
      <w:pPr>
        <w:pStyle w:val="TextBody"/>
        <w:bidi w:val="0"/>
        <w:spacing w:lineRule="auto" w:line="288" w:before="0" w:after="0"/>
        <w:jc w:val="center"/>
        <w:rPr/>
      </w:pPr>
      <w:r>
        <w:rPr>
          <w:color w:val="000000"/>
          <w:u w:val="single"/>
        </w:rPr>
        <w:t> </w:t>
      </w:r>
      <w:r>
        <w:rPr>
          <w:rFonts w:ascii="Arial;sans-serif" w:hAnsi="Arial;sans-serif"/>
          <w:b w:val="false"/>
          <w:color w:val="000000"/>
          <w:sz w:val="20"/>
          <w:u w:val="single"/>
        </w:rPr>
        <w:t xml:space="preserve">Index to Consolidated Financial Statements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66"/>
        <w:gridCol w:w="3125"/>
        <w:gridCol w:w="3140"/>
        <w:gridCol w:w="109"/>
        <w:gridCol w:w="109"/>
        <w:gridCol w:w="156"/>
      </w:tblGrid>
      <w:tr>
        <w:trPr/>
        <w:tc>
          <w:tcPr>
            <w:tcW w:w="3566"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70">
              <w:r>
                <w:rPr>
                  <w:rStyle w:val="InternetLink"/>
                  <w:rFonts w:ascii="Arial;sans-serif" w:hAnsi="Arial;sans-serif"/>
                  <w:b w:val="false"/>
                  <w:color w:val="000080"/>
                  <w:sz w:val="20"/>
                  <w:u w:val="single"/>
                </w:rPr>
                <w:t xml:space="preserve">Report of Independent Registered Public Accounting Firm (PCAOB ID No </w:t>
              </w:r>
            </w:hyperlink>
            <w:r>
              <w:rPr>
                <w:rFonts w:ascii="Arial;sans-serif" w:hAnsi="Arial;sans-serif"/>
                <w:b w:val="false"/>
                <w:color w:val="0000FF"/>
                <w:sz w:val="20"/>
                <w:u w:val="single"/>
              </w:rPr>
              <w:t>34)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70">
              <w:r>
                <w:rPr>
                  <w:rStyle w:val="InternetLink"/>
                  <w:rFonts w:ascii="Arial;sans-serif" w:hAnsi="Arial;sans-serif"/>
                  <w:b w:val="false"/>
                  <w:color w:val="0000FF"/>
                  <w:sz w:val="20"/>
                  <w:u w:val="single"/>
                </w:rPr>
                <w:t>68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73">
              <w:r>
                <w:rPr>
                  <w:rStyle w:val="InternetLink"/>
                  <w:rFonts w:ascii="Arial;sans-serif" w:hAnsi="Arial;sans-serif"/>
                  <w:b w:val="false"/>
                  <w:color w:val="000080"/>
                  <w:sz w:val="20"/>
                  <w:u w:val="single"/>
                </w:rPr>
                <w:t>Consolidated Balance Sheets</w:t>
              </w:r>
            </w:hyperlink>
            <w:r>
              <w:rPr>
                <w:rFonts w:ascii="Arial;sans-serif" w:hAnsi="Arial;sans-serif"/>
                <w:b w:val="false"/>
                <w:color w:val="0000FF"/>
                <w:sz w:val="20"/>
                <w:u w:val="single"/>
              </w:rPr>
              <w:t xml:space="preserve"> as of December 31, 2025 and December 31,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73">
              <w:r>
                <w:rPr>
                  <w:rStyle w:val="InternetLink"/>
                  <w:rFonts w:ascii="Arial;sans-serif" w:hAnsi="Arial;sans-serif"/>
                  <w:b w:val="false"/>
                  <w:color w:val="0000FF"/>
                  <w:sz w:val="20"/>
                  <w:u w:val="single"/>
                </w:rPr>
                <w:t>70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79">
              <w:r>
                <w:rPr>
                  <w:rStyle w:val="InternetLink"/>
                  <w:rFonts w:ascii="Arial;sans-serif" w:hAnsi="Arial;sans-serif"/>
                  <w:b w:val="false"/>
                  <w:color w:val="000080"/>
                  <w:sz w:val="20"/>
                  <w:u w:val="single"/>
                </w:rPr>
                <w:t>Consolidated Statements of Operations for the Years Ended</w:t>
              </w:r>
            </w:hyperlink>
            <w:r>
              <w:rPr>
                <w:rFonts w:ascii="Arial;sans-serif" w:hAnsi="Arial;sans-serif"/>
                <w:b w:val="false"/>
                <w:color w:val="0000FF"/>
                <w:sz w:val="20"/>
                <w:u w:val="single"/>
              </w:rPr>
              <w:t xml:space="preserve"> December 31, 2025 and December 31,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79">
              <w:r>
                <w:rPr>
                  <w:rStyle w:val="InternetLink"/>
                  <w:rFonts w:ascii="Arial;sans-serif" w:hAnsi="Arial;sans-serif"/>
                  <w:b w:val="false"/>
                  <w:color w:val="0000FF"/>
                  <w:sz w:val="20"/>
                  <w:u w:val="single"/>
                </w:rPr>
                <w:t>71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85">
              <w:r>
                <w:rPr>
                  <w:rStyle w:val="InternetLink"/>
                  <w:rFonts w:ascii="Arial;sans-serif" w:hAnsi="Arial;sans-serif"/>
                  <w:b w:val="false"/>
                  <w:color w:val="000080"/>
                  <w:sz w:val="20"/>
                  <w:u w:val="single"/>
                </w:rPr>
                <w:t>Consolidated Statements of Stockholders' Equity for the Years Ended</w:t>
              </w:r>
            </w:hyperlink>
            <w:r>
              <w:rPr>
                <w:rFonts w:ascii="Arial;sans-serif" w:hAnsi="Arial;sans-serif"/>
                <w:b w:val="false"/>
                <w:color w:val="0000FF"/>
                <w:sz w:val="20"/>
                <w:u w:val="single"/>
              </w:rPr>
              <w:t xml:space="preserve"> December 31, 2025 and December 31,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85">
              <w:r>
                <w:rPr>
                  <w:rStyle w:val="InternetLink"/>
                  <w:rFonts w:ascii="Arial;sans-serif" w:hAnsi="Arial;sans-serif"/>
                  <w:b w:val="false"/>
                  <w:color w:val="0000FF"/>
                  <w:sz w:val="20"/>
                  <w:u w:val="single"/>
                </w:rPr>
                <w:t>72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88">
              <w:r>
                <w:rPr>
                  <w:rStyle w:val="InternetLink"/>
                  <w:rFonts w:ascii="Arial;sans-serif" w:hAnsi="Arial;sans-serif"/>
                  <w:b w:val="false"/>
                  <w:color w:val="000080"/>
                  <w:sz w:val="20"/>
                  <w:u w:val="single"/>
                </w:rPr>
                <w:t>Consolidated Statements of Cash Flows for the Years Ended</w:t>
              </w:r>
            </w:hyperlink>
            <w:r>
              <w:rPr>
                <w:rFonts w:ascii="Arial;sans-serif" w:hAnsi="Arial;sans-serif"/>
                <w:b w:val="false"/>
                <w:color w:val="0000FF"/>
                <w:sz w:val="20"/>
                <w:u w:val="single"/>
              </w:rPr>
              <w:t xml:space="preserve"> December 31, 2025 and December 31,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88">
              <w:r>
                <w:rPr>
                  <w:rStyle w:val="InternetLink"/>
                  <w:rFonts w:ascii="Arial;sans-serif" w:hAnsi="Arial;sans-serif"/>
                  <w:b w:val="false"/>
                  <w:color w:val="0000FF"/>
                  <w:sz w:val="20"/>
                  <w:u w:val="single"/>
                </w:rPr>
                <w:t>73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91">
              <w:r>
                <w:rPr>
                  <w:rStyle w:val="InternetLink"/>
                  <w:rFonts w:ascii="Arial;sans-serif" w:hAnsi="Arial;sans-serif"/>
                  <w:b w:val="false"/>
                  <w:color w:val="0000FF"/>
                  <w:sz w:val="20"/>
                  <w:u w:val="single"/>
                </w:rPr>
                <w:t>Notes to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6408483fb4c12acfe74e56095368a_91">
              <w:r>
                <w:rPr>
                  <w:rStyle w:val="InternetLink"/>
                  <w:rFonts w:ascii="Arial;sans-serif" w:hAnsi="Arial;sans-serif"/>
                  <w:b w:val="false"/>
                  <w:color w:val="0000FF"/>
                  <w:sz w:val="20"/>
                  <w:u w:val="single"/>
                </w:rPr>
                <w:t>74</w:t>
              </w:r>
            </w:hyperlink>
          </w:p>
        </w:tc>
      </w:tr>
    </w:tbl>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0850"/>
                <wp:effectExtent l="0" t="0" r="0" b="0"/>
                <wp:wrapNone/>
                <wp:docPr id="67" name="Frame6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60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stockholders and the Board of Directors of KLX Energy Services Holdings, Inc.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KLX Energy Services Holdings, Inc. and subsidiaries (the "Company") as of December 31, 2025 and 2024, the related consolidated statements of operations,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applicable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0850"/>
                <wp:effectExtent l="0" t="0" r="0" b="0"/>
                <wp:wrapNone/>
                <wp:docPr id="68" name="Frame6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600"/>
        <w:jc w:val="left"/>
        <w:rPr/>
      </w:pPr>
      <w:r>
        <w:rPr/>
      </w:r>
    </w:p>
    <w:p>
      <w:pPr>
        <w:pStyle w:val="TextBody"/>
        <w:bidi w:val="0"/>
        <w:spacing w:lineRule="auto" w:line="276" w:before="0" w:after="0"/>
        <w:jc w:val="left"/>
        <w:rPr/>
      </w:pPr>
      <w:r>
        <w:rPr>
          <w:rFonts w:ascii="Arial;sans-serif" w:hAnsi="Arial;sans-serif"/>
          <w:b/>
          <w:color w:val="000000"/>
          <w:sz w:val="20"/>
        </w:rPr>
        <w:t xml:space="preserve">Revenue Recognition </w:t>
      </w:r>
      <w:r>
        <w:rPr>
          <w:color w:val="000000"/>
        </w:rPr>
        <w:t xml:space="preserve">– </w:t>
      </w:r>
      <w:r>
        <w:rPr>
          <w:rFonts w:ascii="Arial;sans-serif" w:hAnsi="Arial;sans-serif"/>
          <w:b/>
          <w:color w:val="000000"/>
          <w:sz w:val="20"/>
        </w:rPr>
        <w:t xml:space="preserve">Accrued Revenue </w:t>
      </w:r>
      <w:r>
        <w:rPr>
          <w:color w:val="000000"/>
        </w:rPr>
        <w:t xml:space="preserve">– </w:t>
      </w:r>
      <w:r>
        <w:rPr>
          <w:rFonts w:ascii="Arial;sans-serif" w:hAnsi="Arial;sans-serif"/>
          <w:b/>
          <w:color w:val="000000"/>
          <w:sz w:val="20"/>
        </w:rPr>
        <w:t>Refer to Note 1 to the consolidated financial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Critical Audit Matter Description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discussed in Note 1 to the consolidated financial statements, revenue is recognized upon the customer obtaining control of promised goods or services in an amount that reflects the consideration which is expected to be received in exchange for those goods or services, which generally reflects the amount the Company has the right to invoice. As most projects are not billed until completion, the Company accrues revenue at the end of each month for jobs that are on-going and have not been invoiced. As of December 31, 2025, the Company recognized $16.5 million of accrued revenue which is included within the “Revenue” financial statement line item within the financial statements. The amount to be recorded is dependent upon estimates prepared by management.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identified the estimated accrued revenue as a critical audit matter due to the inherent subjectivity and degree of judgment made by management in estimating the amount to be accrued.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audit procedures related to accrued revenue included the following, among others: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We evaluated the reasonableness of the Company’s policies for recording the accrual including whether there were changes in those policies in the current year.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We tested the design and implementation of internal controls over accrued revenue, including (1) the process to estimate the revenue accrual, including the assumptions related to status of jobs on-going at the date of the accrual, and (2) management’s analysis of the actual revenue invoiced in the subsequent period compared to the amount accrued for at year-end.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We evaluated the reasonableness of the assumptions and degree of judgment utilized in the determination of the accrual, tested the source of information used to estimate the accrual, and validated the mathematical accuracy of management’s calculation.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We selected a sample of accrued revenue transactions and performed the following:</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 Evaluated the Company’s methodology and assumptions in developing their revenue accrual, including assessing the completeness and accuracy of the underlying data used by management in their estimates.</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 Compared the related revenue billed subsequently in January 2026 to the estimate recorded.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2018.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0850"/>
                <wp:effectExtent l="0" t="0" r="0" b="0"/>
                <wp:wrapNone/>
                <wp:docPr id="69" name="Frame6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Balance Sheets </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p>
      <w:pPr>
        <w:pStyle w:val="TextBody"/>
        <w:bidi w:val="0"/>
        <w:spacing w:before="0" w:after="0"/>
        <w:jc w:val="center"/>
        <w:rPr/>
      </w:pPr>
      <w:r>
        <w:rPr/>
      </w:r>
    </w:p>
    <w:tbl>
      <w:tblPr>
        <w:tblW w:w="8244" w:type="dxa"/>
        <w:jc w:val="center"/>
        <w:tblInd w:w="0" w:type="dxa"/>
        <w:tblLayout w:type="fixed"/>
        <w:tblCellMar>
          <w:top w:w="28" w:type="dxa"/>
          <w:left w:w="28" w:type="dxa"/>
          <w:bottom w:w="28" w:type="dxa"/>
          <w:right w:w="28" w:type="dxa"/>
        </w:tblCellMar>
      </w:tblPr>
      <w:tblGrid>
        <w:gridCol w:w="2170"/>
        <w:gridCol w:w="1906"/>
        <w:gridCol w:w="1924"/>
        <w:gridCol w:w="211"/>
        <w:gridCol w:w="616"/>
        <w:gridCol w:w="109"/>
        <w:gridCol w:w="109"/>
        <w:gridCol w:w="109"/>
        <w:gridCol w:w="109"/>
        <w:gridCol w:w="211"/>
        <w:gridCol w:w="616"/>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w:t>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824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$1.7 and $4.2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Property and equipment, net</w:t>
            </w:r>
            <w:r>
              <w:rPr>
                <w:rFonts w:ascii="Arial;sans-serif" w:hAnsi="Arial;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4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9)</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$0.01 par value; 110.0 authorized; 18.9 and 17.5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0.5 shares and 0.5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Includes right-of-use ("ROU") assets - finance leases. See Note 4 - Property and Equipment, Net and Note 7 - Leases.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0850"/>
                <wp:effectExtent l="0" t="0" r="0" b="0"/>
                <wp:wrapNone/>
                <wp:docPr id="70" name="Frame7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before="0" w:after="0"/>
        <w:jc w:val="center"/>
        <w:rPr/>
      </w:pPr>
      <w:r>
        <w:rPr/>
      </w:r>
    </w:p>
    <w:tbl>
      <w:tblPr>
        <w:tblW w:w="7372" w:type="dxa"/>
        <w:jc w:val="center"/>
        <w:tblInd w:w="0" w:type="dxa"/>
        <w:tblLayout w:type="fixed"/>
        <w:tblCellMar>
          <w:top w:w="28" w:type="dxa"/>
          <w:left w:w="28" w:type="dxa"/>
          <w:bottom w:w="28" w:type="dxa"/>
          <w:right w:w="28" w:type="dxa"/>
        </w:tblCellMar>
      </w:tblPr>
      <w:tblGrid>
        <w:gridCol w:w="1136"/>
        <w:gridCol w:w="996"/>
        <w:gridCol w:w="1003"/>
        <w:gridCol w:w="109"/>
        <w:gridCol w:w="109"/>
        <w:gridCol w:w="109"/>
        <w:gridCol w:w="397"/>
        <w:gridCol w:w="1165"/>
        <w:gridCol w:w="207"/>
        <w:gridCol w:w="109"/>
        <w:gridCol w:w="109"/>
        <w:gridCol w:w="109"/>
        <w:gridCol w:w="390"/>
        <w:gridCol w:w="1138"/>
        <w:gridCol w:w="286"/>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0850"/>
                <wp:effectExtent l="0" t="0" r="0" b="0"/>
                <wp:wrapNone/>
                <wp:docPr id="71" name="Frame7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Years Ended December 31, 2025 and December 31, 2024</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0"/>
        <w:gridCol w:w="468"/>
        <w:gridCol w:w="471"/>
        <w:gridCol w:w="260"/>
        <w:gridCol w:w="260"/>
        <w:gridCol w:w="261"/>
        <w:gridCol w:w="112"/>
        <w:gridCol w:w="112"/>
        <w:gridCol w:w="112"/>
        <w:gridCol w:w="225"/>
        <w:gridCol w:w="434"/>
        <w:gridCol w:w="122"/>
        <w:gridCol w:w="109"/>
        <w:gridCol w:w="109"/>
        <w:gridCol w:w="109"/>
        <w:gridCol w:w="294"/>
        <w:gridCol w:w="862"/>
        <w:gridCol w:w="154"/>
        <w:gridCol w:w="109"/>
        <w:gridCol w:w="109"/>
        <w:gridCol w:w="109"/>
        <w:gridCol w:w="252"/>
        <w:gridCol w:w="503"/>
        <w:gridCol w:w="131"/>
        <w:gridCol w:w="109"/>
        <w:gridCol w:w="109"/>
        <w:gridCol w:w="109"/>
        <w:gridCol w:w="276"/>
        <w:gridCol w:w="826"/>
        <w:gridCol w:w="144"/>
        <w:gridCol w:w="109"/>
        <w:gridCol w:w="109"/>
        <w:gridCol w:w="109"/>
        <w:gridCol w:w="392"/>
        <w:gridCol w:w="981"/>
        <w:gridCol w:w="205"/>
        <w:gridCol w:w="160"/>
      </w:tblGrid>
      <w:tr>
        <w:trPr/>
        <w:tc>
          <w:tcPr>
            <w:tcW w:w="88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 2024</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0850"/>
                <wp:effectExtent l="0" t="0" r="0" b="0"/>
                <wp:wrapNone/>
                <wp:docPr id="72" name="Frame7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tbl>
      <w:tblPr>
        <w:tblW w:w="10076" w:type="dxa"/>
        <w:jc w:val="center"/>
        <w:tblInd w:w="0" w:type="dxa"/>
        <w:tblLayout w:type="fixed"/>
        <w:tblCellMar>
          <w:top w:w="28" w:type="dxa"/>
          <w:left w:w="28" w:type="dxa"/>
          <w:bottom w:w="28" w:type="dxa"/>
          <w:right w:w="28" w:type="dxa"/>
        </w:tblCellMar>
      </w:tblPr>
      <w:tblGrid>
        <w:gridCol w:w="2231"/>
        <w:gridCol w:w="1960"/>
        <w:gridCol w:w="1973"/>
        <w:gridCol w:w="440"/>
        <w:gridCol w:w="1100"/>
        <w:gridCol w:w="230"/>
        <w:gridCol w:w="109"/>
        <w:gridCol w:w="109"/>
        <w:gridCol w:w="109"/>
        <w:gridCol w:w="428"/>
        <w:gridCol w:w="1071"/>
        <w:gridCol w:w="316"/>
      </w:tblGrid>
      <w:tr>
        <w:trPr/>
        <w:tc>
          <w:tcPr>
            <w:tcW w:w="2231"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flows from operating activities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interest expense</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expenses and other current and non-current assets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provided by operating activities</w:t>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 and other</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investing activities</w:t>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under 2028 ABL Facility</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2028 ABL Facility</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Prior ABL Facility</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2030 Senior Notes and warrants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2025 Senior Notes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Mandatory redemption on 2030 Senior Notes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 payable</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financed payables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financing activities</w:t>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change in cash and cash equivalents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 interest</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interest expense (paid in kind)</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Debt-for-equity exchanges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0850"/>
                <wp:effectExtent l="0" t="0" r="0" b="0"/>
                <wp:wrapNone/>
                <wp:docPr id="73" name="Frame7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6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(U.S. dollars in millions, except per share amounts)</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20"/>
        </w:rPr>
        <w:t>KLX Energy Services Holdings, Inc. (the “Company”, “KLXE” or “KLX Energy Services”) is a growth-oriented provider of diversified oilfield services to leading onshore oil and natural gas exploration and production (“E&amp;P”) companies operating in both conventional and unconve</w:t>
      </w:r>
      <w:r>
        <w:rPr>
          <w:rFonts w:ascii="Arial;sans-serif" w:hAnsi="Arial;sans-serif"/>
          <w:b w:val="false"/>
          <w:color w:val="000000"/>
          <w:sz w:val="20"/>
          <w:shd w:fill="FFFFFF" w:val="clear"/>
        </w:rPr>
        <w:t>ntional plays in all of the active major basins throughout the United States. The Company delivers mission critical oilfield services focused on drilling, completion, production and intervention activities for the most technically demanding wells in over 60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“QES Merger”). On July 28, 2020, immediately prior to the consummation of the QES Merger, the Reverse Stock Split Amendment became effective and thereby effectuated the 1-for-5 Reverse Stock Split of the Company’s issued and outstanding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consolidated financial statements were prepared in accordance with accounting principles generally accepted in the United States of America ("GAAP”). The consolidated financial statements include all accounts of KLXE and its subsidiaries. All intercompany transactions and account balances have been eliminated upon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 is recognized upon the customer obtaining control of promised goods or services, in an amount that reflects the consideration which is expected to be received in exchange for those goods or services, which generally reflects the amount we have the right to invoice. To determine revenue recognition for arrangements within the scope of Accounting Standards Codification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0850"/>
                <wp:effectExtent l="0" t="0" r="0" b="0"/>
                <wp:wrapNone/>
                <wp:docPr id="74" name="Frame7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duration of the service period pursuant to a master services agreement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accounts for deferred income taxes through the asset and liability method. Under this method, a deferred tax liability or asset is recognized for the expected future tax consequences resulting from the differences in financial reporting bases and tax bases of assets and liabilities. Deferred tax assets and liabilities are measured using enacted tax rates in effect for the years in which the differences are expected to reverse. A valuation allowance is recorded if it is more likely than not that some or all of the deferred tax assets will not be realized. The Company recognizes accrued interest and penalties related to uncertain tax positions, if any, as a component of income tax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Equivalents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purposes of reporting cash flows, cash and cash equivalents consist of cash on hand, and certificates of deposits. The Company considers all highly liquid investments with a maturity of three months or less when purchased to be cash equivalents.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maintains its cash and cash equivalents in various financial institutions, which at times may exceed federally insured amounts. Management believes that this risk is not significant.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performs ongoing credit evaluations of its customers and adjusts credit limits based upon payment history and the customer’s current creditworthiness, as determined by review of their current credit information. The Company continuously monitors collections and payments from its customers and maintains a provision for estimated credit losses based upon historical experience and any specific customer collection issues that have been identified. The allowance for doubtful accounts at December 31, 2025 and December 31, 2024 was $1.7 and $4.2,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Activity in our allowance for doubtful accounts during the years ended December 31, 2025 and December 31, 2024 is set forth in the table below:</w:t>
      </w:r>
    </w:p>
    <w:tbl>
      <w:tblPr>
        <w:tblW w:w="10205" w:type="dxa"/>
        <w:jc w:val="center"/>
        <w:tblInd w:w="0" w:type="dxa"/>
        <w:tblLayout w:type="fixed"/>
        <w:tblCellMar>
          <w:top w:w="28" w:type="dxa"/>
          <w:left w:w="28" w:type="dxa"/>
          <w:bottom w:w="28" w:type="dxa"/>
          <w:right w:w="28" w:type="dxa"/>
        </w:tblCellMar>
      </w:tblPr>
      <w:tblGrid>
        <w:gridCol w:w="710"/>
        <w:gridCol w:w="624"/>
        <w:gridCol w:w="628"/>
        <w:gridCol w:w="109"/>
        <w:gridCol w:w="109"/>
        <w:gridCol w:w="109"/>
        <w:gridCol w:w="531"/>
        <w:gridCol w:w="1024"/>
        <w:gridCol w:w="277"/>
        <w:gridCol w:w="109"/>
        <w:gridCol w:w="109"/>
        <w:gridCol w:w="109"/>
        <w:gridCol w:w="683"/>
        <w:gridCol w:w="1319"/>
        <w:gridCol w:w="356"/>
        <w:gridCol w:w="109"/>
        <w:gridCol w:w="109"/>
        <w:gridCol w:w="109"/>
        <w:gridCol w:w="335"/>
        <w:gridCol w:w="670"/>
        <w:gridCol w:w="174"/>
        <w:gridCol w:w="109"/>
        <w:gridCol w:w="109"/>
        <w:gridCol w:w="109"/>
        <w:gridCol w:w="426"/>
        <w:gridCol w:w="819"/>
        <w:gridCol w:w="321"/>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Charged (credited)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Deductions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at end of period</w:t>
            </w:r>
          </w:p>
        </w:tc>
      </w:tr>
      <w:tr>
        <w:trPr/>
        <w:tc>
          <w:tcPr>
            <w:tcW w:w="1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 ASC Topic 326, Financial Instruments - Credit Losses.</w:t>
      </w:r>
    </w:p>
    <w:p>
      <w:pPr>
        <w:pStyle w:val="TextBody"/>
        <w:bidi w:val="0"/>
        <w:spacing w:lineRule="auto" w:line="288" w:before="100" w:after="283"/>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Accounts receivable balances written off during the period, net of recoveries.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Inventories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made up primarily of dissolvable plugs, supplies, finished goods and other consumables used to perform services for customers. The Company values inventories at the lower of cost or net realizable value and uses the weighted average costing and first-in, first-out methods. Reserves for excess and obsolete inventory were approximately $4.1 and $3.2 as of years ended December 31, 2025 and December 31, 2024,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Property and Equipment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0850"/>
                <wp:effectExtent l="0" t="0" r="0" b="0"/>
                <wp:wrapNone/>
                <wp:docPr id="75" name="Frame7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Property and equipment is stated at cost and depreciated under the straight-line method over the estimated useful life of the asset. Equipment held under finance leases is stated at the present value of its future minimum lease payments and is depreciated under the straight-line method over the shorter of the lease term or the estimated useful life of the asset. Estimating useful lives of property and equipment requires significant judgment which is influenced by our historical experience in operating property and equipment, technological developments, and expectations of future demand.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Financial Accounting Standards Board (“FASB”) ASC Topic 350, Intangibles—Goodwill and Other, indefinite-lived intangible assets are reviewed at least annually for impairment. Acquired intangible assets with definite lives are amortized under the straight-line method over their individual useful lives. As of December 31, 2025 and December 31, 2024, there were net intangible assets, consisting of customer relationships and patents, with definite lives of $1.1 and $1.5, respectively. As of December 31, 2025 and December 31, 2024, intangible assets had gross carrying amount of $5.9 and $5.9 and accumulated amortization of $4.8 and $4.4, respectively, with amortization expense for the years then ended of $0.4 and $0.3,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Long</w:t>
        <w:noBreakHyphen/>
        <w:t>Lived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December 31, 2025 and December 31, 2024, there were no impairments of long-lived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Issuance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capitalizes certain third-party fees directly related to the issuance of debt and amortizes these costs over the life of the debt using the effective interest method. Debt issuance costs related to the Prior ABL Facility and the 2028 ABL Facility are presented net of amortization as a non-current asset. Debt issuance costs related to the Company’s senior secured notes due 2030 (the “2030 Senior Notes”) and senior secured notes due 2025 (the “2025 Senior Notes”) are presented net of amortization as an offset to the liability. Amortized debt issuance costs are included in interest expense and totaled $2.3 for the year ended December 31, 2025 and $2.6 for the year ended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Original Issue Discount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capitalizes the original issue cash discount and the original issue warrant discount, both related to the 2030 Senior Notes, and amortizes these costs over the life of the debt using the effective interest method. These discounts are presented net of amortization as an offset to the liability. Discount amortization is included in interest expense and totaled $2.4 for the year ended December 31, 2025 and $— for the year ended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Common Stock Equivalents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potential Common Stock equivalents related to its outstanding restricted stock awards and restricted stock units. These potential Common Stock equivalents are not included in diluted loss per share for any period presented in which there is a net loss because the effect would have been anti</w:t>
        <w:noBreakHyphen/>
        <w:t>dilutive.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0850"/>
                <wp:effectExtent l="0" t="0" r="0" b="0"/>
                <wp:wrapNone/>
                <wp:docPr id="76" name="Frame7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accounts for share-based compensation arrangements in accordance with the provisions of FASB ASC Topic 718, Stock Compensation whereby share-based compensation cost is measured on the date of grant, based on the calculated fair value of the award and recognized as selling, general and administrative expenses in the consolidated statement of operations over the requisite service period. Compensation cost recognized during the years ended December 31, 2025 and December 31, 2024 primarily related to grants of restricted stock and restricted stock units granted or approved by the Board’s compensation committee (the “Compensation Committee”). See Note 11 - Equity and Stock-Based Compensation for additional information related to stock-based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Concentration of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Company provides products and services to energy industry customers who focus on developing and producing oil and gas onshore in North America. The Company’s management performs ongoing credit evaluations on the financial condition of all of its customers and maintains allowances for uncollectible accounts receivable based on expected collectability. Credit losses have historically been within management’s expectations and the provisions established, see "</w:t>
      </w:r>
      <w:r>
        <w:rPr>
          <w:rFonts w:ascii="Arial;sans-serif" w:hAnsi="Arial;sans-serif"/>
          <w:b w:val="false"/>
          <w:i/>
          <w:color w:val="000000"/>
          <w:sz w:val="20"/>
        </w:rPr>
        <w:t>Accounts Receivable, Net"</w:t>
      </w:r>
      <w:r>
        <w:rPr>
          <w:color w:val="000000"/>
        </w:rPr>
        <w:t xml:space="preserve"> </w:t>
      </w:r>
      <w:r>
        <w:rPr>
          <w:rFonts w:ascii="Arial;sans-serif" w:hAnsi="Arial;sans-serif"/>
          <w:b w:val="false"/>
          <w:color w:val="000000"/>
          <w:sz w:val="20"/>
        </w:rPr>
        <w:t>above.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Significant customers change from year to year depending on the level of E&amp;P activity and the use of the Company’s services. During the years ended December 31, 2025 and December 31, 2024, no single customer accounted for more than 10% of the Company’s 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Recently Adopted Accounting Standard Updates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FASB issued Accounting Standards Update (“ASU”) 2023-09, Income Taxes (Topic 740). This ASU includes specific requirements for the rate reconciliation, income taxes paid and other tax-related disclosures. The Company adopted ASU 2023-09 on January 1, 2025 using a fully retrospective method of transition. Refer to Note 12 -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 Inventories, net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6248"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448"/>
        <w:gridCol w:w="1087"/>
        <w:gridCol w:w="234"/>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primarily of spare parts, composite and dissolvable plugs, consumables (including thru tubing accessory tools, chemicals and cement) and other (including coiled tubing strings and wireline spools) used to perform services for customers. The Company values inventories at the lower of cost or net realizable value. Inventory reserves were approximately $4.1 and $3.2 as of December 31, 2025 and December 31, 2024,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Activity in the reserve for inventory accounts during the years ended December 31, 2025 and December 31, 2024 is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0850"/>
                <wp:effectExtent l="0" t="0" r="0" b="0"/>
                <wp:wrapNone/>
                <wp:docPr id="77" name="Frame7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600"/>
        <w:jc w:val="left"/>
        <w:rPr/>
      </w:pPr>
      <w:r>
        <w:rPr/>
      </w:r>
    </w:p>
    <w:tbl>
      <w:tblPr>
        <w:tblW w:w="10205" w:type="dxa"/>
        <w:jc w:val="center"/>
        <w:tblInd w:w="0" w:type="dxa"/>
        <w:tblLayout w:type="fixed"/>
        <w:tblCellMar>
          <w:top w:w="28" w:type="dxa"/>
          <w:left w:w="28" w:type="dxa"/>
          <w:bottom w:w="28" w:type="dxa"/>
          <w:right w:w="28" w:type="dxa"/>
        </w:tblCellMar>
      </w:tblPr>
      <w:tblGrid>
        <w:gridCol w:w="707"/>
        <w:gridCol w:w="514"/>
        <w:gridCol w:w="517"/>
        <w:gridCol w:w="109"/>
        <w:gridCol w:w="109"/>
        <w:gridCol w:w="109"/>
        <w:gridCol w:w="597"/>
        <w:gridCol w:w="1152"/>
        <w:gridCol w:w="311"/>
        <w:gridCol w:w="109"/>
        <w:gridCol w:w="109"/>
        <w:gridCol w:w="109"/>
        <w:gridCol w:w="624"/>
        <w:gridCol w:w="1204"/>
        <w:gridCol w:w="325"/>
        <w:gridCol w:w="109"/>
        <w:gridCol w:w="109"/>
        <w:gridCol w:w="109"/>
        <w:gridCol w:w="342"/>
        <w:gridCol w:w="684"/>
        <w:gridCol w:w="178"/>
        <w:gridCol w:w="109"/>
        <w:gridCol w:w="109"/>
        <w:gridCol w:w="109"/>
        <w:gridCol w:w="474"/>
        <w:gridCol w:w="912"/>
        <w:gridCol w:w="356"/>
      </w:tblGrid>
      <w:tr>
        <w:trPr/>
        <w:tc>
          <w:tcPr>
            <w:tcW w:w="7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Reserve for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Deductions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at end of period</w:t>
            </w:r>
          </w:p>
        </w:tc>
      </w:tr>
      <w:tr>
        <w:trPr/>
        <w:tc>
          <w:tcPr>
            <w:tcW w:w="1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Reserve for inventory balances written off during the period, net of recoveries.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4 - Property and Equipment, Net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8974" w:type="dxa"/>
        <w:jc w:val="left"/>
        <w:tblInd w:w="0" w:type="dxa"/>
        <w:tblLayout w:type="fixed"/>
        <w:tblCellMar>
          <w:top w:w="28" w:type="dxa"/>
          <w:left w:w="28" w:type="dxa"/>
          <w:bottom w:w="28" w:type="dxa"/>
          <w:right w:w="28" w:type="dxa"/>
        </w:tblCellMar>
      </w:tblPr>
      <w:tblGrid>
        <w:gridCol w:w="1102"/>
        <w:gridCol w:w="968"/>
        <w:gridCol w:w="974"/>
        <w:gridCol w:w="188"/>
        <w:gridCol w:w="188"/>
        <w:gridCol w:w="188"/>
        <w:gridCol w:w="188"/>
        <w:gridCol w:w="188"/>
        <w:gridCol w:w="188"/>
        <w:gridCol w:w="188"/>
        <w:gridCol w:w="188"/>
        <w:gridCol w:w="189"/>
        <w:gridCol w:w="109"/>
        <w:gridCol w:w="109"/>
        <w:gridCol w:w="109"/>
        <w:gridCol w:w="397"/>
        <w:gridCol w:w="1165"/>
        <w:gridCol w:w="207"/>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Land, buildings and</w:t>
            </w:r>
            <w:r>
              <w:rPr>
                <w:color w:val="EE2724"/>
              </w:rPr>
              <w:t xml:space="preserve"> </w:t>
            </w:r>
            <w:r>
              <w:rPr>
                <w:rFonts w:ascii="Arial;sans-serif" w:hAnsi="Arial;sans-serif"/>
                <w:b w:val="false"/>
                <w:color w:val="000000"/>
                <w:sz w:val="18"/>
              </w:rPr>
              <w:t>improvements</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Depreciation of assets is computed using the straight-line method over the lesser of the estimated useful lives of the respective assets or the lease term, if shorter. Depreciation expense related to non-leased assets was $74.9 and $69.7</w:t>
      </w:r>
      <w:r>
        <w:rPr>
          <w:color w:val="000000"/>
        </w:rPr>
        <w:t xml:space="preserve"> </w:t>
      </w:r>
      <w:r>
        <w:rPr>
          <w:rFonts w:ascii="Arial;sans-serif" w:hAnsi="Arial;sans-serif"/>
          <w:b w:val="false"/>
          <w:color w:val="000000"/>
          <w:sz w:val="20"/>
        </w:rPr>
        <w:t>for the years ended December 31, 2025 and December 31, 2024, respectively. Finance lease amortization expense was $20.0 and $24.0 for the years ended December 31, 2025 and December 31, 2024.</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2025 and December 31, 2024, the Company’s consolidated balance sheet includes assets classified as held for sale of $— and $2.3,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 Accrued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liabilities consisted of the following:</w:t>
      </w:r>
    </w:p>
    <w:tbl>
      <w:tblPr>
        <w:tblW w:w="7811" w:type="dxa"/>
        <w:jc w:val="left"/>
        <w:tblInd w:w="0" w:type="dxa"/>
        <w:tblLayout w:type="fixed"/>
        <w:tblCellMar>
          <w:top w:w="28" w:type="dxa"/>
          <w:left w:w="28" w:type="dxa"/>
          <w:bottom w:w="28" w:type="dxa"/>
          <w:right w:w="28" w:type="dxa"/>
        </w:tblCellMar>
      </w:tblPr>
      <w:tblGrid>
        <w:gridCol w:w="1412"/>
        <w:gridCol w:w="1241"/>
        <w:gridCol w:w="1247"/>
        <w:gridCol w:w="448"/>
        <w:gridCol w:w="1087"/>
        <w:gridCol w:w="234"/>
        <w:gridCol w:w="109"/>
        <w:gridCol w:w="109"/>
        <w:gridCol w:w="109"/>
        <w:gridCol w:w="437"/>
        <w:gridCol w:w="1059"/>
        <w:gridCol w:w="319"/>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employee benefits</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property taxes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taxes other than property</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6 - Long-Term Debt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0850"/>
                <wp:effectExtent l="0" t="0" r="0" b="0"/>
                <wp:wrapNone/>
                <wp:docPr id="78" name="Frame7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600"/>
        <w:jc w:val="left"/>
        <w:rPr/>
      </w:pPr>
      <w:r>
        <w:rPr/>
      </w:r>
    </w:p>
    <w:tbl>
      <w:tblPr>
        <w:tblW w:w="7435" w:type="dxa"/>
        <w:jc w:val="left"/>
        <w:tblInd w:w="0" w:type="dxa"/>
        <w:tblLayout w:type="fixed"/>
        <w:tblCellMar>
          <w:top w:w="28" w:type="dxa"/>
          <w:left w:w="28" w:type="dxa"/>
          <w:bottom w:w="28" w:type="dxa"/>
          <w:right w:w="28" w:type="dxa"/>
        </w:tblCellMar>
      </w:tblPr>
      <w:tblGrid>
        <w:gridCol w:w="1274"/>
        <w:gridCol w:w="1121"/>
        <w:gridCol w:w="1130"/>
        <w:gridCol w:w="397"/>
        <w:gridCol w:w="1165"/>
        <w:gridCol w:w="207"/>
        <w:gridCol w:w="109"/>
        <w:gridCol w:w="109"/>
        <w:gridCol w:w="109"/>
        <w:gridCol w:w="390"/>
        <w:gridCol w:w="1138"/>
        <w:gridCol w:w="286"/>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Senior Notes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ABL Facility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ABL Facility</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principal outstanding</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original issue discount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are fully and unconditionally guaranteed by each of the Company’s current subsidiaries. The 2030 Senior Notes will also be guaranteed by each of the Company’s future subsidiaries that guarantee the Company’s indebtedness or indebtedness of guarantors, including under the 2028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2028 ABL Facility on a first priority basis) and a second priority security interest on the guarantors’ assets which secure the 2028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0850"/>
                <wp:effectExtent l="0" t="0" r="0" b="0"/>
                <wp:wrapNone/>
                <wp:docPr id="79" name="Frame7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 As of December 31, 2025, the Company was in compliance with its debt covenants under the 2030 Senior Notes.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lineRule="auto" w:line="288" w:before="240" w:after="283"/>
        <w:jc w:val="both"/>
        <w:rPr/>
      </w:pPr>
      <w:r>
        <w:rPr>
          <w:rFonts w:ascii="Arial;sans-serif" w:hAnsi="Arial;sans-serif"/>
          <w:b w:val="false"/>
          <w:color w:val="000000"/>
          <w:sz w:val="20"/>
        </w:rPr>
        <w:t xml:space="preserve">As of December 31, 2025, the principal amount outstanding under the 2030 Senior Notes was $244.1. On a net basis, after taking into consideration unamortized debt issuance costs and original issue discount for the 2030 Senior Notes, total debt related to the 2030 Senior Notes as of December 31, 2025 was $222.3. The effective interest rate under the 2030 Senior Notes was approximately 12.3% on December 31, 2025. Accrued interest related to the 2030 Senior Notes was </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as of December 31,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previously-issued 2025 Senior Notes were redeemed on March 30, 2025 and the related indenture was satisfied and discharged.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2028 ABL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0850"/>
                <wp:effectExtent l="0" t="0" r="0" b="0"/>
                <wp:wrapNone/>
                <wp:docPr id="80" name="Frame8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7, 2025, the Company also entered into a Credit Agreement, dated as of March 7, 2025 (the “2028 ABL Facility”), with the Company, as borrower, Eclipse Business Capital LLC, as administrative agent, as collateral agent and as FILO administrative agent and the lenders party thereto. The 2028 ABL Facility is comprised of an asset-based revolving credit facility with a $125.0 commitment (the “Revolving Facility”), a first-in-last-out asset-based credit facility with a $10.0 commitment (the “FILO Facility”), and a committed incremental loan option under the Revolving Facility with a $25.0 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 over-advance provided on the initial funding date under the Revolving Facility. The 2028 ABL Facility is secured by, among other things, a first priority lien on accounts receivable and inventory and contains customary conditions precedent to borrowing and affirmative and negative covenants.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initial funding under the 2028 ABL Facility occurred on March 12, 2025, and the proceeds therefrom were used to repay the Prior ABL Facility in full. After giving effect to the foregoing, we had approximately $39.9 of available borrowing capacity under the 2028 ABL Facility. Our 2028 ABL Facility matures on March 7, 2028.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a springing financial covenant which requires the Company’s consolidated fixed charge coverage ratio to be at least 1.0 to 1.0 if availability under the Revolving Facility falls below $7.0.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 The 2028 ABL Facility contains certain other covenants (including the ability to incur indebtedness for the purpose of consummating permitted acquisitions, subject to the terms of the 2028 ABL Facility), events of default and other customary provisions. As of December 31, 2025, the Company was in compliance with its debt covenants under the 2028 ABL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December 31, 2025, the borrowings outstanding under the 2028 ABL Facility were $36.0. The effective interest rate under the 2028 ABL Facility was approximately 8.61% on December 31, 2025. Accrued interest related to the 2028 ABL Facility was $0.4 as of December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funds available under the 2028 ABL Facility of $50.6 on the December 2025 borrowing base certificate, which includes the undrawn availability on the FILO Facility.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2025, in connection with the completion of the Refinancing, the Prior ABL Facility was repaid in full using borrowings under the 2028 ABL Facility and the commitments thereunder terminated. As of December 31, 2024, $50.0 was outstanding under the Prior ABL Facility and the effective interest rate under the Prior ABL Facility was approximately 7.44%.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debt-related items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0850"/>
                <wp:effectExtent l="0" t="0" r="0" b="0"/>
                <wp:wrapNone/>
                <wp:docPr id="81" name="Frame8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standby letters of credit to facilitate commercial transactions with third parties and to secure our performance to certain vendors. Total letters of credit outstanding under the 2028 ABL Facility were $6.9 at December 31, 2025. To the extent liabilities are incurred as a result of the activities covered by the letters of credit, such liabilities are included on the accompanying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2025, the Company had $1.9 of outstanding short-term indebtedness related to the financing of various insurance premiums at a weighted average interest rate of approximately 6.77%.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7 - Leases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as part of its normal business operations, leases certain equipment, vehicles, manufacturing facilities, and office space under various operating and finance leases. We determine if an arrangement is or contains a lease at the lease inception date by evaluating whether the arrangement conveys the right to use an identified asset and whether the Company obtains substantially all of the economic benefits and has the ability to direct the use of the underlying asset. Leases with an initial term of twelve months or less meet the definition of a short-term lease and are not recorded on the balance sheet.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the lease commencement date, the Company recognized a lease liability and an ROU asset representing its right to use the underlying asset over the lease term. The initial measurement of the lease liability is calculated on the basis of the present value of the remaining lease payments and the ROU asset is measured on the basis of this liability, adjusted by prepaid and accrued rent, lease incentives, and initial direct costs. The subsequent measurement of a lease is dependent on whether the lease is classified as an operating lease or a finance lease. Operating lease cost is recognized on a straight-line basis over the lease term, with the cost presented as a component of the Selling, general and administrative expenses line item in the Consolidated Statement of Operations. Finance lease cost is comprised of a separate interest component and amortization component and is presented as a component of the Interest expense, net and Depreciation and amortization line items, respectively, in the Consolidated Statement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ASU 2016-02, Leases (Topic 842), requires that a lessee use the rate implicit in the lease when measuring the lease liability and ROU asset, when available. Alternatively,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We estimate our incremental borrowing rate to discount the lease payments at the lease commencement date based on credit adjusted interest rates available to us over the lease 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does not have any material leases that have not yet commenced that would create significant rights and obligations, nor does it have any material leases with related parties. Additionally, the Company’s leases do not impose any restrictions or covenants on us. Short-term lease expense is not material for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6791" w:type="dxa"/>
        <w:jc w:val="left"/>
        <w:tblInd w:w="0" w:type="dxa"/>
        <w:tblLayout w:type="fixed"/>
        <w:tblCellMar>
          <w:top w:w="28" w:type="dxa"/>
          <w:left w:w="28" w:type="dxa"/>
          <w:bottom w:w="28" w:type="dxa"/>
          <w:right w:w="28" w:type="dxa"/>
        </w:tblCellMar>
      </w:tblPr>
      <w:tblGrid>
        <w:gridCol w:w="1043"/>
        <w:gridCol w:w="915"/>
        <w:gridCol w:w="922"/>
        <w:gridCol w:w="448"/>
        <w:gridCol w:w="1087"/>
        <w:gridCol w:w="234"/>
        <w:gridCol w:w="109"/>
        <w:gridCol w:w="109"/>
        <w:gridCol w:w="109"/>
        <w:gridCol w:w="437"/>
        <w:gridCol w:w="1059"/>
        <w:gridCol w:w="319"/>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fixed cost</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fixed cost</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finance lease liabilities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variable cost</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cost</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0850"/>
                <wp:effectExtent l="0" t="0" r="0" b="0"/>
                <wp:wrapNone/>
                <wp:docPr id="82" name="Frame8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was as follows:</w:t>
      </w:r>
    </w:p>
    <w:tbl>
      <w:tblPr>
        <w:tblW w:w="10060" w:type="dxa"/>
        <w:jc w:val="left"/>
        <w:tblInd w:w="0" w:type="dxa"/>
        <w:tblLayout w:type="fixed"/>
        <w:tblCellMar>
          <w:top w:w="28" w:type="dxa"/>
          <w:left w:w="28" w:type="dxa"/>
          <w:bottom w:w="28" w:type="dxa"/>
          <w:right w:w="28" w:type="dxa"/>
        </w:tblCellMar>
      </w:tblPr>
      <w:tblGrid>
        <w:gridCol w:w="2225"/>
        <w:gridCol w:w="1960"/>
        <w:gridCol w:w="1964"/>
        <w:gridCol w:w="514"/>
        <w:gridCol w:w="989"/>
        <w:gridCol w:w="267"/>
        <w:gridCol w:w="109"/>
        <w:gridCol w:w="109"/>
        <w:gridCol w:w="109"/>
        <w:gridCol w:w="495"/>
        <w:gridCol w:w="955"/>
        <w:gridCol w:w="364"/>
      </w:tblGrid>
      <w:tr>
        <w:trPr/>
        <w:tc>
          <w:tcPr>
            <w:tcW w:w="222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paid for amounts included in the measurement of lease liabilities:</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for operating leases</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for finance leases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flows for finance leases</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ROU assets obtained in exchange for lease obligations: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balance sheet information related to leases was as follows:</w:t>
      </w:r>
    </w:p>
    <w:tbl>
      <w:tblPr>
        <w:tblW w:w="7631" w:type="dxa"/>
        <w:jc w:val="left"/>
        <w:tblInd w:w="0" w:type="dxa"/>
        <w:tblLayout w:type="fixed"/>
        <w:tblCellMar>
          <w:top w:w="28" w:type="dxa"/>
          <w:left w:w="28" w:type="dxa"/>
          <w:bottom w:w="28" w:type="dxa"/>
          <w:right w:w="28" w:type="dxa"/>
        </w:tblCellMar>
      </w:tblPr>
      <w:tblGrid>
        <w:gridCol w:w="1348"/>
        <w:gridCol w:w="1184"/>
        <w:gridCol w:w="1188"/>
        <w:gridCol w:w="374"/>
        <w:gridCol w:w="910"/>
        <w:gridCol w:w="485"/>
        <w:gridCol w:w="109"/>
        <w:gridCol w:w="109"/>
        <w:gridCol w:w="109"/>
        <w:gridCol w:w="368"/>
        <w:gridCol w:w="893"/>
        <w:gridCol w:w="5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Leases</w:t>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lease liabilities</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Finance Leases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finance lease assets</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liabilities</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finance lease liabilities</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Remaining Lease Term</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Operating leases </w:t>
            </w:r>
            <w:r>
              <w:rPr>
                <w:rFonts w:ascii="Arial;sans-serif" w:hAnsi="Arial;sans-serif"/>
                <w:b w:val="false"/>
                <w:i/>
                <w:color w:val="000000"/>
                <w:sz w:val="18"/>
              </w:rPr>
              <w:t>(in years)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Finance leases</w:t>
            </w:r>
            <w:r>
              <w:rPr>
                <w:color w:val="000000"/>
              </w:rPr>
              <w:t xml:space="preserve"> </w:t>
            </w:r>
            <w:r>
              <w:rPr>
                <w:rFonts w:ascii="Arial;sans-serif" w:hAnsi="Arial;sans-serif"/>
                <w:b w:val="false"/>
                <w:i/>
                <w:color w:val="000000"/>
                <w:sz w:val="18"/>
              </w:rPr>
              <w:t>(in years)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Discount Rate</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Maturities of lease liabilities were as follows:</w:t>
      </w:r>
    </w:p>
    <w:tbl>
      <w:tblPr>
        <w:tblW w:w="5935" w:type="dxa"/>
        <w:jc w:val="left"/>
        <w:tblInd w:w="0" w:type="dxa"/>
        <w:tblLayout w:type="fixed"/>
        <w:tblCellMar>
          <w:top w:w="28" w:type="dxa"/>
          <w:left w:w="28" w:type="dxa"/>
          <w:bottom w:w="28" w:type="dxa"/>
          <w:right w:w="28" w:type="dxa"/>
        </w:tblCellMar>
      </w:tblPr>
      <w:tblGrid>
        <w:gridCol w:w="902"/>
        <w:gridCol w:w="792"/>
        <w:gridCol w:w="795"/>
        <w:gridCol w:w="411"/>
        <w:gridCol w:w="995"/>
        <w:gridCol w:w="214"/>
        <w:gridCol w:w="109"/>
        <w:gridCol w:w="109"/>
        <w:gridCol w:w="109"/>
        <w:gridCol w:w="361"/>
        <w:gridCol w:w="875"/>
        <w:gridCol w:w="263"/>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Years ending December 31,</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lease payments </w:t>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Less: imputed interest </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0850"/>
                <wp:effectExtent l="0" t="0" r="0" b="0"/>
                <wp:wrapNone/>
                <wp:docPr id="83" name="Frame8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60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8 - Fair Value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ind w:left="0" w:right="0" w:hanging="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$36.0 debt outstanding under the 2028 ABL Facility as of December 31, 2025 and $50.0 debt outstanding under the Prior ABL Facility as of December 31, 2024. The fair value of each the 2028 ABL Facility and the Prior ABL Facility approximates each of their respective carrying values as of year-end.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present the placement in the fair value hierarchy of the 2025 Senior Notes, based on market prices for publicly traded debt, as of December 31, 2025 and December 31, 2024: </w:t>
      </w:r>
    </w:p>
    <w:p>
      <w:pPr>
        <w:pStyle w:val="TextBody"/>
        <w:bidi w:val="0"/>
        <w:spacing w:before="0" w:after="0"/>
        <w:jc w:val="both"/>
        <w:rPr/>
      </w:pPr>
      <w:r>
        <w:rPr/>
      </w:r>
    </w:p>
    <w:tbl>
      <w:tblPr>
        <w:tblW w:w="8048" w:type="dxa"/>
        <w:jc w:val="left"/>
        <w:tblInd w:w="0" w:type="dxa"/>
        <w:tblLayout w:type="fixed"/>
        <w:tblCellMar>
          <w:top w:w="28" w:type="dxa"/>
          <w:left w:w="28" w:type="dxa"/>
          <w:bottom w:w="28" w:type="dxa"/>
          <w:right w:w="28" w:type="dxa"/>
        </w:tblCellMar>
      </w:tblPr>
      <w:tblGrid>
        <w:gridCol w:w="596"/>
        <w:gridCol w:w="524"/>
        <w:gridCol w:w="529"/>
        <w:gridCol w:w="397"/>
        <w:gridCol w:w="1165"/>
        <w:gridCol w:w="207"/>
        <w:gridCol w:w="109"/>
        <w:gridCol w:w="109"/>
        <w:gridCol w:w="109"/>
        <w:gridCol w:w="294"/>
        <w:gridCol w:w="566"/>
        <w:gridCol w:w="152"/>
        <w:gridCol w:w="152"/>
        <w:gridCol w:w="152"/>
        <w:gridCol w:w="152"/>
        <w:gridCol w:w="294"/>
        <w:gridCol w:w="566"/>
        <w:gridCol w:w="152"/>
        <w:gridCol w:w="152"/>
        <w:gridCol w:w="152"/>
        <w:gridCol w:w="152"/>
        <w:gridCol w:w="294"/>
        <w:gridCol w:w="859"/>
        <w:gridCol w:w="21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Notes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048" w:type="dxa"/>
        <w:jc w:val="left"/>
        <w:tblInd w:w="0" w:type="dxa"/>
        <w:tblLayout w:type="fixed"/>
        <w:tblCellMar>
          <w:top w:w="28" w:type="dxa"/>
          <w:left w:w="28" w:type="dxa"/>
          <w:bottom w:w="28" w:type="dxa"/>
          <w:right w:w="28" w:type="dxa"/>
        </w:tblCellMar>
      </w:tblPr>
      <w:tblGrid>
        <w:gridCol w:w="596"/>
        <w:gridCol w:w="524"/>
        <w:gridCol w:w="529"/>
        <w:gridCol w:w="397"/>
        <w:gridCol w:w="1165"/>
        <w:gridCol w:w="207"/>
        <w:gridCol w:w="109"/>
        <w:gridCol w:w="109"/>
        <w:gridCol w:w="109"/>
        <w:gridCol w:w="294"/>
        <w:gridCol w:w="566"/>
        <w:gridCol w:w="152"/>
        <w:gridCol w:w="152"/>
        <w:gridCol w:w="152"/>
        <w:gridCol w:w="152"/>
        <w:gridCol w:w="294"/>
        <w:gridCol w:w="859"/>
        <w:gridCol w:w="152"/>
        <w:gridCol w:w="152"/>
        <w:gridCol w:w="152"/>
        <w:gridCol w:w="152"/>
        <w:gridCol w:w="294"/>
        <w:gridCol w:w="566"/>
        <w:gridCol w:w="21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Senior Notes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Notes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4, based on sales contracts and comparative price quotes, as of December 31, 2025 and December 31, 2024:</w:t>
      </w:r>
    </w:p>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0850"/>
                <wp:effectExtent l="0" t="0" r="0" b="0"/>
                <wp:wrapNone/>
                <wp:docPr id="84" name="Frame8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600"/>
        <w:jc w:val="left"/>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years ended December 31, 2025 and December 31, 2024, there was $0.2 and no before-tax loss related to Assets Held for Sale,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9 - Commitments, Contingencies and Off-Balance Sheet Arrangements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otherwise noted in Item 3 Legal Proceedings.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consolidated financial statements. Accordingly, no significant amounts have been accrued for indemnities, commitments and guarantees.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 Employee Retirement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sponsors a qualified, defined contribution savings and investment plan, covering substantially all employees. The KLX Energy Services Holdings, Inc. Retirement Plan (“401(k) Plan”) was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0850"/>
                <wp:effectExtent l="0" t="0" r="0" b="0"/>
                <wp:wrapNone/>
                <wp:docPr id="85" name="Frame8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Section 401(k) of the Internal Revenue Code. Under the terms of this plan, covered employees may contribute up to 100% of their annual compensation, limited to certain statutory maximum contributions. Participants would vest in discretionary matching contributions in an amount equal to 50% of the first 6% of an employee’s eligible compensation that is contributed to the 401(k) Plan based on a 3-year vesting schedule. Total expense for the Plan was $3.2 and $3.4 for the years ended December 31, 2025 and December 31, 2024,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Equity and 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as amended to date, may be made in any transactions that are deemed to be “at the market offerings” as defined in Rule 415 under the Securities Act. As of the filing of this Annual Report, the Company is subject to the General Instruction I.B.6 to Form S-3, known as the “baby shelf” rule, which limits the amount of securities we can sell under the Registration Statement in any 12-month period.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twelve months ended December 31, 2025, the Company sold — and 167,769 shares of Common Stock, respectively, in exchange for gross proceeds of $— and $0.6, respectively, and incurred legal and administrative fees of $— and $0.3, respectively. During the three and twelve months ended December 31, 2024, the Company did not sell any shares of Common Stock and incurred legal and administrative fees of $0.3 and $0.5,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a Long-Term Incentive Plan (“LTIP”) under which the Compensation Committee has the authority to grant stock options, stock appreciation rights, restricted stock, restricted stock units or other forms of equity-based or equity-related awards. Compensation cost for the LTIP grants is generally recorded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0850"/>
                <wp:effectExtent l="0" t="0" r="0" b="0"/>
                <wp:wrapNone/>
                <wp:docPr id="86" name="Frame8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 amendment to the LTIP was approved by stockholders on May 10, 2023 to, among other things, increase the total number of shares of Common Stock for issuance by 1,200,000 shares, resulting in an increase of the total number of shares of our Common Stock reserved for issuance to 1,256,289, and extend the expiration date to March 8, 2033.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Stock-based compensation cost recognized during the years ended December 31, 2025 and December 31, 2024 related to grants of restricted stock granted by or approved by the Compensation Committee. Stock-based compensation was $2.6 and $3.9 for the years ended December 31, 2025 and December 31, 2024, respectively. Unrecognized compensation cost related to restricted stock awards made by the Company was $3.0 at December 31, 2025 and $3.9 at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shares of restricted stock awards that were granted, vested, forfeited and outstanding:</w:t>
      </w:r>
    </w:p>
    <w:tbl>
      <w:tblPr>
        <w:tblW w:w="11302" w:type="dxa"/>
        <w:jc w:val="center"/>
        <w:tblInd w:w="0" w:type="dxa"/>
        <w:tblLayout w:type="fixed"/>
        <w:tblCellMar>
          <w:top w:w="28" w:type="dxa"/>
          <w:left w:w="28" w:type="dxa"/>
          <w:bottom w:w="28" w:type="dxa"/>
          <w:right w:w="28" w:type="dxa"/>
        </w:tblCellMar>
      </w:tblPr>
      <w:tblGrid>
        <w:gridCol w:w="599"/>
        <w:gridCol w:w="368"/>
        <w:gridCol w:w="369"/>
        <w:gridCol w:w="405"/>
        <w:gridCol w:w="405"/>
        <w:gridCol w:w="406"/>
        <w:gridCol w:w="109"/>
        <w:gridCol w:w="109"/>
        <w:gridCol w:w="109"/>
        <w:gridCol w:w="339"/>
        <w:gridCol w:w="821"/>
        <w:gridCol w:w="176"/>
        <w:gridCol w:w="109"/>
        <w:gridCol w:w="109"/>
        <w:gridCol w:w="109"/>
        <w:gridCol w:w="530"/>
        <w:gridCol w:w="530"/>
        <w:gridCol w:w="531"/>
        <w:gridCol w:w="109"/>
        <w:gridCol w:w="109"/>
        <w:gridCol w:w="109"/>
        <w:gridCol w:w="405"/>
        <w:gridCol w:w="405"/>
        <w:gridCol w:w="406"/>
        <w:gridCol w:w="109"/>
        <w:gridCol w:w="109"/>
        <w:gridCol w:w="109"/>
        <w:gridCol w:w="301"/>
        <w:gridCol w:w="879"/>
        <w:gridCol w:w="156"/>
        <w:gridCol w:w="109"/>
        <w:gridCol w:w="109"/>
        <w:gridCol w:w="109"/>
        <w:gridCol w:w="479"/>
        <w:gridCol w:w="479"/>
        <w:gridCol w:w="678"/>
      </w:tblGrid>
      <w:tr>
        <w:trPr/>
        <w:tc>
          <w:tcPr>
            <w:tcW w:w="5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2024</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w:t>
              <w:br/>
              <w:t>Shares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w:t>
              <w:br/>
              <w:t>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 vesting Period</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w:t>
              <w:br/>
              <w:t>Shares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w:t>
              <w:br/>
              <w:t>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 vesting Period</w:t>
              <w:br/>
              <w:t>(in years)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beginning of period</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forfeited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Outstanding, end of period</w:t>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 subject to taxation only in the United States and various U.S. states.</w:t>
      </w:r>
    </w:p>
    <w:p>
      <w:pPr>
        <w:pStyle w:val="TextBody"/>
        <w:bidi w:val="0"/>
        <w:spacing w:before="0" w:after="0"/>
        <w:jc w:val="left"/>
        <w:rPr/>
      </w:pPr>
      <w:r>
        <w:rPr/>
      </w:r>
    </w:p>
    <w:tbl>
      <w:tblPr>
        <w:tblW w:w="6518" w:type="dxa"/>
        <w:jc w:val="left"/>
        <w:tblInd w:w="0" w:type="dxa"/>
        <w:tblLayout w:type="fixed"/>
        <w:tblCellMar>
          <w:top w:w="28" w:type="dxa"/>
          <w:left w:w="28" w:type="dxa"/>
          <w:bottom w:w="28" w:type="dxa"/>
          <w:right w:w="28" w:type="dxa"/>
        </w:tblCellMar>
      </w:tblPr>
      <w:tblGrid>
        <w:gridCol w:w="825"/>
        <w:gridCol w:w="724"/>
        <w:gridCol w:w="730"/>
        <w:gridCol w:w="109"/>
        <w:gridCol w:w="109"/>
        <w:gridCol w:w="109"/>
        <w:gridCol w:w="440"/>
        <w:gridCol w:w="1100"/>
        <w:gridCol w:w="230"/>
        <w:gridCol w:w="109"/>
        <w:gridCol w:w="109"/>
        <w:gridCol w:w="109"/>
        <w:gridCol w:w="428"/>
        <w:gridCol w:w="1071"/>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consisted of the following:</w:t>
      </w:r>
    </w:p>
    <w:tbl>
      <w:tblPr>
        <w:tblW w:w="7637" w:type="dxa"/>
        <w:jc w:val="center"/>
        <w:tblInd w:w="0" w:type="dxa"/>
        <w:tblLayout w:type="fixed"/>
        <w:tblCellMar>
          <w:top w:w="28" w:type="dxa"/>
          <w:left w:w="28" w:type="dxa"/>
          <w:bottom w:w="28" w:type="dxa"/>
          <w:right w:w="28" w:type="dxa"/>
        </w:tblCellMar>
      </w:tblPr>
      <w:tblGrid>
        <w:gridCol w:w="1151"/>
        <w:gridCol w:w="1011"/>
        <w:gridCol w:w="1018"/>
        <w:gridCol w:w="109"/>
        <w:gridCol w:w="109"/>
        <w:gridCol w:w="109"/>
        <w:gridCol w:w="514"/>
        <w:gridCol w:w="989"/>
        <w:gridCol w:w="267"/>
        <w:gridCol w:w="109"/>
        <w:gridCol w:w="109"/>
        <w:gridCol w:w="109"/>
        <w:gridCol w:w="503"/>
        <w:gridCol w:w="1005"/>
        <w:gridCol w:w="262"/>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deferred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income tax expense using the federal statutory income tax rate of 21% to the actual income tax consists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0850"/>
                <wp:effectExtent l="0" t="0" r="0" b="0"/>
                <wp:wrapNone/>
                <wp:docPr id="87" name="Frame8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600"/>
        <w:jc w:val="left"/>
        <w:rPr/>
      </w:pPr>
      <w:r>
        <w:rPr/>
      </w:r>
    </w:p>
    <w:tbl>
      <w:tblPr>
        <w:tblW w:w="9272" w:type="dxa"/>
        <w:jc w:val="left"/>
        <w:tblInd w:w="0" w:type="dxa"/>
        <w:tblLayout w:type="fixed"/>
        <w:tblCellMar>
          <w:top w:w="28" w:type="dxa"/>
          <w:left w:w="28" w:type="dxa"/>
          <w:bottom w:w="28" w:type="dxa"/>
          <w:right w:w="28" w:type="dxa"/>
        </w:tblCellMar>
      </w:tblPr>
      <w:tblGrid>
        <w:gridCol w:w="1574"/>
        <w:gridCol w:w="1385"/>
        <w:gridCol w:w="1391"/>
        <w:gridCol w:w="267"/>
        <w:gridCol w:w="743"/>
        <w:gridCol w:w="138"/>
        <w:gridCol w:w="291"/>
        <w:gridCol w:w="294"/>
        <w:gridCol w:w="433"/>
        <w:gridCol w:w="109"/>
        <w:gridCol w:w="109"/>
        <w:gridCol w:w="109"/>
        <w:gridCol w:w="267"/>
        <w:gridCol w:w="743"/>
        <w:gridCol w:w="138"/>
        <w:gridCol w:w="291"/>
        <w:gridCol w:w="294"/>
        <w:gridCol w:w="433"/>
        <w:gridCol w:w="109"/>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tax (benefit) expense at statutory rate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State income taxes, net of federal tax benefit</w:t>
            </w:r>
            <w:r>
              <w:rPr>
                <w:rFonts w:ascii="Arial;sans-serif" w:hAnsi="Arial;sans-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Nontaxable or nondeductible items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Stock based compensation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Meals and entertainment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Officer compensation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Adjustments to prior year tax accruals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income tax expense and effective tax rate</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State taxes in Texas made up the majority (greater than 50%) of the tax effect in this category.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$0.8 for the year ended December 31, 2025, which reflects an effective tax rate of approximately (1.0)%. For the fiscal year ended December 31, 2025, the Company recognized current state tax expense of $0.5 on its year-to-date income, plus deferred state tax expense of $0.3, primarily related to Texas franchise tax. For the fiscal year ended December 31, 2024, the Company recognized current state tax expense of $0.9 on its year-to-date income, primarily related to Texas franchise tax, less a federal tax adjustment of ($0.3) to the prior year accrual, which reflects an effective tax rate of approximately (1.1)%.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tax effects of temporary differences and carryforwards that give rise to deferred income tax assets and liabilities consisted of the following:</w:t>
      </w:r>
    </w:p>
    <w:tbl>
      <w:tblPr>
        <w:tblW w:w="8283" w:type="dxa"/>
        <w:jc w:val="left"/>
        <w:tblInd w:w="0" w:type="dxa"/>
        <w:tblLayout w:type="fixed"/>
        <w:tblCellMar>
          <w:top w:w="28" w:type="dxa"/>
          <w:left w:w="28" w:type="dxa"/>
          <w:bottom w:w="28" w:type="dxa"/>
          <w:right w:w="28" w:type="dxa"/>
        </w:tblCellMar>
      </w:tblPr>
      <w:tblGrid>
        <w:gridCol w:w="1503"/>
        <w:gridCol w:w="1324"/>
        <w:gridCol w:w="1328"/>
        <w:gridCol w:w="397"/>
        <w:gridCol w:w="1165"/>
        <w:gridCol w:w="207"/>
        <w:gridCol w:w="109"/>
        <w:gridCol w:w="109"/>
        <w:gridCol w:w="109"/>
        <w:gridCol w:w="397"/>
        <w:gridCol w:w="1165"/>
        <w:gridCol w:w="207"/>
        <w:gridCol w:w="109"/>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Intangible assets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operating loss carryforward</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 liabilities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 limitation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tax asset before valuation allowance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tax asset (liability)</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assesses the available positive and negative evidence to estimate whether sufficient future taxable income will be generated to permit use of the existing deferred tax assets. A significant piece of objective negative evidence evaluated was the cumulative loss that existed for the three-year period ended December 31, 2025. Such objective evidence limits the ability to consider other subjective evidence, such as our projections for future growth.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the basis of this evaluation, as of December 31, 2025 and December 31, 2024, a valuation allowance of $280.3 and $265.2 has been recorded, respectively, to recognize only the portion of the deferred tax assets that are more likely than not to be realized. The amount of the deferred tax assets considered realizable,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50850"/>
                <wp:effectExtent l="0" t="0" r="0" b="0"/>
                <wp:wrapNone/>
                <wp:docPr id="88" name="Frame8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however, could be adjusted if additional objectively verifiable positive evidence materializes in future reporting periods, such as a demonstrated operating profitability. The change in the valuation allowance from December 31, 2024 was a net increase of $15.1, which is primarily due to the current year operating loss. The valuation allowance recorded is exclusive of the deferred tax liability $0.2 relating to the Texas franchise tax.</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Internal Revenue Code (“IRC”) Section 382 provides an annual limitation with respect to the ability of a corporation to utilize its net operating loss and other tax attributes, as well as certain built-in-losses, against future U.S. taxable income in the event of a change in ownership. The Company had an ownership change during 2020. As a result, the Company's pre-ownership change net operating loss carryforwards and recognized built-in-losses are subject to an annual limitation, which will significantly restrict its ability to use the net operating losses and recognized built-in-losses to offset taxable income in periods following the ownership change. The Company is limited to an approximate $0.5 annual limitation on its pre-change net operating loss carryforwards and recognized built-in-losses.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on July 28, 2020, the Company completed the all stock QES Merger, in which QES became a wholly owned subsidiary of the Company. The QES Merger resulted in an ownership change under IRC Section 382 of the historical QES net operating losses and other tax attributes. QES's pre-merger net operating losses and other tax attributes are subject to an annual limitation of $0.3.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 federal net operating loss carryforwards of $972.9 and $840.2, for the fiscal years ended December 31, 2025 and December 31, 2024, respectively. Of these net operating losses, $763.2 is subject to an IRC Section 382 limitation, excluding $12.1 that will expire between 2029 and 2037 that the Company believes will not be utilized. The Company also has state net operating loss carryforwards of $312.4 for the fiscal year ended December 31, 2025, and $269.3 for the fiscal year ended December 31, 2024, which begin to expire for tax years ending in 2028. The Company's ability to utilize the state net operating loss carryforwards may be limited according to state law and conformity to the IRC Section 382 limitation.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recognizes the tax benefit from an uncertain tax position only if it is more likely than not that the tax position will be sustained on examination by the taxing authorities, based not only on the technical merits of the tax position based on tax law, but also the past administrative practices and precedents of the taxing authority. The tax benefits recognized in the financial statements from such a position are measured based on the largest benefit that has a greater than 50% likelihood of being realized upon ultimate resolution. The Company had no unrecognized tax benefits for the years ended December 31, 2025 and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taxation in the United States and various states. Tax years that remain subject to examinations by major tax jurisdictions are generally open for tax years beginning in 2021 and after.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taxes paid, net of refunds received, consisted of the following:</w:t>
      </w:r>
    </w:p>
    <w:p>
      <w:pPr>
        <w:pStyle w:val="TextBody"/>
        <w:bidi w:val="0"/>
        <w:spacing w:before="0" w:after="0"/>
        <w:jc w:val="center"/>
        <w:rPr/>
      </w:pPr>
      <w:r>
        <w:rPr/>
      </w:r>
    </w:p>
    <w:tbl>
      <w:tblPr>
        <w:tblW w:w="7216" w:type="dxa"/>
        <w:jc w:val="center"/>
        <w:tblInd w:w="0" w:type="dxa"/>
        <w:tblLayout w:type="fixed"/>
        <w:tblCellMar>
          <w:top w:w="28" w:type="dxa"/>
          <w:left w:w="28" w:type="dxa"/>
          <w:bottom w:w="28" w:type="dxa"/>
          <w:right w:w="28" w:type="dxa"/>
        </w:tblCellMar>
      </w:tblPr>
      <w:tblGrid>
        <w:gridCol w:w="998"/>
        <w:gridCol w:w="875"/>
        <w:gridCol w:w="886"/>
        <w:gridCol w:w="109"/>
        <w:gridCol w:w="109"/>
        <w:gridCol w:w="109"/>
        <w:gridCol w:w="514"/>
        <w:gridCol w:w="989"/>
        <w:gridCol w:w="267"/>
        <w:gridCol w:w="109"/>
        <w:gridCol w:w="109"/>
        <w:gridCol w:w="109"/>
        <w:gridCol w:w="514"/>
        <w:gridCol w:w="989"/>
        <w:gridCol w:w="267"/>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income taxes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0850"/>
                <wp:effectExtent l="0" t="0" r="0" b="0"/>
                <wp:wrapNone/>
                <wp:docPr id="89" name="Frame8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Company’s segments report operating results and capital or acquisition funding requests to the Chief Operating Decision Maker (“CODM”), the Chief Executive Officer. The CODM evaluates each segment’s performance based on segment operating income (loss) relative to budget and historical results. These evaluations are used to allocate resources and determine capital expenditures and management compensation for each segment. Accordingly, the Company has three reportable segments.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revenues, significant expenses and operating income (loss) by reportable segment:</w:t>
      </w:r>
    </w:p>
    <w:tbl>
      <w:tblPr>
        <w:tblW w:w="10205" w:type="dxa"/>
        <w:jc w:val="left"/>
        <w:tblInd w:w="0" w:type="dxa"/>
        <w:tblLayout w:type="fixed"/>
        <w:tblCellMar>
          <w:top w:w="28" w:type="dxa"/>
          <w:left w:w="28" w:type="dxa"/>
          <w:bottom w:w="28" w:type="dxa"/>
          <w:right w:w="28" w:type="dxa"/>
        </w:tblCellMar>
      </w:tblPr>
      <w:tblGrid>
        <w:gridCol w:w="1312"/>
        <w:gridCol w:w="1150"/>
        <w:gridCol w:w="1156"/>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316"/>
        <w:gridCol w:w="631"/>
        <w:gridCol w:w="164"/>
        <w:gridCol w:w="109"/>
        <w:gridCol w:w="109"/>
        <w:gridCol w:w="109"/>
        <w:gridCol w:w="211"/>
        <w:gridCol w:w="616"/>
        <w:gridCol w:w="156"/>
      </w:tblGrid>
      <w:tr>
        <w:trPr/>
        <w:tc>
          <w:tcPr>
            <w:tcW w:w="131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7"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Selling, general and administrative</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corporate expenses</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the twelve months ended December 31, 2025, these consist of $3.2 of cost of sales, $2.3 of depreciation and amortization, $28.9 of selling, general and administrative, and $1.7 of other segment items.</w:t>
      </w:r>
    </w:p>
    <w:tbl>
      <w:tblPr>
        <w:tblW w:w="10205" w:type="dxa"/>
        <w:jc w:val="left"/>
        <w:tblInd w:w="0" w:type="dxa"/>
        <w:tblLayout w:type="fixed"/>
        <w:tblCellMar>
          <w:top w:w="28" w:type="dxa"/>
          <w:left w:w="28" w:type="dxa"/>
          <w:bottom w:w="28" w:type="dxa"/>
          <w:right w:w="28" w:type="dxa"/>
        </w:tblCellMar>
      </w:tblPr>
      <w:tblGrid>
        <w:gridCol w:w="1310"/>
        <w:gridCol w:w="1151"/>
        <w:gridCol w:w="1157"/>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316"/>
        <w:gridCol w:w="631"/>
        <w:gridCol w:w="164"/>
        <w:gridCol w:w="109"/>
        <w:gridCol w:w="109"/>
        <w:gridCol w:w="109"/>
        <w:gridCol w:w="211"/>
        <w:gridCol w:w="616"/>
        <w:gridCol w:w="156"/>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7"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Selling, general and administrative</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corporate expenses</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0850"/>
                <wp:effectExtent l="0" t="0" r="0" b="0"/>
                <wp:wrapNone/>
                <wp:docPr id="90" name="Frame9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the twelve months ended December 31, 2024, these consist of $4.0 of cost of sales, $1.8 of depreciation and amortization, $38.0 of selling, general and administrative, and $1.5 of other segment items.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segment items include research and development costs, allocations and other expenses.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revenues by service offering by reportable segment:</w:t>
      </w:r>
    </w:p>
    <w:tbl>
      <w:tblPr>
        <w:tblW w:w="7919" w:type="dxa"/>
        <w:jc w:val="left"/>
        <w:tblInd w:w="0" w:type="dxa"/>
        <w:tblLayout w:type="fixed"/>
        <w:tblCellMar>
          <w:top w:w="28" w:type="dxa"/>
          <w:left w:w="28" w:type="dxa"/>
          <w:bottom w:w="28" w:type="dxa"/>
          <w:right w:w="28" w:type="dxa"/>
        </w:tblCellMar>
      </w:tblPr>
      <w:tblGrid>
        <w:gridCol w:w="482"/>
        <w:gridCol w:w="423"/>
        <w:gridCol w:w="429"/>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316"/>
        <w:gridCol w:w="631"/>
        <w:gridCol w:w="164"/>
        <w:gridCol w:w="109"/>
        <w:gridCol w:w="109"/>
        <w:gridCol w:w="109"/>
        <w:gridCol w:w="211"/>
        <w:gridCol w:w="61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Production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Intervention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919" w:type="dxa"/>
        <w:jc w:val="left"/>
        <w:tblInd w:w="0" w:type="dxa"/>
        <w:tblLayout w:type="fixed"/>
        <w:tblCellMar>
          <w:top w:w="28" w:type="dxa"/>
          <w:left w:w="28" w:type="dxa"/>
          <w:bottom w:w="28" w:type="dxa"/>
          <w:right w:w="28" w:type="dxa"/>
        </w:tblCellMar>
      </w:tblPr>
      <w:tblGrid>
        <w:gridCol w:w="482"/>
        <w:gridCol w:w="423"/>
        <w:gridCol w:w="429"/>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316"/>
        <w:gridCol w:w="631"/>
        <w:gridCol w:w="164"/>
        <w:gridCol w:w="109"/>
        <w:gridCol w:w="109"/>
        <w:gridCol w:w="109"/>
        <w:gridCol w:w="211"/>
        <w:gridCol w:w="61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Production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Intervention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6415" w:type="dxa"/>
        <w:jc w:val="left"/>
        <w:tblInd w:w="0" w:type="dxa"/>
        <w:tblLayout w:type="fixed"/>
        <w:tblCellMar>
          <w:top w:w="28" w:type="dxa"/>
          <w:left w:w="28" w:type="dxa"/>
          <w:bottom w:w="28" w:type="dxa"/>
          <w:right w:w="28" w:type="dxa"/>
        </w:tblCellMar>
      </w:tblPr>
      <w:tblGrid>
        <w:gridCol w:w="906"/>
        <w:gridCol w:w="798"/>
        <w:gridCol w:w="801"/>
        <w:gridCol w:w="397"/>
        <w:gridCol w:w="1165"/>
        <w:gridCol w:w="207"/>
        <w:gridCol w:w="109"/>
        <w:gridCol w:w="109"/>
        <w:gridCol w:w="109"/>
        <w:gridCol w:w="390"/>
        <w:gridCol w:w="1138"/>
        <w:gridCol w:w="286"/>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corporate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7540" w:type="dxa"/>
        <w:jc w:val="left"/>
        <w:tblInd w:w="0" w:type="dxa"/>
        <w:tblLayout w:type="fixed"/>
        <w:tblCellMar>
          <w:top w:w="28" w:type="dxa"/>
          <w:left w:w="28" w:type="dxa"/>
          <w:bottom w:w="28" w:type="dxa"/>
          <w:right w:w="28" w:type="dxa"/>
        </w:tblCellMar>
      </w:tblPr>
      <w:tblGrid>
        <w:gridCol w:w="1313"/>
        <w:gridCol w:w="1156"/>
        <w:gridCol w:w="1160"/>
        <w:gridCol w:w="448"/>
        <w:gridCol w:w="1087"/>
        <w:gridCol w:w="234"/>
        <w:gridCol w:w="109"/>
        <w:gridCol w:w="109"/>
        <w:gridCol w:w="109"/>
        <w:gridCol w:w="437"/>
        <w:gridCol w:w="1059"/>
        <w:gridCol w:w="319"/>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corporate capital expenditures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 Net Loss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common share is computed using the weighted average common shares outstanding during the period. Diluted net loss per common share is computed by using the weighted average common shares outstanding, excluding unvested restricted shares when their inclusion would be anti-dilutive. For the years ended December 31, 2025 and December 31, 2024, we excluded 0.7 and 0.4 million shares of the Company’s Common Stock, respectively. The computations of basic and diluted net loss per share for the years ended December 31, 2025 and December 31,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0850"/>
                <wp:effectExtent l="0" t="0" r="0" b="0"/>
                <wp:wrapNone/>
                <wp:docPr id="91" name="Frame9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600"/>
        <w:jc w:val="left"/>
        <w:rPr/>
      </w:pPr>
      <w:r>
        <w:rPr/>
      </w:r>
    </w:p>
    <w:tbl>
      <w:tblPr>
        <w:tblW w:w="8018" w:type="dxa"/>
        <w:jc w:val="left"/>
        <w:tblInd w:w="0" w:type="dxa"/>
        <w:tblLayout w:type="fixed"/>
        <w:tblCellMar>
          <w:top w:w="28" w:type="dxa"/>
          <w:left w:w="28" w:type="dxa"/>
          <w:bottom w:w="28" w:type="dxa"/>
          <w:right w:w="28" w:type="dxa"/>
        </w:tblCellMar>
      </w:tblPr>
      <w:tblGrid>
        <w:gridCol w:w="1367"/>
        <w:gridCol w:w="1197"/>
        <w:gridCol w:w="1215"/>
        <w:gridCol w:w="109"/>
        <w:gridCol w:w="109"/>
        <w:gridCol w:w="109"/>
        <w:gridCol w:w="440"/>
        <w:gridCol w:w="1100"/>
        <w:gridCol w:w="230"/>
        <w:gridCol w:w="109"/>
        <w:gridCol w:w="109"/>
        <w:gridCol w:w="109"/>
        <w:gridCol w:w="428"/>
        <w:gridCol w:w="1071"/>
        <w:gridCol w:w="316"/>
      </w:tblGrid>
      <w:tr>
        <w:trPr/>
        <w:tc>
          <w:tcPr>
            <w:tcW w:w="136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15 - Related Party Transactions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Stuart Porter, a greater than 5% passive shareholder of the company, is the Senior Partner of Trace Capital. From time to time and in the ordinary course of business and at arms-length, certain Trace Capital portfolio companies engage us as service providers. The revenue associated with these related party transactions was $11.6 for the year ended December 31, 2025 and the related accounts receivable balance was $3.9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16 - Subsequent Events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Subsequent events have been evaluated through the date of issuance of these financial statements, and there have been no events subsequent to December 31, 2025, other than those items disclosed below, that would require additional adjustments to our disclosure in our financial statements during the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6, 2026, the requisite holders agreed to execute the First Amendment to the 2030 Senior Notes Indenture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 There is no certainty that, following the First Amendment to the Indenture, we will continue being able to comply with our covenants or that we will be able to obtain future amendments in the event we are unable to comply with our covenants.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our entry into the First Amendment to the Indenture, on March 6, 2026, we issued Warrants to our noteholders, based on their pro rata ownership of principal amount of the 2030 Senior Notes, providing for the purchase of up to 803,712 shares of Common Stock at an exercise price of $0.01 per share, subject to adjustment, pursuant to Section 4(a)(2) of the Securities Act. Under the warrant agreements governing the Warrants, the Company undertakes to file a registration statement with SEC with respect to the shares of Common Stock underlying the Warrants within 90 days of their issuance, providing for registered resale pursuant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0850"/>
                <wp:effectExtent l="0" t="0" r="0" b="0"/>
                <wp:wrapNone/>
                <wp:docPr id="92" name="Frame9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600"/>
        <w:jc w:val="left"/>
        <w:rPr/>
      </w:pPr>
      <w:r>
        <w:rPr/>
      </w:r>
    </w:p>
    <w:tbl>
      <w:tblPr>
        <w:tblW w:w="4199" w:type="dxa"/>
        <w:jc w:val="center"/>
        <w:tblInd w:w="0" w:type="dxa"/>
        <w:tblLayout w:type="fixed"/>
        <w:tblCellMar>
          <w:top w:w="28" w:type="dxa"/>
          <w:left w:w="28" w:type="dxa"/>
          <w:bottom w:w="28" w:type="dxa"/>
          <w:right w:w="28" w:type="dxa"/>
        </w:tblCellMar>
      </w:tblPr>
      <w:tblGrid>
        <w:gridCol w:w="369"/>
        <w:gridCol w:w="325"/>
        <w:gridCol w:w="326"/>
        <w:gridCol w:w="931"/>
        <w:gridCol w:w="931"/>
        <w:gridCol w:w="1317"/>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9A. </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CONTROLS AND PROCEDURES </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(who are our Chief Executive Officer and Chief Financial Officer, respectively)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Annual Report for the year ended December 31, 2025, we carried out an evaluation, under the supervision and with the participation of our management, including the Chief Executive Officer and Chief Financial Officer, of the effectiveness, as of December 31, 2025, of the design and operation of our disclosure controls and procedures (as defined in Rule 13a-15(e) of the Exchange Act). Based upon that evaluation, our Chief Executive Officer and Chief Financial Officer concluded that our disclosure controls and procedures were effective as of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were no changes to our internal control over financial reporting identified in management’s evaluation pursuant to Rules 13a-15(d) or 15d-15(d) of the Exchange Act during the quarter ended December 31, 2025 that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management of the Company is responsible for establishing and maintaining adequate internal control over financial reporting for the Company.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the Company’s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management, including our principal executive officer and principal financial officer, assessed the effectiveness of the Company’s internal control over financial reporting as of December 31, 2025. In making the assessment, the Company’s management used the criteria set forth by the Committee of Sponsoring Organizations of the Treadway Commission in Internal Control – Integrated Framework (2013). Based on its assessment, management believes that, as of December 31, 2025, the Company’s internal control over financial reporting is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70" w:type="dxa"/>
        <w:jc w:val="left"/>
        <w:tblInd w:w="0" w:type="dxa"/>
        <w:tblLayout w:type="fixed"/>
        <w:tblCellMar>
          <w:top w:w="28" w:type="dxa"/>
          <w:left w:w="28" w:type="dxa"/>
          <w:bottom w:w="28" w:type="dxa"/>
          <w:right w:w="28" w:type="dxa"/>
        </w:tblCellMar>
      </w:tblPr>
      <w:tblGrid>
        <w:gridCol w:w="369"/>
        <w:gridCol w:w="325"/>
        <w:gridCol w:w="326"/>
        <w:gridCol w:w="659"/>
        <w:gridCol w:w="659"/>
        <w:gridCol w:w="932"/>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9B. </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lineRule="auto" w:line="268" w:before="0" w:after="0"/>
        <w:jc w:val="left"/>
        <w:rPr/>
      </w:pPr>
      <w:r>
        <w:rPr>
          <w:rFonts w:ascii="Arial;sans-serif" w:hAnsi="Arial;sans-serif"/>
          <w:b w:val="false"/>
          <w:i/>
          <w:color w:val="000000"/>
          <w:sz w:val="20"/>
        </w:rPr>
        <w:t xml:space="preserve">(a) </w:t>
      </w:r>
      <w:r>
        <w:rPr>
          <w:rFonts w:ascii="Arial;sans-serif" w:hAnsi="Arial;sans-serif"/>
          <w:b/>
          <w:i/>
          <w:color w:val="000000"/>
          <w:sz w:val="20"/>
        </w:rPr>
        <w:t>Form 8-K Information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Company has elected to make the following disclosures in this Annual Report instead of in a Current Report on Form 8-K.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0850"/>
                <wp:effectExtent l="0" t="0" r="0" b="0"/>
                <wp:wrapNone/>
                <wp:docPr id="93" name="Frame9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60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Warrant Purchase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6, 2026, the Company entered into a Warrant Purchase Agreement (the “Warrant Purchase Agreement”) with certain holders of the 2030 Notes (the “2030 Noteholders”), pursuant to which the Company agreed to issue and sell Warrants to such Holders entitling the holders thereof to purchase, in the aggregate, up to 803,712 shares of Common Stock, based on their pro rata ownership of principal amount of the 2030 Senior Notes, in consideration of such holders consenting to the 2030 Senior Notes Indenture Amendment. The Warrants were issued on March 6 and March 11, 2026, and expire 5 years from their respective date of issuance.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agreement governing the Warrants stipulates that the Company will file a registration statement with the SEC with respect to the shares of Common Stock underlying the Warrants. The Warrants will be exercisable immediately, and in lieu of exercising such Warrant, the holders thereof may convert their Warrants, in whole or in part, into the number of the shares of Common Stock underlying the Warrants pursuant to the terms of the Warrants prior to the expiration date.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Warrant Purchase Agreement contains customary representations, warranties and covenants of the Company and the 2030 Noteholders. Upon Closing, the Company has agreed to reimburse certain of the 2030 Noteholders for certain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2030 Senior Notes Indenture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6, 2026, the requisite holders agreed to execute the First Amendment to the 2030 Senior Notes Indenture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3.02. Unregistered Sales of Equity Securities.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provided under Item 1.01 above is incorporated by reference into this Item 3.02. The issuance of the Warrants, entitling the holders thereof to purchase, in the aggregate, up to 803,712 shares of Common Stock, will not be registered under the Securities Act, in reliance upon the exemption from registration provided by Section 4(a)(2) thereof as a transaction not involving any public offering.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99" w:type="dxa"/>
        <w:jc w:val="left"/>
        <w:tblInd w:w="0" w:type="dxa"/>
        <w:tblLayout w:type="fixed"/>
        <w:tblCellMar>
          <w:top w:w="28" w:type="dxa"/>
          <w:left w:w="28" w:type="dxa"/>
          <w:bottom w:w="28" w:type="dxa"/>
          <w:right w:w="28" w:type="dxa"/>
        </w:tblCellMar>
      </w:tblPr>
      <w:tblGrid>
        <w:gridCol w:w="369"/>
        <w:gridCol w:w="325"/>
        <w:gridCol w:w="326"/>
        <w:gridCol w:w="2334"/>
        <w:gridCol w:w="2334"/>
        <w:gridCol w:w="3311"/>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9C. </w:t>
            </w:r>
          </w:p>
        </w:tc>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DISCLOSURE REGARDING FOREIGN JURISDICTIONS THAT PREVENT INSPECTION</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70" w:type="dxa"/>
        <w:jc w:val="left"/>
        <w:tblInd w:w="0" w:type="dxa"/>
        <w:tblLayout w:type="fixed"/>
        <w:tblCellMar>
          <w:top w:w="28" w:type="dxa"/>
          <w:left w:w="28" w:type="dxa"/>
          <w:bottom w:w="28" w:type="dxa"/>
          <w:right w:w="28" w:type="dxa"/>
        </w:tblCellMar>
      </w:tblPr>
      <w:tblGrid>
        <w:gridCol w:w="358"/>
        <w:gridCol w:w="315"/>
        <w:gridCol w:w="317"/>
        <w:gridCol w:w="1984"/>
        <w:gridCol w:w="1984"/>
        <w:gridCol w:w="2812"/>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10. </w:t>
            </w:r>
          </w:p>
        </w:tc>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DIRECTORS, EXECUTIVE OFFICERS AND CORPORATE GOVERNANCE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Executive Officers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0850"/>
                <wp:effectExtent l="0" t="0" r="0" b="0"/>
                <wp:wrapNone/>
                <wp:docPr id="94" name="Frame9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our executive officers: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2"/>
        <w:gridCol w:w="447"/>
        <w:gridCol w:w="452"/>
        <w:gridCol w:w="155"/>
        <w:gridCol w:w="155"/>
        <w:gridCol w:w="156"/>
        <w:gridCol w:w="2420"/>
        <w:gridCol w:w="2420"/>
        <w:gridCol w:w="3448"/>
      </w:tblGrid>
      <w:tr>
        <w:trPr/>
        <w:tc>
          <w:tcPr>
            <w:tcW w:w="55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Officer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Age</w:t>
            </w:r>
          </w:p>
        </w:tc>
        <w:tc>
          <w:tcPr>
            <w:tcW w:w="8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Biography</w:t>
            </w:r>
          </w:p>
        </w:tc>
      </w:tr>
      <w:tr>
        <w:trPr/>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J. Baker, President, Chief Executive Officer and Director</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8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 became the President and Chief Executive Officer of KLXE upon completion of the QES Merger in July 2020. Mr. Baker became a Director of KLXE in November 2022. Additionally, since the completion of the QES Merger in July 2020, Mr. Baker has served as: (i) President, Treasurer and Director of Krypton Intermediate, LLC, Krypton Holdco, LLC, and KLX Energy Services Inc.; (ii) President and Director of KLX Energy Services LLC; and (ii) Vice President of KLX Directional Drilling LLC and Centerline Trucking LLC. Since March 2022, Mr. Baker has also served as a director of NorAm Drilling AS. Previously, Mr. Baker served as President and Chief Executive Officer and as a member of the board of directors of QES from August 2019 through July 2020. Mr. Baker previously served as Executive Vice President and Chief Operating Officer of QES from its formation in 2017 until August 2019 and has served in the same role at Quintana Energy Services LP (“QES LP”) from November 2014 to July 2020. Mr. Baker previously served as Managing Director-Oilfield Services of the Quintana private equity funds (“Quintana”), where he was responsible for sourcing, evaluating and executing oilfield service investments, as well as overseeing the growth of and managing and monitoring the activities of Quintana’s oilfield service portfolio companies beginning in 2008. Prior to joining Quintana, Mr. Baker served as an Associate with Citigroup Global Markets Inc.’s (“Citi”) Corporate and Investment Bank where he conducted corporate finance and valuation activities focused on structuring non-investment grade debt transactions in the energy sector. Prior to his time at Citi, Mr. Baker was Vice President of Operations for Theta II Enterprises, Inc. where he focused on project management of complex subsea and inland marine pipeline construction projects. Mr. Baker attended Louisiana State University, where he earned a B.S. in Mechanical Engineering, and Rice University, where he earned an M.B.A. Our Board benefits from Mr. Baker’s extensive industry experience and his familiarity with the Company.</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Max L. Bouthillette, Executive Vice President, General Counsel, Chief Compliance Officer and Secretary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82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Max L. Bouthillette became the Executive Vice President, General Counsel, Chief Compliance Officer and Corporate Secretary of KLXE upon completion of the QES Merger in July 2020. Additionally, since the completion of the QES Merger in July 2020, Mr. Bouthillette has served as: (i) Vice President, Secretary and Director (or Manager, as applicable) of Krypton Intermediate, LLC, Krypton Holdco, LLC, KLX Energy Services LLC and KLX Energy Services Inc.; and (ii) Vice President and Secretary of KLX Directional Drilling LLC and Centerline Trucking LLC. Previously, Mr. Bouthillette served as Executive Vice President, General Counsel, Chief Compliance Officer and Corporate Secretary of QES since its formation in 2017 through July 2020. Mr. Bouthillette served on QES LP’s board of directors from April 2016 until July 2017 and Mr. Bouthillette served as QES LP’s Executive Vice President, General Counsel, Chief Compliance Officer and Secretary from July 2017 until February 2018. Prior to joining QES, Mr. Bouthillette was with Archer Limited, one of the QES principal stockholders ("Archer”), where he served as Executive Vice President and General Counsel from 2010 to 2017, as President of Archer’s operations in South and North America since 2016 and as a Director of several of its affiliates. Mr. Bouthillette has more than 24 years of legal experience for oilfield services companies, and previously served as Chief Compliance Officer and Deputy General Counsel for BJ Services from 2006 to 2010, as a partner with Baker Hostetler LLP from 2004 to 2006 and with Schlumberger in North America (Litigation Counsel), Asia (OFS Counsel) and Europe (General Counsel Products) from 1998 to 2003. Mr. Bouthillette holds a B.B.A in Accounting from Texas A&amp;M University and a J.D. from the University of Houston Law Center.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0850"/>
                <wp:effectExtent l="0" t="0" r="0" b="0"/>
                <wp:wrapNone/>
                <wp:docPr id="95" name="Frame9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615"/>
        <w:gridCol w:w="540"/>
        <w:gridCol w:w="542"/>
        <w:gridCol w:w="109"/>
        <w:gridCol w:w="109"/>
        <w:gridCol w:w="109"/>
        <w:gridCol w:w="2396"/>
        <w:gridCol w:w="2396"/>
        <w:gridCol w:w="3389"/>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Geoffrey C. Stanford, Senior Vice President, Interim Chief Financial Officer and Chief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 became the Interim Chief Financial Officer on January 7, 2026. He also serves as Senior Vice President and Chief Accounting Officer of the Company, a position he has held since December 2020. Prior to that, Mr. Stanford served as Vice President and Chief Accounting Officer, a position he held from the completion of the Company’s merger with QES in July 2020. He served in that same role at QES from 2018 until the merger in 2020. Before joining QES, Mr. Stanford served as Vice President of Accounting at Amedisys Home Health &amp; Hospice and as Vice President and Chief Accounting Officer at Willbros Construction, where he led corporate accounting initiatives. His career also includes key roles at The Shaw Group and Albemarle Corporation, where he focused on corporate operations and financial management. Mr. Stanford is a licensed Certified Public Accountant. He earned a Master of Business Administration degree from Tulane University and bachelor’s degrees in Accounting and Finance from Louisiana State University.</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Board of Directors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our directors.</w:t>
      </w:r>
    </w:p>
    <w:tbl>
      <w:tblPr>
        <w:tblW w:w="10205" w:type="dxa"/>
        <w:jc w:val="left"/>
        <w:tblInd w:w="0" w:type="dxa"/>
        <w:tblLayout w:type="fixed"/>
        <w:tblCellMar>
          <w:top w:w="28" w:type="dxa"/>
          <w:left w:w="28" w:type="dxa"/>
          <w:bottom w:w="28" w:type="dxa"/>
          <w:right w:w="28" w:type="dxa"/>
        </w:tblCellMar>
      </w:tblPr>
      <w:tblGrid>
        <w:gridCol w:w="321"/>
        <w:gridCol w:w="281"/>
        <w:gridCol w:w="283"/>
        <w:gridCol w:w="155"/>
        <w:gridCol w:w="155"/>
        <w:gridCol w:w="156"/>
        <w:gridCol w:w="2587"/>
        <w:gridCol w:w="2587"/>
        <w:gridCol w:w="3680"/>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Director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Age</w:t>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Biography</w:t>
            </w:r>
          </w:p>
        </w:tc>
      </w:tr>
      <w:tr>
        <w:trPr/>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Collins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8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John T. Collins has been a Director of KLXE since September 2018 and served as the non-Executive Chairman of the Board upon the completion of the QES Merger in July 2020 until June 2021. Previously, Mr. Collins served as the Chairman of the Board from May 2020 to July 2020. He served on the board of directors of KLX Inc. from December 2014 until its sale to The Boeing Company in October 2018. From 1986 to 1992, Mr. Collins served as the President and Chief Executive Officer of Quebecor Printing (USA) Inc., which was formed in 1986 by a merger with Semline Inc., where he had served in various positions since 1968, including since 1973 as President. During his term, Mr. Collins guided Quebecor Printing (USA) Inc. through several large acquisitions and situated the company to become one of the leaders in its industry. From 1992 to 2017, Mr. Collins was the Chairman and Chief Executive Officer of The Collins Group, Inc., a manager of a private securities portfolio and minority interest holder in several privately held companies. Mr. Collins currently serves on the board of directors for Federated Funds, Inc., and has done so since 2011, and he has also served on the board of directors for several public companies, including Bank of America Corp. and FleetBoston Financial. In addition, Mr. Collins has served as Chairman of the Board of Trustees of his alma mater, Bentley University. Our Board benefits from Mr. Collins’s many years of experience in the management, acquisition and development of several private and public companies in varied sectors.</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0850"/>
                <wp:effectExtent l="0" t="0" r="0" b="0"/>
                <wp:wrapNone/>
                <wp:docPr id="96" name="Frame9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480"/>
        <w:gridCol w:w="298"/>
        <w:gridCol w:w="300"/>
        <w:gridCol w:w="109"/>
        <w:gridCol w:w="109"/>
        <w:gridCol w:w="109"/>
        <w:gridCol w:w="2572"/>
        <w:gridCol w:w="2572"/>
        <w:gridCol w:w="3656"/>
      </w:tblGrid>
      <w:tr>
        <w:trPr/>
        <w:tc>
          <w:tcPr>
            <w:tcW w:w="4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Eliassen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Gunnar Eliassen became a Director of KLXE upon the completion of the QES Merger in July 2020. Previously, Mr. Eliassen served on the QES board of directors from the company’s formation in 2017 through July 2020. Mr. Eliassen served on the board of directors of the general partner of QES LP from January 2017 until July 2020. He currently also serves as a director of Prosafe SE and as chairman of the board of directors of Scana ASA. From 2016 until 2023, Mr. Eliassen was employed by Seatankers Services (UK) LLP, an affiliated company of Geveran Investment Limited and its affiliates, where he was responsible for overseeing and managing various public and private investments. Mr. Eliassen’s past experience includes serving as a director of Seadrill Ltd, Aquadrill LLC, Valaris Ltd, Noram Drilling AS, Northern Drilling Ltd as well as executive roles as Chief Executive Officer of ST Energy Transition I Ltd. and Chief Executive Officer of Northern Drilling. From 2011 through 2015 Mr Eliassen was a Partner at Pareto Securities where he was responsible for execution of public and private capital markets transactions with emphasis on the energy sector. Mr. Eliassen received a Master in Finance from the Norwegian School of Economics. Our Board benefits from Mr. Eliassen’s extensive experience with public and private investments, including investments in the oil and natural gas industry.</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Danielle E. Hunter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Danielle E. Hunter has been a Director of KLXE since February 2024. Previously, Ms. Hunter served as the President of Berry Corporation, an upstream energy company engaged in the responsible development and production of conventional oil reserves in the Western United States, until its merger with California Resources Corporation (NYSE:</w:t>
            </w:r>
            <w:r>
              <w:rPr>
                <w:color w:val="000000"/>
              </w:rPr>
              <w:t xml:space="preserve"> </w:t>
            </w:r>
            <w:r>
              <w:rPr>
                <w:rFonts w:ascii="Arial;sans-serif" w:hAnsi="Arial;sans-serif"/>
                <w:b w:val="false"/>
                <w:color w:val="000000"/>
                <w:sz w:val="20"/>
              </w:rPr>
              <w:t>CRC) in December 2025. She joined Berry in January 2020 as Executive Vice President, General Counsel and Corporate Secretary, a position she held through her appointment as President effective January 1, 2023. Prior to joining Berry, Ms. Hunter served as Executive Vice President, General Counsel, Corporate Secretary and Chief Risk and Compliance Officer at C&amp;J Energy Services, Inc. (now part of Patterson UTI (Nasdaq: PTEN)), a well construction, completions, and services company, where she provided strategic counsel on a broad range of legal, business and operational matters. She served at C&amp;J from June 2011 through November 2019. From 2007 through 2011, Ms. Hunter practiced corporate law at Vinson &amp; Elkins LLP representing public and private companies in capital markets offerings and mergers and acquisitions, primarily in the oil and natural gas industry. She served as a judicial law clerk to U.S. District Judge Tucker Melancon, U.S. District Court for the Western District of Louisiana, after graduating Magna Cum Laude from Tulane University Law School in 2006.</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Thomas P. McCaffrey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Thomas P. McCaffrey has served as a member of the Board since May 2020. Mr. McCaffrey served as Chairman of the integration committee of the Board upon completion of the QES Merger until the integration committee was disbanded in December 2020. From May 1, 2020 until July 28, 2020, Mr. McCaffrey served as President and Director of KLX RE Holdings LLC. Mr. McCaffrey previously served as President, Chief Executive Officer and Chief Financial Officer of KLXE, from April 30, 2020 through the completion of the QES Merger. Previously, Mr. McCaffrey served as Senior Vice President and Chief Financial Officer of KLXE from September 2018 until April 30, 2020. Prior to that, Mr. McCaffrey served as President and Chief Operating Officer of KLX Inc. from December 2014 until its sale to The Boeing Company in October 2018 and as Senior Vice President and Chief Financial Officer of B/E Aerospace from May 1993 until December 2014. Prior to joining B/E Aerospace, Mr. McCaffrey practiced as a Certified Public Accountant for 17 years with a large international accounting firm and a regional accounting firm based in California. Since 2016, Mr. McCaffrey has served as a member of the Board of Trustees of Palm Beach Atlantic University and currently serves as Chairman of the Board. Previously, he served as a member of various committees. Our Board benefits from Mr. McCaffrey’s extensive leadership experience, thorough knowledge of the Company’s business and industry, and strategic planning experience.</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0850"/>
                <wp:effectExtent l="0" t="0" r="0" b="0"/>
                <wp:wrapNone/>
                <wp:docPr id="97" name="Frame9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2649"/>
        <w:gridCol w:w="2521"/>
        <w:gridCol w:w="3582"/>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Corbin J. Robertson, Jr.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c>
          <w:tcPr>
            <w:tcW w:w="87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Corbin J. Robertson, Jr. became a Director upon the completion of the QES Merger in July 2020. Previously, Mr. Robertson served as Chairman of the QES board of directors since the company’s formation in 2017 through July 2020. Mr. Robertson has served as Chairman of the board of directors of the general partner of QES LP since the board was established. Mr. Robertson has also served as Chief Executive Officer and Chairman of the board of directors of GP Natural Resource Partners LLC since 2002. He has served as the Chief Executive Officer and Chairman of the board of directors of the general partners of Western Pocahontas Properties Limited Partnership since 1986, Great Northern Properties Limited Partnership since 1992, Quintana Minerals Corporation since 1978 and as Chairman of the board of directors of New Gauley Coal Corporation since 1986. He also serves as a Principal with Quintana Capital Group, L.P., Chairman of the board of the Cullen Trust for Higher Education and on the boards of the American Petroleum Institute, the National Petroleum Council, Baylor College of Medicine and the World Health and Golf Association. In 2006, Mr. Robertson was inducted into the Texas Business Hall of Fame. Mr. Robertson attended the University of Texas at Austin where he earned a B.B.A. from the Business Honors Program. Our Board benefits from Mr. Robertson’s extensive industry experience, his extensive experience with oil and gas investments and his board service for several companies in the oil and natural gas industry.</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Whates, Esq.</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c>
          <w:tcPr>
            <w:tcW w:w="87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John T. Whates, Esq. has served as a member of the Board since September 2018. He served on the board of directors of KLX Inc. from December 2014 until its sale to The Boeing Company in October 2018. Mr. Whates has been an independent tax advisor and involved in venture capital and private investing since 2005. He is a member of the board of directors of Dynamic Healthcare Systems, Inc., was a member of the board of directors of Rockwell Collins from April 2017 until February 2018 and was the Chairman of the compensation committee of B/E Aerospace until its sale to Rockwell Collins in April 2017. From 1994 to 2011, Mr. Whates was a tax and financial advisor to B/E Aerospace, providing business and tax advice on essentially all of its significant strategic acquisitions. Previously, Mr. Whates was a tax partner in several of the largest public accounting firms, most recently leading the High Technology Group Tax Practice of Deloitte LLP in Orange County, California. He has extensive experience working with aerospace and other public companies in the fields of tax, equity financing and mergers and acquisitions. Mr. Whates is an attorney licensed to practice in California and was an Adjunct Professor of Taxation at Golden Gate University. Our Board benefits from Mr. Whates’s extensive experience, multi-dimensional educational background, thorough knowledge of the Company’s business and industry and financial expertise.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Code of Business Conduct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has adopted a code of business conduct that applies to all our directors, officers and employees worldwide, including our principal executive officer, principal financial officer, controller, treasurer and all other employees performing a similar function. We maintain a copy of our code of business conduct, including any amendments thereto and any waivers applicable to any of our directors and officers, on our website at https://investor.klx.com.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remaining information required by this item is incorporated by reference to our definitive proxy statement for our 2026 Annual Meeting of Stockholders pursuant to Regulation 14A under the Exchange Act, which we expect to file with the SEC within 120 days after the close of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15" w:type="dxa"/>
        <w:jc w:val="left"/>
        <w:tblInd w:w="0" w:type="dxa"/>
        <w:tblLayout w:type="fixed"/>
        <w:tblCellMar>
          <w:top w:w="28" w:type="dxa"/>
          <w:left w:w="28" w:type="dxa"/>
          <w:bottom w:w="28" w:type="dxa"/>
          <w:right w:w="28" w:type="dxa"/>
        </w:tblCellMar>
      </w:tblPr>
      <w:tblGrid>
        <w:gridCol w:w="358"/>
        <w:gridCol w:w="315"/>
        <w:gridCol w:w="317"/>
        <w:gridCol w:w="857"/>
        <w:gridCol w:w="857"/>
        <w:gridCol w:w="121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11. </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information required by this item is incorporated by reference to our definitive proxy statement for our 2026 Annual Meeting of Stockholders pursuant to Regulation 14A under the Exchange Act, which we expect to file with the SEC within 120 days after the close of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0850"/>
                <wp:effectExtent l="0" t="0" r="0" b="0"/>
                <wp:wrapNone/>
                <wp:docPr id="98" name="Frame9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347"/>
        <w:gridCol w:w="305"/>
        <w:gridCol w:w="307"/>
        <w:gridCol w:w="2706"/>
        <w:gridCol w:w="2706"/>
        <w:gridCol w:w="383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3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12. </w:t>
            </w:r>
          </w:p>
        </w:tc>
        <w:tc>
          <w:tcPr>
            <w:tcW w:w="9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SECURITY OWNERSHIP OF CERTAIN BENEFICIAL OWNERS AND MANAGEMENT AND RELATED STOCKHOLDER MATTERS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information required by this item is incorporated by reference to our definitive proxy statement for our 2026 Annual Meeting of Stockholders pursuant to Regulation 14A under the Exchange Act, which we expect to file with the SEC within 120 days after the close of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55"/>
        <w:gridCol w:w="313"/>
        <w:gridCol w:w="315"/>
        <w:gridCol w:w="2700"/>
        <w:gridCol w:w="2700"/>
        <w:gridCol w:w="3822"/>
      </w:tblGrid>
      <w:tr>
        <w:trPr/>
        <w:tc>
          <w:tcPr>
            <w:tcW w:w="3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13. </w:t>
            </w:r>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CERTAIN RELATIONSHIPS AND RELATED PARTY TRANSACTIONS, AND DIRECTOR INDEPENDENCE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information required by this item is incorporated by reference to our definitive proxy statement for our 2026 Annual Meeting of Stockholders pursuant to Regulation 14A under the Exchange Act, which we expect to file with the SEC within 120 days after the close of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00" w:type="dxa"/>
        <w:jc w:val="left"/>
        <w:tblInd w:w="0" w:type="dxa"/>
        <w:tblLayout w:type="fixed"/>
        <w:tblCellMar>
          <w:top w:w="28" w:type="dxa"/>
          <w:left w:w="28" w:type="dxa"/>
          <w:bottom w:w="28" w:type="dxa"/>
          <w:right w:w="28" w:type="dxa"/>
        </w:tblCellMar>
      </w:tblPr>
      <w:tblGrid>
        <w:gridCol w:w="358"/>
        <w:gridCol w:w="315"/>
        <w:gridCol w:w="317"/>
        <w:gridCol w:w="1379"/>
        <w:gridCol w:w="1379"/>
        <w:gridCol w:w="1952"/>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14. </w:t>
            </w:r>
          </w:p>
        </w:tc>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PRINCIPAL ACCOUNTANT FEES AND SERVICES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information required by this item is incorporated by reference to our definitive proxy statement for our 2026 Annual Meeting of Stockholders pursuant to Regulation 14A under the Exchange Act, which we expect to file with the SEC within 120 days after the close of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95" w:type="dxa"/>
        <w:jc w:val="left"/>
        <w:tblInd w:w="0" w:type="dxa"/>
        <w:tblLayout w:type="fixed"/>
        <w:tblCellMar>
          <w:top w:w="28" w:type="dxa"/>
          <w:left w:w="28" w:type="dxa"/>
          <w:bottom w:w="28" w:type="dxa"/>
          <w:right w:w="28" w:type="dxa"/>
        </w:tblCellMar>
      </w:tblPr>
      <w:tblGrid>
        <w:gridCol w:w="336"/>
        <w:gridCol w:w="295"/>
        <w:gridCol w:w="298"/>
        <w:gridCol w:w="312"/>
        <w:gridCol w:w="312"/>
        <w:gridCol w:w="442"/>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15.</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80"/>
        <w:gridCol w:w="2820"/>
        <w:gridCol w:w="2820"/>
        <w:gridCol w:w="4009"/>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1.1</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Arial;sans-serif" w:hAnsi="Arial;sans-serif"/>
                  <w:b w:val="false"/>
                  <w:color w:val="0000FF"/>
                  <w:sz w:val="20"/>
                  <w:u w:val="single"/>
                </w:rPr>
                <w:t>Equity Distribution Agreement, dated June 14, 2021, by and between the Company and Piper Sandler &amp; Co. (incorporated by reference to Exhibit 1.1 to the Company’s Current Report on Form 8-K (File No. 001-38609) filed with the SEC on June 14, 2021).</w:t>
              </w:r>
            </w:hyperlink>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1.2</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Arial;sans-serif" w:hAnsi="Arial;sans-serif"/>
                  <w:b w:val="false"/>
                  <w:color w:val="0000FF"/>
                  <w:sz w:val="20"/>
                  <w:u w:val="single"/>
                </w:rPr>
                <w:t>Amendment No. 1 to Equity Distribution Agreement, dated November 16, 2022, by and between the Company and Piper Sandler &amp; Co. (incorporated by reference to Exhibit 1.1 of KLX Energy Services Holdings, Inc.’s Quarterly Report on Form 10-Q, filed on May 11, 2023, File No. 001-38609).</w:t>
              </w:r>
            </w:hyperlink>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1.1.2</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Arial;sans-serif" w:hAnsi="Arial;sans-serif"/>
                  <w:b w:val="false"/>
                  <w:color w:val="0000FF"/>
                  <w:sz w:val="20"/>
                  <w:u w:val="single"/>
                </w:rPr>
                <w:t>Amendment No. 2 to Equity Distribution Agreement, dated March 14, 2025, by and between the Company and Piper Sandler &amp; Co. (incorporated by reference to Exhibit 1.1 of KLX Energy Services Holdings, Inc.’s Current Report on Form 8-K, filed on March 14, 2025, File No. 001-38609).</w:t>
              </w:r>
            </w:hyperlink>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val="false"/>
                <w:color w:val="000000"/>
                <w:sz w:val="20"/>
              </w:rPr>
              <w:t>2.1</w:t>
            </w:r>
            <w:r>
              <w:rPr>
                <w:rFonts w:ascii="Arial;sans-serif" w:hAnsi="Arial;sans-serif"/>
                <w:b w:val="false"/>
                <w:color w:val="000000"/>
                <w:sz w:val="13"/>
              </w:rPr>
              <w:t>¥</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Arial;sans-serif" w:hAnsi="Arial;sans-serif"/>
                  <w:b w:val="false"/>
                  <w:color w:val="0000FF"/>
                  <w:sz w:val="20"/>
                  <w:u w:val="single"/>
                </w:rPr>
                <w:t>Purchase and Sale Agreement, dated as of March 8, 2023, between the Company and Greene’s Holding Corporation (incorporated by reference to Exhibit 2.1 of the Company’s Annual Report on Form 10-K, filed March 9, 2023, File No. 001-38609).</w:t>
              </w:r>
            </w:hyperlink>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2.2</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Arial;sans-serif" w:hAnsi="Arial;sans-serif"/>
                  <w:b w:val="false"/>
                  <w:color w:val="0000FF"/>
                  <w:sz w:val="20"/>
                  <w:u w:val="single"/>
                </w:rPr>
                <w:t>Agreement and Plan of Merger, dated May 3, 2020, by and among KLX Energy Services Holdings, Inc., Quintana Energy Services Inc., Krypton Intermediate LLC and Krypton Merger Sub Inc. (incorporated by reference to Exhibit 2.1 of Company’s Current Report on Form 8-K, filed on May 4, 2020, File No. 001-38609).</w:t>
              </w:r>
            </w:hyperlink>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2.3</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7">
              <w:r>
                <w:rPr>
                  <w:rStyle w:val="InternetLink"/>
                  <w:rFonts w:ascii="Arial;sans-serif" w:hAnsi="Arial;sans-serif"/>
                  <w:b w:val="false"/>
                  <w:color w:val="0000FF"/>
                  <w:sz w:val="20"/>
                  <w:u w:val="single"/>
                </w:rPr>
                <w:t>Distribution Agreement, dated as of July 13, 2018, by and among KLX Inc., KLX Energy Services Holdings, Inc. and KLX Energy Services LLC (incorporated by reference to Exhibit 2.1 to KLX Inc.’s Current Report on Form 8-K (File No. 001-36610) filed with the SEC on July 17, 2018).</w:t>
              </w:r>
            </w:hyperlink>
          </w:p>
        </w:tc>
      </w:tr>
      <w:tr>
        <w:trPr/>
        <w:tc>
          <w:tcPr>
            <w:tcW w:w="5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2.4</w:t>
            </w:r>
          </w:p>
        </w:tc>
        <w:tc>
          <w:tcPr>
            <w:tcW w:w="964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8">
              <w:r>
                <w:rPr>
                  <w:rStyle w:val="InternetLink"/>
                  <w:rFonts w:ascii="Arial;sans-serif" w:hAnsi="Arial;sans-serif"/>
                  <w:b w:val="false"/>
                  <w:color w:val="0000FF"/>
                  <w:sz w:val="20"/>
                  <w:u w:val="single"/>
                </w:rPr>
                <w:t>Employee Matters Agreement, dated as of July 13, 2018, by and among KLX Inc., KLX Energy Services Holdings, Inc. and KLX Energy Services LLC (incorporated by reference to Exhibit 2.2 to KLX Inc.’s Current Report on Form 8-K (File No. 001-36610) filed with the SEC on July 17, 2018).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03"/>
        <w:gridCol w:w="179"/>
        <w:gridCol w:w="183"/>
        <w:gridCol w:w="2849"/>
        <w:gridCol w:w="2804"/>
        <w:gridCol w:w="3987"/>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jc w:val="left"/>
              <w:rPr>
                <w:sz w:val="4"/>
                <w:szCs w:val="4"/>
              </w:rPr>
            </w:pPr>
            <w:r>
              <w:rPr>
                <w:sz w:val="4"/>
                <w:szCs w:val="4"/>
              </w:rPr>
            </w:r>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2.5</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9">
              <w:r>
                <w:rPr>
                  <w:rStyle w:val="InternetLink"/>
                  <w:rFonts w:ascii="Arial;sans-serif" w:hAnsi="Arial;sans-serif"/>
                  <w:b w:val="false"/>
                  <w:color w:val="0000FF"/>
                  <w:sz w:val="20"/>
                  <w:u w:val="single"/>
                </w:rPr>
                <w:t>IP Matters Agreement, dated as of July 13, 2018, by and among KLX Inc. and KLX Energy Services Holdings, Inc. (incorporated by reference to Exhibit 2.3 to KLX Inc.’s Current Report on Form 8-K (File No. 001-36610) filed with the SEC on July 17, 2018).</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0">
              <w:r>
                <w:rPr>
                  <w:rStyle w:val="InternetLink"/>
                  <w:rFonts w:ascii="Arial;sans-serif" w:hAnsi="Arial;sans-serif"/>
                  <w:b w:val="false"/>
                  <w:color w:val="0000FF"/>
                  <w:sz w:val="20"/>
                  <w:u w:val="single"/>
                </w:rPr>
                <w:t>Amended and Restated Certificate of Incorporation of KLX Energy Services Holdings, Inc. (incorporated by reference to Exhibit 3.1 of the Company’s Quarterly Report on Form 10-Q, filed on September 8, 2020,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Arial;sans-serif" w:hAnsi="Arial;sans-serif"/>
                  <w:b w:val="false"/>
                  <w:color w:val="0000FF"/>
                  <w:sz w:val="20"/>
                  <w:u w:val="single"/>
                </w:rPr>
                <w:t>Fourth Amended and Restated Bylaws of KLX Energy Services Holdings, Inc. (incorporated by reference to Exhibit 3.1 of the Company’s Current Report on Form 8-K, filed on September 9, 2021,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4.1</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2">
              <w:r>
                <w:rPr>
                  <w:rStyle w:val="InternetLink"/>
                  <w:rFonts w:ascii="Arial;sans-serif" w:hAnsi="Arial;sans-serif"/>
                  <w:b w:val="false"/>
                  <w:color w:val="0000FF"/>
                  <w:sz w:val="20"/>
                  <w:u w:val="single"/>
                </w:rPr>
                <w:t>Indenture, dated October 31, 2018, among KLX Energy Services Holdings, Inc., as the issuer, KLX Energy Services LLC, KLX RE Holdings LLC and Wilmington Trust, National Association, as trustee and collateral agent (incorporated by reference to the Company’s Current Report on Form 8-K, filed on November 1, 2018, File No. 001-38609)</w:t>
              </w:r>
            </w:hyperlink>
            <w:r>
              <w:rPr>
                <w:rFonts w:ascii="Arial;sans-serif" w:hAnsi="Arial;sans-serif"/>
                <w:b w:val="false"/>
                <w:color w:val="000000"/>
                <w:sz w:val="20"/>
                <w:u w:val="single"/>
              </w:rPr>
              <w:t>.</w:t>
            </w:r>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4.1.1</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3">
              <w:r>
                <w:rPr>
                  <w:rStyle w:val="InternetLink"/>
                  <w:rFonts w:ascii="Arial;sans-serif" w:hAnsi="Arial;sans-serif"/>
                  <w:b w:val="false"/>
                  <w:color w:val="0000FF"/>
                  <w:sz w:val="20"/>
                  <w:u w:val="single"/>
                </w:rPr>
                <w:t>First Supplemental Indenture, dated November 16, 2018, among KLX Energy Services Holdings, Inc., as the issuer, the Guaranteeing Subsidiaries named therein and Wilmington Trust, National Association, as trustee and collateral agent (incorporated by reference to the Company’s Annual Report on Form 10-K, filed on March 21, 2019, File No. 001-38609)</w:t>
              </w:r>
            </w:hyperlink>
            <w:r>
              <w:rPr>
                <w:rFonts w:ascii="Arial;sans-serif" w:hAnsi="Arial;sans-serif"/>
                <w:b w:val="false"/>
                <w:color w:val="000000"/>
                <w:sz w:val="20"/>
                <w:u w:val="single"/>
              </w:rPr>
              <w:t>.</w:t>
            </w:r>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4.1.2</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Arial;sans-serif" w:hAnsi="Arial;sans-serif"/>
                  <w:b w:val="false"/>
                  <w:color w:val="0000FF"/>
                  <w:sz w:val="20"/>
                  <w:u w:val="single"/>
                </w:rPr>
                <w:t>Second Supplemental Indenture, dated May 13, 2019, among KLX Energy Services Holdings, Inc., as the issuer, the Guaranteeing Subsidiaries named therein and Wilmington Trust, National Association, as trustee and collateral agent (incorporated by reference to Exhibit 4.1 to the Company’s Quarterly Report on Form 10-Q, filed on August 22, 2019, File No. 001-38609)</w:t>
              </w:r>
            </w:hyperlink>
            <w:r>
              <w:rPr>
                <w:rFonts w:ascii="Arial;sans-serif" w:hAnsi="Arial;sans-serif"/>
                <w:b w:val="false"/>
                <w:color w:val="000000"/>
                <w:sz w:val="20"/>
                <w:u w:val="single"/>
              </w:rPr>
              <w:t>.</w:t>
            </w:r>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4.1.3</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5">
              <w:r>
                <w:rPr>
                  <w:rStyle w:val="InternetLink"/>
                  <w:rFonts w:ascii="Arial;sans-serif" w:hAnsi="Arial;sans-serif"/>
                  <w:b w:val="false"/>
                  <w:color w:val="0000FF"/>
                  <w:sz w:val="20"/>
                  <w:u w:val="single"/>
                </w:rPr>
                <w:t>Third Supplemental Indenture, dated August 25, 2020, among KLX Energy Services Holdings, Inc., as the issuer, the Guaranteeing Subsidiaries named therein and Wilmington Trust, National Association, as trustee and collateral agent (incorporated by reference to Exhibit 4.1 to the Company’s Quarterly Report on Form 10-Q, filed on June 11, 2021,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4.1.4</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6">
              <w:r>
                <w:rPr>
                  <w:rStyle w:val="InternetLink"/>
                  <w:rFonts w:ascii="Arial;sans-serif" w:hAnsi="Arial;sans-serif"/>
                  <w:b w:val="false"/>
                  <w:color w:val="0000FF"/>
                  <w:sz w:val="20"/>
                  <w:u w:val="single"/>
                </w:rPr>
                <w:t>Fourth Supplemental Indenture, dated as of May 12, 2023, among KLX Energy Services Holdings, Inc., as the issuer, the Guaranteeing Subsidiaries named therein and Wilmington Trust, National Association, as trustee and collateral agent (incorporated by reference to Exhibit 4.1 of KLX Energy Services Holdings, Inc.’s Quarterly Report on Form 10-Q, filed on November 7, 2023,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4.2</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7">
              <w:r>
                <w:rPr>
                  <w:rStyle w:val="InternetLink"/>
                  <w:rFonts w:ascii="Arial;sans-serif" w:hAnsi="Arial;sans-serif"/>
                  <w:b w:val="false"/>
                  <w:color w:val="0000FF"/>
                  <w:sz w:val="20"/>
                  <w:u w:val="single"/>
                </w:rPr>
                <w:t>Form of 11.500% Senior Secured Notes due 2025 (included in Exhibit 4.1)</w:t>
              </w:r>
            </w:hyperlink>
            <w:r>
              <w:rPr>
                <w:rFonts w:ascii="Arial;sans-serif" w:hAnsi="Arial;sans-serif"/>
                <w:b w:val="false"/>
                <w:color w:val="000000"/>
                <w:sz w:val="20"/>
                <w:u w:val="single"/>
              </w:rPr>
              <w:t>.</w:t>
            </w:r>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val="false"/>
                <w:color w:val="000000"/>
                <w:sz w:val="20"/>
              </w:rPr>
              <w:t>4.3</w:t>
            </w:r>
            <w:r>
              <w:rPr>
                <w:rFonts w:ascii="Arial;sans-serif" w:hAnsi="Arial;sans-serif"/>
                <w:b w:val="false"/>
                <w:color w:val="000000"/>
                <w:sz w:val="13"/>
              </w:rPr>
              <w:t>¥</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8">
              <w:r>
                <w:rPr>
                  <w:rStyle w:val="InternetLink"/>
                  <w:rFonts w:ascii="Arial;sans-serif" w:hAnsi="Arial;sans-serif"/>
                  <w:b w:val="false"/>
                  <w:color w:val="0000FF"/>
                  <w:sz w:val="20"/>
                  <w:u w:val="single"/>
                </w:rPr>
                <w:t>Indenture, dated March 12, 2025, among KLX Energy Services Holdings, Inc., as the issuer, the guarantor parties thereto and U.S. Bank Trust Company, National Association, as trustee (incorporated by reference to Exhibit 4.1 to the Company’s Current Report on Form 8-K, riled on March 12, 2025,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4.4*</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klx-firstamendmenttoindent.htm">
              <w:r>
                <w:rPr>
                  <w:rStyle w:val="InternetLink"/>
                  <w:rFonts w:ascii="Arial;sans-serif" w:hAnsi="Arial;sans-serif"/>
                  <w:b w:val="false"/>
                  <w:color w:val="0000FF"/>
                  <w:sz w:val="20"/>
                  <w:u w:val="single"/>
                </w:rPr>
                <w:t>First Amendment to Indenture, dated March 6, 2026, by and among KLX Energy Services Holdings, Inc. the guarantors party thereto, and U.S. Bank Trust Company, National Association, as trustee.</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4.5</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Arial;sans-serif" w:hAnsi="Arial;sans-serif"/>
                  <w:b w:val="false"/>
                  <w:color w:val="0000FF"/>
                  <w:sz w:val="20"/>
                  <w:u w:val="single"/>
                </w:rPr>
                <w:t>Form of Senior Secured Floating Rate Cash / PIK Notes due 2030 (included in Exhibit 4.3).</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4.6</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0">
              <w:r>
                <w:rPr>
                  <w:rStyle w:val="InternetLink"/>
                  <w:rFonts w:ascii="Arial;sans-serif" w:hAnsi="Arial;sans-serif"/>
                  <w:b w:val="false"/>
                  <w:color w:val="0000FF"/>
                  <w:sz w:val="20"/>
                  <w:u w:val="single"/>
                </w:rPr>
                <w:t>Form of Warrant Agreement (incorporated by reference to Exhibit 4.3 to the Company’s Current Report on Form 8-K, filed on March 12, 2025,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4.7</w:t>
            </w:r>
          </w:p>
        </w:tc>
        <w:tc>
          <w:tcPr>
            <w:tcW w:w="96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Arial;sans-serif" w:hAnsi="Arial;sans-serif"/>
                  <w:b w:val="false"/>
                  <w:color w:val="0000FF"/>
                  <w:sz w:val="20"/>
                  <w:u w:val="single"/>
                </w:rPr>
                <w:t>Description of Securities registered pursuant to Section 12 of the Exchange Act (incorporated by reference to Exhibit 4.3 of the Company’s Annual Report on Form 10-K, filed on April 28, 2021, File No. 001-38609).</w:t>
              </w:r>
            </w:hyperlink>
          </w:p>
        </w:tc>
      </w:tr>
      <w:tr>
        <w:trPr/>
        <w:tc>
          <w:tcPr>
            <w:tcW w:w="56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w:t>
            </w:r>
          </w:p>
        </w:tc>
        <w:tc>
          <w:tcPr>
            <w:tcW w:w="964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Arial;sans-serif" w:hAnsi="Arial;sans-serif"/>
                  <w:b w:val="false"/>
                  <w:color w:val="0000FF"/>
                  <w:sz w:val="20"/>
                  <w:u w:val="single"/>
                </w:rPr>
                <w:t>KLX Energy Services Holdings, Inc. Long-Term Incentive Plan (Amended and Restated as of December 2, 2020) (incorporated by reference to Exhibit 10.1 to the Company’s Current Report on Form 8-K, filed on February 16, 2021, File No. 001-38609).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51"/>
        <w:gridCol w:w="220"/>
        <w:gridCol w:w="222"/>
        <w:gridCol w:w="2987"/>
        <w:gridCol w:w="2694"/>
        <w:gridCol w:w="3831"/>
      </w:tblGrid>
      <w:tr>
        <w:trPr/>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10.1.1†</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3">
              <w:r>
                <w:rPr>
                  <w:rStyle w:val="InternetLink"/>
                  <w:rFonts w:ascii="Arial;sans-serif" w:hAnsi="Arial;sans-serif"/>
                  <w:b w:val="false"/>
                  <w:color w:val="0000FF"/>
                  <w:sz w:val="20"/>
                  <w:u w:val="single"/>
                </w:rPr>
                <w:t>Second Amended and Restated KLX Energy Services Holdings, Inc. Long-Term Incentive Plan (Amended and Restated as of March 8, 2023) (incorporated by reference to Exhibit 10.1 of KLX Energy Services Holdings, Inc.'s Current Report on Form 8-K, filed on May 15, 2023, File No. 001-38609).</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4">
              <w:r>
                <w:rPr>
                  <w:rStyle w:val="InternetLink"/>
                  <w:rFonts w:ascii="Arial;sans-serif" w:hAnsi="Arial;sans-serif"/>
                  <w:b w:val="false"/>
                  <w:color w:val="0000FF"/>
                  <w:sz w:val="20"/>
                  <w:u w:val="single"/>
                </w:rPr>
                <w:t>Form of KLX Energy Services Holdings, Inc. Long-Term Incentive Plan Restricted Stock Award Agreement (incorporated by reference to Exhibit 4.2 to the Company’s Registration Statement on Form S-8, filed on September 13, 2018, File No. 333-227321)</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10.3†</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5">
              <w:r>
                <w:rPr>
                  <w:rStyle w:val="InternetLink"/>
                  <w:rFonts w:ascii="Arial;sans-serif" w:hAnsi="Arial;sans-serif"/>
                  <w:b w:val="false"/>
                  <w:color w:val="0000FF"/>
                  <w:sz w:val="20"/>
                  <w:u w:val="single"/>
                </w:rPr>
                <w:t>Form of KLX Energy Services Holdings, Inc. Long-Term Incentive Plan Restricted Stock Unit Award Agreement (incorporated by reference to Exhibit 4.3 to the Company’s Registration Statement on Form S-8, filed on September 13, 2018, File No. 333-227321)</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6">
              <w:r>
                <w:rPr>
                  <w:rStyle w:val="InternetLink"/>
                  <w:rFonts w:ascii="Arial;sans-serif" w:hAnsi="Arial;sans-serif"/>
                  <w:b w:val="false"/>
                  <w:color w:val="0000FF"/>
                  <w:sz w:val="20"/>
                  <w:u w:val="single"/>
                </w:rPr>
                <w:t>KLX Energy Services Holdings, Inc. Employee Stock Purchase Plan (incorporated by reference to Exhibit 4.4 to the Company’s Registration Statement on Form S-8, filed on September 13, 2018, File No. 333-227321)</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10.5†</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7">
              <w:r>
                <w:rPr>
                  <w:rStyle w:val="InternetLink"/>
                  <w:rFonts w:ascii="Arial;sans-serif" w:hAnsi="Arial;sans-serif"/>
                  <w:b w:val="false"/>
                  <w:color w:val="0000FF"/>
                  <w:sz w:val="20"/>
                  <w:u w:val="single"/>
                </w:rPr>
                <w:t>Amendment No. 1 to the KLX Energy Services Holdings, Inc. Employee Stock Purchase Plan (incorporated by reference to Exhibit 10.8 of KLXE Energy Services Holdings, Inc.’s Current Report on Form 8-K, filed on July 28, 2020, File No. 001-38609).</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10.6†</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8">
              <w:r>
                <w:rPr>
                  <w:rStyle w:val="InternetLink"/>
                  <w:rFonts w:ascii="Arial;sans-serif" w:hAnsi="Arial;sans-serif"/>
                  <w:b w:val="false"/>
                  <w:color w:val="0000FF"/>
                  <w:sz w:val="20"/>
                  <w:u w:val="single"/>
                </w:rPr>
                <w:t>KLX Energy Services Holdings, Inc. Non-Employee Directors Stock and Deferred Compensation Plan (incorporated by reference to Exhibit 4.5 to the Company’s Registration Statement on Form S-8, filed on September 13, 2018, File No. 333-227321)</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10.7†</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9">
              <w:r>
                <w:rPr>
                  <w:rStyle w:val="InternetLink"/>
                  <w:rFonts w:ascii="Arial;sans-serif" w:hAnsi="Arial;sans-serif"/>
                  <w:b w:val="false"/>
                  <w:color w:val="0000FF"/>
                  <w:sz w:val="20"/>
                  <w:u w:val="single"/>
                </w:rPr>
                <w:t>KLX Energy Services Holdings, Inc. 2018 Deferred Compensation Plan (incorporated by reference to Exhibit 4.1 to the Company’s Registration Statement on Form S-8, filed on September 13, 2018, File No. 333-227327)</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10.8†</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0">
              <w:r>
                <w:rPr>
                  <w:rStyle w:val="InternetLink"/>
                  <w:rFonts w:ascii="Arial;sans-serif" w:hAnsi="Arial;sans-serif"/>
                  <w:b w:val="false"/>
                  <w:color w:val="0000FF"/>
                  <w:sz w:val="20"/>
                  <w:u w:val="single"/>
                </w:rPr>
                <w:t>Medical Care Reimbursement Plan for Executives of KLX Energy Services Holdings, Inc. (incorporated by reference to Exhibit 10.11 to the Company’s Current Report on Form 8-K, filed on September 19, 2018, File No. 001-38609)</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10.9†</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1">
              <w:r>
                <w:rPr>
                  <w:rStyle w:val="InternetLink"/>
                  <w:rFonts w:ascii="Arial;sans-serif" w:hAnsi="Arial;sans-serif"/>
                  <w:b w:val="false"/>
                  <w:color w:val="0000FF"/>
                  <w:sz w:val="20"/>
                  <w:u w:val="single"/>
                </w:rPr>
                <w:t>KLX Energy Services Holdings, Inc. Executive Retiree Medical and Dental Plan (incorporated by reference to Exhibit 10.12 to the Company’s Current Report on Form 8-K, filed on September 19, 2018, File No. 001-38609)</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10.10</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2">
              <w:r>
                <w:rPr>
                  <w:rStyle w:val="InternetLink"/>
                  <w:rFonts w:ascii="Arial;sans-serif" w:hAnsi="Arial;sans-serif"/>
                  <w:b w:val="false"/>
                  <w:color w:val="0000FF"/>
                  <w:sz w:val="20"/>
                  <w:u w:val="single"/>
                </w:rPr>
                <w:t>Guaranty, dated September 14, 2018, of KLX Energy Services LLC and KLX RE Holdings LLC (incorporated by reference to Exhibit 10.2 to the Company’s Current Report on Form 8-K, filed on September 19, 2018, File No. 001-38609)</w:t>
              </w:r>
            </w:hyperlink>
            <w:r>
              <w:rPr>
                <w:rFonts w:ascii="Arial;sans-serif" w:hAnsi="Arial;sans-serif"/>
                <w:b w:val="false"/>
                <w:color w:val="000000"/>
                <w:sz w:val="20"/>
                <w:u w:val="single"/>
              </w:rPr>
              <w:t>.</w:t>
            </w:r>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10.11†</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3">
              <w:r>
                <w:rPr>
                  <w:rStyle w:val="InternetLink"/>
                  <w:rFonts w:ascii="Arial;sans-serif" w:hAnsi="Arial;sans-serif"/>
                  <w:b w:val="false"/>
                  <w:color w:val="0000FF"/>
                  <w:sz w:val="20"/>
                  <w:u w:val="single"/>
                </w:rPr>
                <w:t>Separation and Mutual Release, dated as of April 19, 2020, between Amin J. Khoury and KLX Energy Services Holdings, Inc. (incorporated by reference to Exhibit 10.15 to the Company’s Registration Statement on Form S-4, filed on June 2, 2020, File No. 333-238870).</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10.12†</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4">
              <w:r>
                <w:rPr>
                  <w:rStyle w:val="InternetLink"/>
                  <w:rFonts w:ascii="Arial;sans-serif" w:hAnsi="Arial;sans-serif"/>
                  <w:b w:val="false"/>
                  <w:color w:val="0000FF"/>
                  <w:sz w:val="20"/>
                  <w:u w:val="single"/>
                </w:rPr>
                <w:t>Amended and Restated Consulting Agreement, dated of as of April 19, 2020, between Amin J. Khoury and KLX Energy Services Holdings, Inc. (incorporated by reference to Exhibit 10.16 to the Company’s Registration Statement on Form S-4, filed on June 2, 2020, File No. 333-238870).</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10.13†</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5">
              <w:r>
                <w:rPr>
                  <w:rStyle w:val="InternetLink"/>
                  <w:rFonts w:ascii="Arial;sans-serif" w:hAnsi="Arial;sans-serif"/>
                  <w:b w:val="false"/>
                  <w:color w:val="0000FF"/>
                  <w:sz w:val="20"/>
                  <w:u w:val="single"/>
                </w:rPr>
                <w:t>Separation and General Release Agreement, dated as of April 11, 2020, between Gary J. Roberts and KLX Energy Services Holdings, Inc. (incorporated by reference to Exhibit 10.18 to the Company’s Registration Statement on Form S-4, filed on June 2, 2020, File No. 333-238870).</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10.14†</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6">
              <w:r>
                <w:rPr>
                  <w:rStyle w:val="InternetLink"/>
                  <w:rFonts w:ascii="Arial;sans-serif" w:hAnsi="Arial;sans-serif"/>
                  <w:b w:val="false"/>
                  <w:color w:val="0000FF"/>
                  <w:sz w:val="20"/>
                  <w:u w:val="single"/>
                </w:rPr>
                <w:t>Letter Agreement, dated as of April 27, 2020, between KLX Energy Services Holdings, Inc. and John T. Collins (incorporated by reference to Exhibit 10.14 to the Company’s Registration Statement on Form S-4, filed on June 2, 2020, File No. 333-238870).</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10.15†</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7">
              <w:r>
                <w:rPr>
                  <w:rStyle w:val="InternetLink"/>
                  <w:rFonts w:ascii="Arial;sans-serif" w:hAnsi="Arial;sans-serif"/>
                  <w:b w:val="false"/>
                  <w:color w:val="0000FF"/>
                  <w:sz w:val="20"/>
                  <w:u w:val="single"/>
                </w:rPr>
                <w:t>Executive Employment Agreement, dated as of May 3, 2020, between Christopher J. Baker and KLX Energy Services Holdings, Inc. (incorporated by reference to Exhibit 10.2 of KLXE Energy Services Holdings, Inc.’s Current Report on Form 8-K, filed on July 28, 2020, File No. 001-38609).</w:t>
              </w:r>
            </w:hyperlink>
          </w:p>
        </w:tc>
      </w:tr>
      <w:tr>
        <w:trPr/>
        <w:tc>
          <w:tcPr>
            <w:tcW w:w="69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10.16†</w:t>
            </w:r>
          </w:p>
        </w:tc>
        <w:tc>
          <w:tcPr>
            <w:tcW w:w="95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8">
              <w:r>
                <w:rPr>
                  <w:rStyle w:val="InternetLink"/>
                  <w:rFonts w:ascii="Arial;sans-serif" w:hAnsi="Arial;sans-serif"/>
                  <w:b w:val="false"/>
                  <w:color w:val="0000FF"/>
                  <w:sz w:val="20"/>
                  <w:u w:val="single"/>
                </w:rPr>
                <w:t>Executive Employment Agreement, dated as of May 3, 2020, between Max L. Bouthillette and KLX Energy Services Holdings, Inc. (incorporated by reference to Exhibit 10.3 of KLXE Energy Services Holdings, Inc.’s Current Report on Form 8-K, filed on July 28, 2020, File No. 001-38609).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9"/>
        <w:gridCol w:w="2809"/>
        <w:gridCol w:w="2797"/>
        <w:gridCol w:w="397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79"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10.17†</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Arial;sans-serif" w:hAnsi="Arial;sans-serif"/>
                  <w:b w:val="false"/>
                  <w:color w:val="0000FF"/>
                  <w:sz w:val="20"/>
                  <w:u w:val="single"/>
                </w:rPr>
                <w:t>Separation Agreement and Mutual Release, dated as of July 28, 2020, by and between KLX Energy Services Holdings, Inc. and Thomas P. McCaffrey (incorporated by reference to Exhibit 10.5 to the Company’s Current Report on Form 8-K, filed on July 28, 2020, File No. 001-38609).</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10.18†</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0">
              <w:r>
                <w:rPr>
                  <w:rStyle w:val="InternetLink"/>
                  <w:rFonts w:ascii="Arial;sans-serif" w:hAnsi="Arial;sans-serif"/>
                  <w:b w:val="false"/>
                  <w:color w:val="0000FF"/>
                  <w:sz w:val="20"/>
                  <w:u w:val="single"/>
                </w:rPr>
                <w:t>Letter Agreement, dated as of July 28, 2020, between John T. Collins and KLX Energy Services Holdings, Inc. (incorporated by reference to Exhibit 10.1 of KLXE Energy Services Holdings, Inc.’s Current Report on Form 8-K, filed on July 28, 2020, File No. 001-38609).</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10.19†</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1">
              <w:r>
                <w:rPr>
                  <w:rStyle w:val="InternetLink"/>
                  <w:rFonts w:ascii="Arial;sans-serif" w:hAnsi="Arial;sans-serif"/>
                  <w:b w:val="false"/>
                  <w:color w:val="0000FF"/>
                  <w:sz w:val="20"/>
                  <w:u w:val="single"/>
                </w:rPr>
                <w:t>Separation Agreement and Mutual Release, dated as of July 28, 2020, by and between KLX Energy Services Holdings, Inc. and Heather Floyd (incorporated by reference to Exhibit 10.6 to the Company’s Current Report on Form 8-K (File No. 001-38609) filed with the SEC on July 28, 2020).</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10.20†</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Arial;sans-serif" w:hAnsi="Arial;sans-serif"/>
                  <w:b w:val="false"/>
                  <w:color w:val="0000FF"/>
                  <w:sz w:val="20"/>
                  <w:u w:val="single"/>
                </w:rPr>
                <w:t>Independent Contractor Services Agreement, dated as of July 28, 2020, by and between KLX Energy Services LLC and Heather Floyd (incorporated by reference to Exhibit 10.7 to the Company’s Current Report on Form 8-K (File No. 001-38609) filed with the SEC on July 28, 2020).</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val="false"/>
                <w:color w:val="000000"/>
                <w:sz w:val="20"/>
              </w:rPr>
              <w:t>10.21</w:t>
            </w:r>
            <w:r>
              <w:rPr>
                <w:rFonts w:ascii="Arial;sans-serif" w:hAnsi="Arial;sans-serif"/>
                <w:b w:val="false"/>
                <w:color w:val="000000"/>
                <w:sz w:val="13"/>
              </w:rPr>
              <w:t>¥</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Arial;sans-serif" w:hAnsi="Arial;sans-serif"/>
                  <w:b w:val="false"/>
                  <w:color w:val="0000FF"/>
                  <w:sz w:val="20"/>
                  <w:u w:val="single"/>
                </w:rPr>
                <w:t>Registration Rights Agreement and Lock-Up Agreement, dated March 8, 2023, between KLX Energy Services Holdings, Inc. and Greene’s Holding Corporation (incorporated by reference to Exhibit 10.23 of the Company’s Annual Report on Form 10-K, filed on March 9, 2023, File No. 001-38609).</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10.22</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4">
              <w:r>
                <w:rPr>
                  <w:rStyle w:val="InternetLink"/>
                  <w:rFonts w:ascii="Arial;sans-serif" w:hAnsi="Arial;sans-serif"/>
                  <w:b w:val="false"/>
                  <w:color w:val="0000FF"/>
                  <w:sz w:val="20"/>
                  <w:u w:val="single"/>
                </w:rPr>
                <w:t>Registration Rights Agreement, dated May 3, 2020, by and among KLX Energy Services Holdings, Inc., Archer Holdco LLC, Geveran Investments Limited, Famatown Finance Limited Robertson QES Investment LLC, Quintana Energy Partners—QES Holdings LLC, Quintana Energy Fund – TE, L.P. and Quintana Energy Fund – FI, L.P. (incorporated by reference to Exhibit 10.1 to the Company’s Current Report on Form 8-K, filed on May 4, 2020, File No. 001-38609).</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10.23</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5">
              <w:r>
                <w:rPr>
                  <w:rStyle w:val="InternetLink"/>
                  <w:rFonts w:ascii="Arial;sans-serif" w:hAnsi="Arial;sans-serif"/>
                  <w:b w:val="false"/>
                  <w:color w:val="0000FF"/>
                  <w:sz w:val="20"/>
                  <w:u w:val="single"/>
                </w:rPr>
                <w:t>Registration Rights Agreement, dated September 14, 2018, between KLX Energy Services Holdings, Inc. and Amin J. Khoury (incorporated by reference to Exhibit 10.15 to the Company’s Current Report on Form 8-K, filed on September 19, 2018, File No. 001-38609)</w:t>
              </w:r>
            </w:hyperlink>
            <w:r>
              <w:rPr>
                <w:rFonts w:ascii="Arial;sans-serif" w:hAnsi="Arial;sans-serif"/>
                <w:b w:val="false"/>
                <w:color w:val="000000"/>
                <w:sz w:val="20"/>
                <w:u w:val="single"/>
              </w:rPr>
              <w:t>.</w:t>
            </w:r>
            <w:r>
              <w:rPr>
                <w:color w:val="0563C1"/>
              </w:rPr>
              <w:t xml:space="preserve"> </w:t>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10.24</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Arial;sans-serif" w:hAnsi="Arial;sans-serif"/>
                  <w:b w:val="false"/>
                  <w:color w:val="0000FF"/>
                  <w:sz w:val="20"/>
                  <w:u w:val="single"/>
                </w:rPr>
                <w:t>Registration Rights Agreement, dated September 14, 2018, between KLX Energy Services Holdings, Inc. and Thomas P. McCaffrey (incorporated by reference to Exhibit 10.16 to the Company’s Current Report on Form 8-K, filed on September 19, 2018, File No. 001-38609)</w:t>
              </w:r>
            </w:hyperlink>
            <w:r>
              <w:rPr>
                <w:rFonts w:ascii="Arial;sans-serif" w:hAnsi="Arial;sans-serif"/>
                <w:b w:val="false"/>
                <w:color w:val="000000"/>
                <w:sz w:val="20"/>
                <w:u w:val="single"/>
              </w:rPr>
              <w:t>.</w:t>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10.25†</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7">
              <w:r>
                <w:rPr>
                  <w:rStyle w:val="InternetLink"/>
                  <w:rFonts w:ascii="Arial;sans-serif" w:hAnsi="Arial;sans-serif"/>
                  <w:b w:val="false"/>
                  <w:color w:val="0000FF"/>
                  <w:sz w:val="20"/>
                  <w:u w:val="single"/>
                </w:rPr>
                <w:t>Quintana Energy Services Inc. 2018 Long Term Incentive Plan (incorporated by reference to Exhibit 10.1 of Quintana Energy Services Inc.’s Current Report on Form 8-K, filed on February 14, 2018, File No. 001-38383).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10.26†</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8">
              <w:r>
                <w:rPr>
                  <w:rStyle w:val="InternetLink"/>
                  <w:rFonts w:ascii="Arial;sans-serif" w:hAnsi="Arial;sans-serif"/>
                  <w:b w:val="false"/>
                  <w:color w:val="0000FF"/>
                  <w:sz w:val="20"/>
                  <w:u w:val="single"/>
                </w:rPr>
                <w:t>Quintana Energy Services Inc. Amended and Restated Long-Term Incentive Plan (incorporated by reference to Exhibit 10.2 of Quintana Energy Services Inc.’s Current Report on Form 8-K, filed on February 14, 2018, File No. 001-38383).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10.27†</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Arial;sans-serif" w:hAnsi="Arial;sans-serif"/>
                  <w:b w:val="false"/>
                  <w:color w:val="0000FF"/>
                  <w:sz w:val="20"/>
                  <w:u w:val="single"/>
                </w:rPr>
                <w:t>Form of Performance Share Unit Agreement (Executive Officers - 2018 Form) under the Quintana Energy Services Inc. 2018 Long-Term Incentive Plan (Incorporated by reference to Exhibit 10.27 of Quintana Energy Services Inc.’s Annual Report on Form 10-K filed on March 6, 2020).</w:t>
              </w:r>
            </w:hyperlink>
            <w:r>
              <w:rPr>
                <w:color w:val="000000"/>
              </w:rPr>
              <w:t xml:space="preserve"> </w:t>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10.28†</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Arial;sans-serif" w:hAnsi="Arial;sans-serif"/>
                  <w:b w:val="false"/>
                  <w:color w:val="0000FF"/>
                  <w:sz w:val="20"/>
                  <w:u w:val="single"/>
                </w:rPr>
                <w:t>Form of Performance Share Unit Agreement (Employees - 2018 Form) under the Quintana Energy Services Inc. 2018 Long-Term Incentive Plan (Incorporated by reference to Exhibit 10.28 of Quintana Energy Services Inc.’s Annual Report on Form 10-K filed on March 6, 2020).</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10.29†</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1">
              <w:r>
                <w:rPr>
                  <w:rStyle w:val="InternetLink"/>
                  <w:rFonts w:ascii="Arial;sans-serif" w:hAnsi="Arial;sans-serif"/>
                  <w:b w:val="false"/>
                  <w:color w:val="0000FF"/>
                  <w:sz w:val="20"/>
                  <w:u w:val="single"/>
                </w:rPr>
                <w:t>Form of Performance Share Unit Agreement (Executive Officers - 2019 Form) under the Quintana Energy Services Inc. 2018 Long-Term Incentive Plan (Incorporated by reference to Exhibit 10.29 of Quintana Energy Services Inc.’s Annual Report on Form 10-K filed on March 6, 2020)</w:t>
              </w:r>
            </w:hyperlink>
            <w:r>
              <w:rPr>
                <w:rFonts w:ascii="Arial;sans-serif" w:hAnsi="Arial;sans-serif"/>
                <w:b w:val="false"/>
                <w:color w:val="000000"/>
                <w:sz w:val="20"/>
              </w:rPr>
              <w:t>.</w:t>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10.30†</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2">
              <w:r>
                <w:rPr>
                  <w:rStyle w:val="InternetLink"/>
                  <w:rFonts w:ascii="Arial;sans-serif" w:hAnsi="Arial;sans-serif"/>
                  <w:b w:val="false"/>
                  <w:color w:val="0000FF"/>
                  <w:sz w:val="20"/>
                  <w:u w:val="single"/>
                </w:rPr>
                <w:t>Form of Performance Share Unit Agreement (Employees-2019 Form) under the Quintana Energy Services 2019 Long-Term Incentive Plan (Incorporated by reference to Exhibit 10.30 of Quintana Energy Services Inc.’s Annual Report on Form 10-K filed on March 6, 2020)</w:t>
              </w:r>
            </w:hyperlink>
            <w:r>
              <w:rPr>
                <w:rFonts w:ascii="Arial;sans-serif" w:hAnsi="Arial;sans-serif"/>
                <w:b w:val="false"/>
                <w:color w:val="000000"/>
                <w:sz w:val="20"/>
              </w:rPr>
              <w:t>.</w:t>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10.31†</w:t>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Arial;sans-serif" w:hAnsi="Arial;sans-serif"/>
                  <w:b w:val="false"/>
                  <w:color w:val="0000FF"/>
                  <w:sz w:val="20"/>
                  <w:u w:val="single"/>
                </w:rPr>
                <w:t>Form of Restricted Stock Unit Agreement (Executive Officers) under the Quintana Energy Services Inc. 2018 Long-Term Incentive Plan (Incorporated by reference to Exhibit 10.31 of Quintana Energy Services Inc.’s Annual Report on Form 10-K filed on March 6,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51"/>
        <w:gridCol w:w="221"/>
        <w:gridCol w:w="224"/>
        <w:gridCol w:w="2917"/>
        <w:gridCol w:w="2728"/>
        <w:gridCol w:w="3864"/>
      </w:tblGrid>
      <w:tr>
        <w:trPr/>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10.32†</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Arial;sans-serif" w:hAnsi="Arial;sans-serif"/>
                  <w:b w:val="false"/>
                  <w:color w:val="0000FF"/>
                  <w:sz w:val="20"/>
                  <w:u w:val="single"/>
                </w:rPr>
                <w:t>Form of Restricted Stock Unit Agreement (Employees) under the Quintana Energy Services Inc. 2018 Long-Term Incentive Plan (Incorporated by reference to Exhibit 10.32 of Quintana Energy Services Inc.’s Annual Report on Form 10-K filed on March 6, 2020).</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10.33†</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5">
              <w:r>
                <w:rPr>
                  <w:rStyle w:val="InternetLink"/>
                  <w:rFonts w:ascii="Arial;sans-serif" w:hAnsi="Arial;sans-serif"/>
                  <w:b w:val="false"/>
                  <w:color w:val="0000FF"/>
                  <w:sz w:val="20"/>
                  <w:u w:val="single"/>
                </w:rPr>
                <w:t>Form of Restricted Stock Unit Agreement (Executive Officers) under the KLX Energy Services Holdings, Inc. Long-Term Incentive Plan (incorporated by reference to Exhibit 10.35 of the Company’s Annual Report on Form 10-K filed March 9, 2023, File No. 001-38609).</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10.34</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6">
              <w:r>
                <w:rPr>
                  <w:rStyle w:val="InternetLink"/>
                  <w:rFonts w:ascii="Arial;sans-serif" w:hAnsi="Arial;sans-serif"/>
                  <w:b w:val="false"/>
                  <w:color w:val="0000FF"/>
                  <w:sz w:val="20"/>
                  <w:u w:val="single"/>
                </w:rPr>
                <w:t>Securities Purchase Agreement, dated as of March 7, 2025, by and among KLX Energy Services Holdings, Inc., the subsidiary guarantors party thereto, and the holders of Existing Notes party thereto (incorporated by reference to Exhibit 10.1 of the Company’s Current Report on Form 8-K, filed on March 7, 2025, File No. 001-38609).</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val="false"/>
                <w:color w:val="000000"/>
                <w:sz w:val="20"/>
              </w:rPr>
              <w:t>10.35</w:t>
            </w:r>
            <w:r>
              <w:rPr>
                <w:rFonts w:ascii="Arial;sans-serif" w:hAnsi="Arial;sans-serif"/>
                <w:b w:val="false"/>
                <w:color w:val="000000"/>
                <w:sz w:val="13"/>
              </w:rPr>
              <w:t>¥</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7">
              <w:r>
                <w:rPr>
                  <w:rStyle w:val="InternetLink"/>
                  <w:rFonts w:ascii="Arial;sans-serif" w:hAnsi="Arial;sans-serif"/>
                  <w:b w:val="false"/>
                  <w:color w:val="0000FF"/>
                  <w:sz w:val="20"/>
                  <w:u w:val="single"/>
                </w:rPr>
                <w:t>Credit Agreement, dated as of March 7, 2025, by and among KLX Energy Services Holdings, Inc., Eclipse Business Capital LLC, as administrative agent, as collateral agent and as FILO administrative agent and the lenders party thereto (incorporated by reference to Exhibit 10.2 of the Company’s Current Report on Form 8-K, filed on March 7, 2025, File No. 001-38609).</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19.1</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8">
              <w:r>
                <w:rPr>
                  <w:rStyle w:val="InternetLink"/>
                  <w:rFonts w:ascii="Arial;sans-serif" w:hAnsi="Arial;sans-serif"/>
                  <w:b w:val="false"/>
                  <w:color w:val="0000FF"/>
                  <w:sz w:val="20"/>
                  <w:u w:val="single"/>
                </w:rPr>
                <w:t>KLX Energy Services Holdings, Inc. Insider Trading Policy (incorporated by reference to Exhibit 19.1 of the Company’s Annual Report on Form 10-K, filed on March 13, 2025, File No. 001-38609).</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21.1</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9">
              <w:r>
                <w:rPr>
                  <w:rStyle w:val="InternetLink"/>
                  <w:rFonts w:ascii="Arial;sans-serif" w:hAnsi="Arial;sans-serif"/>
                  <w:b w:val="false"/>
                  <w:color w:val="0000FF"/>
                  <w:sz w:val="20"/>
                  <w:u w:val="single"/>
                </w:rPr>
                <w:t>List of subsidiaries of KLX Energy Services Holdings, Inc. (incorporated by reference to Exhibit 21.1 of the Company’s Annual Report on Form 10-K, filed on March 13, 2025, File No. 001-38609).</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23.1*</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5q4ex231dtconsent.htm">
              <w:r>
                <w:rPr>
                  <w:rStyle w:val="InternetLink"/>
                  <w:rFonts w:ascii="Arial;sans-serif" w:hAnsi="Arial;sans-serif"/>
                  <w:b w:val="false"/>
                  <w:color w:val="0000FF"/>
                  <w:sz w:val="20"/>
                  <w:u w:val="single"/>
                </w:rPr>
                <w:t>Consent of Independent Registered Public Accounting Firm – Deloitte &amp; Touche LLP.</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5q4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31.2*</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5q4ex312geoff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5q4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32.2**</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5q4ex322geoff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97.1†</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0">
              <w:r>
                <w:rPr>
                  <w:rStyle w:val="InternetLink"/>
                  <w:rFonts w:ascii="Arial;sans-serif" w:hAnsi="Arial;sans-serif"/>
                  <w:b w:val="false"/>
                  <w:color w:val="000080"/>
                  <w:sz w:val="20"/>
                  <w:u w:val="single"/>
                </w:rPr>
                <w:t xml:space="preserve">KLX Energy Services Holdings, Inc. Executive Officer Incentive Compensation Clawback Policy </w:t>
              </w:r>
            </w:hyperlink>
            <w:hyperlink r:id="rId61">
              <w:r>
                <w:rPr>
                  <w:rStyle w:val="InternetLink"/>
                  <w:rFonts w:ascii="Arial;sans-serif" w:hAnsi="Arial;sans-serif"/>
                  <w:b w:val="false"/>
                  <w:color w:val="000080"/>
                  <w:sz w:val="20"/>
                  <w:u w:val="single"/>
                </w:rPr>
                <w:t>(incorporated by reference to Exhibit 97.1 of the Company’s Annual Report on Form 10-K, filed on March 8, 2024, File No. 001-38609)</w:t>
              </w:r>
            </w:hyperlink>
            <w:hyperlink r:id="rId62">
              <w:r>
                <w:rPr>
                  <w:rStyle w:val="InternetLink"/>
                  <w:rFonts w:ascii="Arial;sans-serif" w:hAnsi="Arial;sans-serif"/>
                  <w:b w:val="false"/>
                  <w:color w:val="000080"/>
                  <w:sz w:val="20"/>
                  <w:u w:val="single"/>
                </w:rPr>
                <w:t>.</w:t>
              </w:r>
            </w:hyperlink>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Filed herewith.</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Furnished herewith.</w:t>
      </w:r>
    </w:p>
    <w:p>
      <w:pPr>
        <w:pStyle w:val="TextBody"/>
        <w:bidi w:val="0"/>
        <w:spacing w:lineRule="auto" w:line="276" w:before="0" w:after="0"/>
        <w:jc w:val="both"/>
        <w:rPr>
          <w:color w:val="000000"/>
        </w:rPr>
      </w:pPr>
      <w:r>
        <w:rPr>
          <w:color w:val="000000"/>
        </w:rPr>
        <w:t xml:space="preserve">† </w:t>
      </w:r>
      <w:r>
        <w:rPr>
          <w:rFonts w:ascii="Times New Roman;serif" w:hAnsi="Times New Roman;serif"/>
          <w:b w:val="false"/>
          <w:color w:val="000000"/>
          <w:sz w:val="24"/>
        </w:rPr>
        <w:t>Management contract or compensatory plan or arrangement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Certain schedules and exhibits to this agreement have been omitted in accordance with Item 601(a)(5) of Regulation S-K. A copy of any omitted schedule and/or exhibit will be furnished to the SEC 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58" w:type="dxa"/>
        <w:jc w:val="left"/>
        <w:tblInd w:w="0" w:type="dxa"/>
        <w:tblLayout w:type="fixed"/>
        <w:tblCellMar>
          <w:top w:w="28" w:type="dxa"/>
          <w:left w:w="28" w:type="dxa"/>
          <w:bottom w:w="28" w:type="dxa"/>
          <w:right w:w="28" w:type="dxa"/>
        </w:tblCellMar>
      </w:tblPr>
      <w:tblGrid>
        <w:gridCol w:w="357"/>
        <w:gridCol w:w="314"/>
        <w:gridCol w:w="318"/>
        <w:gridCol w:w="604"/>
        <w:gridCol w:w="604"/>
        <w:gridCol w:w="861"/>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16.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Form 10-K Summary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50850"/>
                <wp:effectExtent l="0" t="0" r="0" b="0"/>
                <wp:wrapNone/>
                <wp:docPr id="103" name="Frame10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before="0" w:after="60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50850"/>
                <wp:effectExtent l="0" t="0" r="0" b="0"/>
                <wp:wrapNone/>
                <wp:docPr id="104" name="Frame10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821" w:type="dxa"/>
        <w:jc w:val="center"/>
        <w:tblInd w:w="0" w:type="dxa"/>
        <w:tblLayout w:type="fixed"/>
        <w:tblCellMar>
          <w:top w:w="28" w:type="dxa"/>
          <w:left w:w="28" w:type="dxa"/>
          <w:bottom w:w="28" w:type="dxa"/>
          <w:right w:w="28" w:type="dxa"/>
        </w:tblCellMar>
      </w:tblPr>
      <w:tblGrid>
        <w:gridCol w:w="482"/>
        <w:gridCol w:w="422"/>
        <w:gridCol w:w="422"/>
        <w:gridCol w:w="422"/>
        <w:gridCol w:w="422"/>
        <w:gridCol w:w="422"/>
        <w:gridCol w:w="1215"/>
        <w:gridCol w:w="1215"/>
        <w:gridCol w:w="1799"/>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682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12, 2026</w:t>
            </w:r>
          </w:p>
        </w:tc>
      </w:tr>
    </w:tbl>
    <w:p>
      <w:pPr>
        <w:pStyle w:val="TextBody"/>
        <w:bidi w:val="0"/>
        <w:spacing w:before="0" w:after="0"/>
        <w:jc w:val="center"/>
        <w:rPr/>
      </w:pPr>
      <w:r>
        <w:rPr/>
      </w:r>
    </w:p>
    <w:p>
      <w:pPr>
        <w:pStyle w:val="TextBody"/>
        <w:bidi w:val="0"/>
        <w:spacing w:lineRule="auto" w:line="288" w:before="30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indicated on March 12, 2026.</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39"/>
        <w:gridCol w:w="604"/>
        <w:gridCol w:w="610"/>
        <w:gridCol w:w="2446"/>
        <w:gridCol w:w="2335"/>
        <w:gridCol w:w="3371"/>
      </w:tblGrid>
      <w:tr>
        <w:trPr/>
        <w:tc>
          <w:tcPr>
            <w:tcW w:w="83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r>
      <w:tr>
        <w:trPr/>
        <w:tc>
          <w:tcPr>
            <w:tcW w:w="2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J. Baker</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Chief Executive Officer and Director (Principal Executive Officer)</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J. Baker</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Geoffrey C. Stanford</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Senior Vice President, Interim Chief Financial Officer and Chief Accounting Officer (Principal Financial and Accounting Officer)</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Geoffrey C. Stanford</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T. Whates</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 and Chairman of the Audit Committee</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Whates</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Gunnar Eliassen</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 and Chairman of the Nominating and Corporate Governance Committee</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Gunnar Eliassen</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Corbin J. Robertson, Jr.</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Chairman of the Board of Directors</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Corbin J. Robertson, Jr.</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T. Collins</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Collins</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Danielle E. Hunter</w:t>
            </w:r>
          </w:p>
        </w:tc>
        <w:tc>
          <w:tcPr>
            <w:tcW w:w="81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Director and Chairman of the Compensation Committee</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Danielle E. Hunter</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Thomas P. McCaffrey</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Thomas P. McCaffrey</w:t>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50850"/>
                <wp:effectExtent l="0" t="0" r="0" b="0"/>
                <wp:wrapNone/>
                <wp:docPr id="105" name="Frame10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FIRST AMENDMENT TO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FIRST AMENDMENT TO INDENTURE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March 6, 2026, by and among KLX Energy Services Holdings, Inc., a Delaware corporation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each of the Guarantors from time to time party thereto, and U.S. Bank Trust Company, National Association, as trustee (in such capacity, together with its successors and assigns,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and as notes collateral agent for the Secured Parties (in such capacity, together with its successors and assigns,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 E C I T A L 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the Guarantors, the Trustee and the Collateral Agent are parties to that certain Indenture dated as of March 12, 2025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(a) the Senior Secured Floating Rate Cash / PIK Notes due 2030, (b) from time to time PIK Notes and (c) any Additional Notes (collectively,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Pursuant to Section 12.02 of the Indenture, the Issuer, the Guarantors, the Trustee and the Collateral Agent are authorized to execute and deliver this Amendment to amend the Indenture with the written consent of the Controlling Parties (the “</w:t>
      </w:r>
      <w:r>
        <w:rPr>
          <w:rFonts w:ascii="Times New Roman;serif" w:hAnsi="Times New Roman;serif"/>
          <w:b w:val="false"/>
          <w:color w:val="000000"/>
          <w:sz w:val="24"/>
          <w:u w:val="single"/>
        </w:rPr>
        <w:t>Required Consents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Issuer has requested and received the Required Consents from the Controlling Parties to the amendments to the Indenture contained herein and the execution 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Issuer has delivered to the Trustee, in accordance with Sections 12.02 and 12.06 of the Indenture, an Officers’ Certificate and an Opinion of Counsel stating that the execution of this Amendment is authorized or permitted by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Issuer has requested that the Trustee and the Collateral Agent execute and deliver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NOW, THEREFORE, in consideration of the premises and the mutual covenants herein contained, for good and valuable consideration, the receipt and sufficiency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Defined Terms</w:t>
      </w:r>
      <w:r>
        <w:rPr>
          <w:rFonts w:ascii="Times New Roman;serif" w:hAnsi="Times New Roman;serif"/>
          <w:b w:val="false"/>
          <w:color w:val="000000"/>
          <w:sz w:val="24"/>
        </w:rPr>
        <w:t>. Each capitalized term used herein but not otherwise defined herein (including in the preliminary paragraph and in the recitals hereof) has the meaning given such term in the Indenture. Unless otherwise indicated, all article and section references in this Amendment refer to articles and sections of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Amendments to Indenture</w:t>
      </w:r>
      <w:r>
        <w:rPr>
          <w:rFonts w:ascii="Times New Roman;serif" w:hAnsi="Times New Roman;serif"/>
          <w:b w:val="false"/>
          <w:color w:val="000000"/>
          <w:sz w:val="24"/>
        </w:rPr>
        <w:t>. Effective as of the First Amendment Effective Date (defined below):</w:t>
      </w:r>
    </w:p>
    <w:p>
      <w:pPr>
        <w:pStyle w:val="TextBody"/>
        <w:bidi w:val="0"/>
        <w:spacing w:lineRule="auto" w:line="240" w:before="0" w:after="240"/>
        <w:ind w:left="0" w:right="0" w:firstLine="14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New Definitions</w:t>
      </w:r>
      <w:r>
        <w:rPr>
          <w:rFonts w:ascii="Times New Roman;serif" w:hAnsi="Times New Roman;serif"/>
          <w:b w:val="false"/>
          <w:color w:val="000000"/>
          <w:sz w:val="24"/>
        </w:rPr>
        <w:t>. Section 1.01 of the Indenture is hereby amended to add the following new definitions to such section in alphabetical order: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Financial Covenant Relief Period</w:t>
      </w:r>
      <w:r>
        <w:rPr>
          <w:color w:val="000000"/>
        </w:rPr>
        <w:t xml:space="preserve">” </w:t>
      </w:r>
      <w:r>
        <w:rPr>
          <w:rFonts w:ascii="Times New Roman;serif" w:hAnsi="Times New Roman;serif"/>
          <w:b w:val="false"/>
          <w:color w:val="000000"/>
          <w:sz w:val="24"/>
        </w:rPr>
        <w:t>means the period commencing with the first day of the Test Period ending December 31, 2025 and ending with, and including, the last day of the Test Period ending March 31, 2027.</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First Amendment</w:t>
      </w:r>
      <w:r>
        <w:rPr>
          <w:color w:val="000000"/>
        </w:rPr>
        <w:t xml:space="preserve">” </w:t>
      </w:r>
      <w:r>
        <w:rPr>
          <w:rFonts w:ascii="Times New Roman;serif" w:hAnsi="Times New Roman;serif"/>
          <w:b w:val="false"/>
          <w:color w:val="000000"/>
          <w:sz w:val="24"/>
        </w:rPr>
        <w:t>means that certain First Amendment to Indenture dated as of the First Amendment Effective Date, by and among the Issuer, the Guarantors party thereto, the Trustee, and the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First Amendment Effective Date</w:t>
      </w:r>
      <w:r>
        <w:rPr>
          <w:color w:val="000000"/>
        </w:rPr>
        <w:t xml:space="preserve">” </w:t>
      </w:r>
      <w:r>
        <w:rPr>
          <w:rFonts w:ascii="Times New Roman;serif" w:hAnsi="Times New Roman;serif"/>
          <w:b w:val="false"/>
          <w:color w:val="000000"/>
          <w:sz w:val="24"/>
        </w:rPr>
        <w:t>means March 6,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Insurance Collateral LC Obligations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6.01(u)</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Permitted Cure Securities</w:t>
      </w:r>
      <w:r>
        <w:rPr>
          <w:color w:val="000000"/>
        </w:rPr>
        <w:t xml:space="preserve">” </w:t>
      </w:r>
      <w:r>
        <w:rPr>
          <w:rFonts w:ascii="Times New Roman;serif" w:hAnsi="Times New Roman;serif"/>
          <w:b w:val="false"/>
          <w:color w:val="000000"/>
          <w:sz w:val="24"/>
        </w:rPr>
        <w:t xml:space="preserve">means any Equity Interests (other than Disqualified Capital Stock), including, without limitation, Common Stock issued pursuant to any at-the-market offering program, the proceeds of which are utilized in connection with an Equity Cure Contribution pursuant to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Amended and Restated Definition</w:t>
      </w:r>
      <w:r>
        <w:rPr>
          <w:rFonts w:ascii="Times New Roman;serif" w:hAnsi="Times New Roman;serif"/>
          <w:b w:val="false"/>
          <w:color w:val="000000"/>
          <w:sz w:val="24"/>
        </w:rPr>
        <w:t>. Section 1.01 of the Indenture is hereby amended to amend and restate the definition of “Note Documents” as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 Documents</w:t>
      </w:r>
      <w:r>
        <w:rPr>
          <w:color w:val="000000"/>
        </w:rPr>
        <w:t xml:space="preserve">” </w:t>
      </w:r>
      <w:r>
        <w:rPr>
          <w:rFonts w:ascii="Times New Roman;serif" w:hAnsi="Times New Roman;serif"/>
          <w:b w:val="false"/>
          <w:color w:val="000000"/>
          <w:sz w:val="24"/>
        </w:rPr>
        <w:t>means this Indenture, the First Amendment, any further amendments hereto, any Intercreditor Agreement, the Notes, the Security Documents, the Intercompany Note, the Securities Purchase Agreement and other intercreditor agreements and subordination agreements entered into pursuant to the terms hereof that any Note Party is party to and any other document designated as such by the Issuer, in each case as amended, amended and restated, restated, supplemented and/or modified from time to time. For the avoidance of doubt, the Warrants shall not be deemed to be Note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Amended and Restated Definition</w:t>
      </w:r>
      <w:r>
        <w:rPr>
          <w:rFonts w:ascii="Times New Roman;serif" w:hAnsi="Times New Roman;serif"/>
          <w:b w:val="false"/>
          <w:color w:val="000000"/>
          <w:sz w:val="24"/>
        </w:rPr>
        <w:t>. Section 1.01 of the Indenture is hereby amended to amend and restate the definition of “Total Net Leverage Ratio” as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Total Net Leverage Ratio</w:t>
      </w:r>
      <w:r>
        <w:rPr>
          <w:color w:val="000000"/>
        </w:rPr>
        <w:t xml:space="preserve">” </w:t>
      </w:r>
      <w:r>
        <w:rPr>
          <w:rFonts w:ascii="Times New Roman;serif" w:hAnsi="Times New Roman;serif"/>
          <w:b w:val="false"/>
          <w:color w:val="000000"/>
          <w:sz w:val="24"/>
        </w:rPr>
        <w:t xml:space="preserve">means, at any date of determination, the ratio of (a)(x) Consolidated Total Indebtedness of the Issuer and its Restricted Subsidiaries on such date </w:t>
      </w:r>
      <w:r>
        <w:rPr>
          <w:rFonts w:ascii="Times New Roman;serif" w:hAnsi="Times New Roman;serif"/>
          <w:b w:val="false"/>
          <w:i/>
          <w:color w:val="000000"/>
          <w:sz w:val="24"/>
        </w:rPr>
        <w:t xml:space="preserve">minus </w:t>
      </w:r>
      <w:r>
        <w:rPr>
          <w:rFonts w:ascii="Times New Roman;serif" w:hAnsi="Times New Roman;serif"/>
          <w:b w:val="false"/>
          <w:color w:val="000000"/>
          <w:sz w:val="24"/>
        </w:rPr>
        <w:t xml:space="preserve">(y) Unrestricted Cash of the Issuer and its Restricted Subsidiaries on such date in an amount not to exceed $25,000,000 to (b) Consolidated EBITDA for the Test Period then most recently ended;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solely for purposes of determining compliance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during the Financial Covenant Relief Period, Total Net Leverage Ratio shall be calculated without giving effect to the Indebtedness described in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of the definition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Amendment to Indebtedness Covenant</w:t>
      </w:r>
      <w:r>
        <w:rPr>
          <w:rFonts w:ascii="Times New Roman;serif" w:hAnsi="Times New Roman;serif"/>
          <w:b w:val="false"/>
          <w:color w:val="000000"/>
          <w:sz w:val="24"/>
        </w:rPr>
        <w:t>. Section 6.01 of the Indenture is hereby amended by replacing existing clause (u) in its entirety to read as follows:</w:t>
      </w:r>
    </w:p>
    <w:p>
      <w:pPr>
        <w:pStyle w:val="TextBody"/>
        <w:bidi w:val="0"/>
        <w:spacing w:lineRule="auto" w:line="288" w:before="0" w:after="240"/>
        <w:jc w:val="both"/>
        <w:rPr/>
      </w:pPr>
      <w:r>
        <w:rPr>
          <w:rFonts w:ascii="Times New Roman;serif" w:hAnsi="Times New Roman;serif"/>
          <w:b w:val="false"/>
          <w:color w:val="000000"/>
          <w:sz w:val="24"/>
        </w:rPr>
        <w:t>(u)    Indebtedness arising under or in connection with the issuance of letters of credit or other forms of credit support under any insurance collateral funding arrangement or substitute insurance collateral facility (“</w:t>
      </w:r>
      <w:r>
        <w:rPr>
          <w:rFonts w:ascii="Times New Roman;serif" w:hAnsi="Times New Roman;serif"/>
          <w:b w:val="false"/>
          <w:color w:val="000000"/>
          <w:sz w:val="24"/>
          <w:u w:val="single"/>
        </w:rPr>
        <w:t>Insurance Collateral LC Obligations</w:t>
      </w:r>
      <w:r>
        <w:rPr>
          <w:color w:val="000000"/>
        </w:rPr>
        <w:t>”</w:t>
      </w:r>
      <w:r>
        <w:rPr>
          <w:rFonts w:ascii="Times New Roman;serif" w:hAnsi="Times New Roman;serif"/>
          <w:b w:val="false"/>
          <w:color w:val="000000"/>
          <w:sz w:val="24"/>
        </w:rPr>
        <w:t xml:space="preserve">) issued for the account of any Group Member in favor of any insurance company or other insurer to secure insurance obligations of any Group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Member; </w:t>
      </w:r>
      <w:r>
        <w:rPr>
          <w:rFonts w:ascii="Times New Roman;serif" w:hAnsi="Times New Roman;serif"/>
          <w:b w:val="false"/>
          <w:i/>
          <w:color w:val="000000"/>
          <w:sz w:val="24"/>
        </w:rPr>
        <w:t>provided</w:t>
      </w:r>
      <w:r>
        <w:rPr>
          <w:rFonts w:ascii="Times New Roman;serif" w:hAnsi="Times New Roman;serif"/>
          <w:b w:val="false"/>
          <w:color w:val="000000"/>
          <w:sz w:val="24"/>
        </w:rPr>
        <w:t>, that, the aggregate face amount of all Insurance Collateral LC Obligations outstanding under this clause (u) shall not exceed $6,700,000;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Amendment to Liens Covenant</w:t>
      </w:r>
      <w:r>
        <w:rPr>
          <w:rFonts w:ascii="Times New Roman;serif" w:hAnsi="Times New Roman;serif"/>
          <w:b w:val="false"/>
          <w:color w:val="000000"/>
          <w:sz w:val="24"/>
        </w:rPr>
        <w:t>. Section 6.02 of the Indenture is hereby amended by (x) deleting the word “and” at the end of clause (gg), (y) replacing the period at the end of clause (hh) with “; and” and (z) inserting a new clause (ii) immediately following clause (hh) to read in full as follows:</w:t>
      </w:r>
    </w:p>
    <w:p>
      <w:pPr>
        <w:pStyle w:val="TextBody"/>
        <w:bidi w:val="0"/>
        <w:spacing w:lineRule="auto" w:line="288" w:before="0" w:after="240"/>
        <w:jc w:val="both"/>
        <w:rPr/>
      </w:pPr>
      <w:r>
        <w:rPr>
          <w:rFonts w:ascii="Times New Roman;serif" w:hAnsi="Times New Roman;serif"/>
          <w:b w:val="false"/>
          <w:color w:val="000000"/>
          <w:sz w:val="24"/>
        </w:rPr>
        <w:t xml:space="preserve">(ii)    Liens in respect of cash collateral securing Indebtedness incurred pursuant to </w:t>
      </w:r>
      <w:r>
        <w:rPr>
          <w:rFonts w:ascii="Times New Roman;serif" w:hAnsi="Times New Roman;serif"/>
          <w:b w:val="false"/>
          <w:color w:val="000000"/>
          <w:sz w:val="24"/>
          <w:u w:val="single"/>
        </w:rPr>
        <w:t>Section 6.01(u)</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Amendment to Financial Covenant</w:t>
      </w:r>
      <w:r>
        <w:rPr>
          <w:rFonts w:ascii="Times New Roman;serif" w:hAnsi="Times New Roman;serif"/>
          <w:b w:val="false"/>
          <w:color w:val="000000"/>
          <w:sz w:val="24"/>
        </w:rPr>
        <w:t>. Section 6.08(a) of the Indenture is amended and restated in its entirety to read as follows:</w:t>
      </w:r>
    </w:p>
    <w:p>
      <w:pPr>
        <w:pStyle w:val="TextBody"/>
        <w:bidi w:val="0"/>
        <w:spacing w:lineRule="auto" w:line="288" w:before="0" w:after="2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Total Net Leverage Ratio</w:t>
      </w:r>
      <w:r>
        <w:rPr>
          <w:rFonts w:ascii="Times New Roman;serif" w:hAnsi="Times New Roman;serif"/>
          <w:b w:val="false"/>
          <w:color w:val="000000"/>
          <w:sz w:val="24"/>
        </w:rPr>
        <w:t>. Except with the written consent of the Controlling Parties, permit the Total Net Leverage Ratio as of the last day of and for any Test Period (commencing, for the avoidance of doubt, with the Test Period ending March 31, 2025) to be greater than the Total Net Leverage Ratio set forth below opposite such Test Period:</w:t>
      </w:r>
    </w:p>
    <w:tbl>
      <w:tblPr>
        <w:tblW w:w="4319" w:type="dxa"/>
        <w:jc w:val="left"/>
        <w:tblInd w:w="0" w:type="dxa"/>
        <w:tblLayout w:type="fixed"/>
        <w:tblCellMar>
          <w:top w:w="28" w:type="dxa"/>
          <w:left w:w="28" w:type="dxa"/>
          <w:bottom w:w="28" w:type="dxa"/>
          <w:right w:w="28" w:type="dxa"/>
        </w:tblCellMar>
      </w:tblPr>
      <w:tblGrid>
        <w:gridCol w:w="797"/>
        <w:gridCol w:w="702"/>
        <w:gridCol w:w="706"/>
        <w:gridCol w:w="619"/>
        <w:gridCol w:w="619"/>
        <w:gridCol w:w="87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Test Period Ending</w:t>
            </w:r>
          </w:p>
        </w:tc>
        <w:tc>
          <w:tcPr>
            <w:tcW w:w="21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Total Net Leverage</w:t>
            </w:r>
          </w:p>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Ratio</w:t>
            </w:r>
          </w:p>
        </w:tc>
      </w:tr>
      <w:tr>
        <w:trPr/>
        <w:tc>
          <w:tcPr>
            <w:tcW w:w="2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March 31, 2025</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through and including</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March 31, 2027</w:t>
            </w:r>
          </w:p>
        </w:tc>
        <w:tc>
          <w:tcPr>
            <w:tcW w:w="21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4.50:1.00</w:t>
            </w:r>
          </w:p>
        </w:tc>
      </w:tr>
      <w:tr>
        <w:trPr/>
        <w:tc>
          <w:tcPr>
            <w:tcW w:w="2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June 30, 2027</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through and including</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March 31, 2028</w:t>
            </w:r>
          </w:p>
        </w:tc>
        <w:tc>
          <w:tcPr>
            <w:tcW w:w="21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3.50:1.00</w:t>
            </w:r>
          </w:p>
        </w:tc>
      </w:tr>
      <w:tr>
        <w:trPr/>
        <w:tc>
          <w:tcPr>
            <w:tcW w:w="2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June 30, 2028</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through and including</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March 31, 2029</w:t>
            </w:r>
          </w:p>
        </w:tc>
        <w:tc>
          <w:tcPr>
            <w:tcW w:w="21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3.00:1.00</w:t>
            </w:r>
          </w:p>
        </w:tc>
      </w:tr>
      <w:tr>
        <w:trPr/>
        <w:tc>
          <w:tcPr>
            <w:tcW w:w="220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June 30, 2029, and</w:t>
            </w:r>
          </w:p>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thereafter</w:t>
            </w:r>
          </w:p>
        </w:tc>
        <w:tc>
          <w:tcPr>
            <w:tcW w:w="211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2.50:1.00</w:t>
            </w:r>
          </w:p>
        </w:tc>
      </w:tr>
    </w:tbl>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Amendment to Equity Cure</w:t>
      </w:r>
      <w:r>
        <w:rPr>
          <w:rFonts w:ascii="Times New Roman;serif" w:hAnsi="Times New Roman;serif"/>
          <w:b w:val="false"/>
          <w:color w:val="000000"/>
          <w:sz w:val="24"/>
        </w:rPr>
        <w:t xml:space="preserve">. Section 8.10(a) of the Indenture is hereby amended to replace the phrase “the then existing direct or indirect equity holders of Issuer shall have the right to make an equity investment, directly or indirectly (which equity contribution (whether direct or indirect) shall not be Disqualified Capital Stock), in Issuer in cash on or prior to the fifteenth Business Day after the date on which financial statements are required to be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as applicable, with respect to such Cure Quarter or the fiscal year ending on the last day of such Cure Quarter, as applicable (the “</w:t>
      </w:r>
      <w:r>
        <w:rPr>
          <w:rFonts w:ascii="Times New Roman;serif" w:hAnsi="Times New Roman;serif"/>
          <w:b/>
          <w:color w:val="000000"/>
          <w:sz w:val="24"/>
        </w:rPr>
        <w:t>Cure Expiration Date</w:t>
      </w:r>
      <w:r>
        <w:rPr>
          <w:color w:val="000000"/>
        </w:rPr>
        <w:t>”</w:t>
      </w:r>
      <w:r>
        <w:rPr>
          <w:rFonts w:ascii="Times New Roman;serif" w:hAnsi="Times New Roman;serif"/>
          <w:b w:val="false"/>
          <w:color w:val="000000"/>
          <w:sz w:val="24"/>
        </w:rPr>
        <w:t xml:space="preserve">)” appearing in the first sentence thereof with the phrase “the Issuer shall have the right, on or prior to the fifteenth Business Day after the date on which financial statements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are required to be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as applicable, with respect to such Cure Quarter or the fiscal year ending on the last day of such Cure Quarter, as applicable (the “</w:t>
      </w:r>
      <w:r>
        <w:rPr>
          <w:rFonts w:ascii="Times New Roman;serif" w:hAnsi="Times New Roman;serif"/>
          <w:b/>
          <w:color w:val="000000"/>
          <w:sz w:val="24"/>
        </w:rPr>
        <w:t>Cure Expiration Date</w:t>
      </w:r>
      <w:r>
        <w:rPr>
          <w:color w:val="000000"/>
        </w:rPr>
        <w:t>”</w:t>
      </w:r>
      <w:r>
        <w:rPr>
          <w:rFonts w:ascii="Times New Roman;serif" w:hAnsi="Times New Roman;serif"/>
          <w:b w:val="false"/>
          <w:color w:val="000000"/>
          <w:sz w:val="24"/>
        </w:rPr>
        <w:t>), to designate the cash proceeds of any Permitted Cure Securities issued by the Issuer on or after the first day of any such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Amendment to Compliance Certificate</w:t>
      </w:r>
      <w:r>
        <w:rPr>
          <w:rFonts w:ascii="Times New Roman;serif" w:hAnsi="Times New Roman;serif"/>
          <w:b w:val="false"/>
          <w:color w:val="000000"/>
          <w:sz w:val="24"/>
        </w:rPr>
        <w:t>. Attachment 2 to Exhibit C is hereby amended by inserting a footnote immediately following “Capital Lease Obligations” in line (d) thereof stating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Solely for purposes of determining compliance with Section 6.08(a), to be excluded from the calculation of Total Net Leverage Ratio during the Financial Covenant Relief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This Amendment shall become effective on the date that each of the following conditions precedent shall have been satisfied (or waived in writing) (such date, the “</w:t>
      </w:r>
      <w:r>
        <w:rPr>
          <w:rFonts w:ascii="Times New Roman;serif" w:hAnsi="Times New Roman;serif"/>
          <w:b w:val="false"/>
          <w:color w:val="000000"/>
          <w:sz w:val="24"/>
          <w:u w:val="single"/>
        </w:rPr>
        <w:t>First Amendment Effective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Trustee and Collateral Agent shall have received from the Issuer and the Guarantors counterparts of this Amendment signed on behalf of each of the parties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The Collateral Agent and Trustee shall have received all fees and other amounts due and payable on or prior to the date hereof, including, to the extent invoiced, reimbursement or payment of all documented out-of-pocket expenses (including, without limitation, the reasonable and documented out-of-pocket fees and expenses of counsel to the Collateral Agent and Trustee) required to be reimbursed or paid by the Issuer under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Indenture; No Further Modification</w:t>
      </w:r>
      <w:r>
        <w:rPr>
          <w:rFonts w:ascii="Times New Roman;serif" w:hAnsi="Times New Roman;serif"/>
          <w:b w:val="false"/>
          <w:color w:val="000000"/>
          <w:sz w:val="24"/>
        </w:rPr>
        <w:t>. Except as specifically provided herein, all terms, conditions and covenants contained in the Indenture, and all rights of the Collateral Agent and Trustee, shall remain in full force and effect. This Amendment shall form a part of the Indenture for all purposes, and every Holder of Notes heretofore or hereafter authenticated shall be bound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As of the date hereof, the Issuer represents and warrants to the Collateral Agent and Trustee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Due Authorization; Execution and Delivery</w:t>
      </w:r>
      <w:r>
        <w:rPr>
          <w:rFonts w:ascii="Times New Roman;serif" w:hAnsi="Times New Roman;serif"/>
          <w:b w:val="false"/>
          <w:color w:val="000000"/>
          <w:sz w:val="24"/>
        </w:rPr>
        <w:t>. The execution, delivery and performance of this Amendment by each of the Issuer and the Guarantors are within such Person’s powers and have been duly authorized by all necessary action on the part of such Person. This Amendment has been duly executed and delivered by each of the Issuer and the Guarantors and constitutes a legal, valid and binding obligation of such Person,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No Conflicts</w:t>
      </w:r>
      <w:r>
        <w:rPr>
          <w:rFonts w:ascii="Times New Roman;serif" w:hAnsi="Times New Roman;serif"/>
          <w:b w:val="false"/>
          <w:color w:val="000000"/>
          <w:sz w:val="24"/>
        </w:rPr>
        <w:t xml:space="preserve">. The execution, delivery and performance by the Issuer and each of the Guarantors of this Amendment (i) does not require any consent or approval of, registration or filing with, or any other action by, any Governmental Authority, except (x) such as have been obtained or made and are in full force and effect, (y) filings necessary to perfect Liens created by the Security Documents and (z) consents, approvals, registrations, filings, permits or actions the failure to obtain or perform which would not reasonably be expected to result in a Material Adverse Effect, (ii) will not violate or require consent not obtained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Organizational Documents of the Issuer or any of its Subsidiaries, except as would not reasonably be expected to result in a Material Adverse Effect, (iii) will not violate or result in a default under any indenture or other material agreement or instrument binding upon the Issuer or any of its Subsidiaries or any of their assets, or give rise to a right thereunder to require any payment, repurchase or redemption to be made by the Issuer or any of its Subsidiaries, or give rise to a right of, or result in, termination, cancellation or acceleration of any obligation thereunder, except, in each case, individually or in the aggregate, as would not reasonably be expected to result in a Material Adverse Effect, and (iv) will not violate any Requirement of Law except, individually or in the aggregate, as would not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Accuracy of Representations and Warranties</w:t>
      </w:r>
      <w:r>
        <w:rPr>
          <w:rFonts w:ascii="Times New Roman;serif" w:hAnsi="Times New Roman;serif"/>
          <w:b w:val="false"/>
          <w:color w:val="000000"/>
          <w:sz w:val="24"/>
        </w:rPr>
        <w:t>. Each of the representations and warranties contained in the Indenture and the Security Documents is true and correct in all material respects (except that any representation and warranty that is qualified as to “materiality” or “Material Adverse Effect” shall be true and correct in all respects) on and as of the date hereof, except to the extent such representations and warranties expressly related to any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No Default</w:t>
      </w:r>
      <w:r>
        <w:rPr>
          <w:rFonts w:ascii="Times New Roman;serif" w:hAnsi="Times New Roman;serif"/>
          <w:b w:val="false"/>
          <w:color w:val="000000"/>
          <w:sz w:val="24"/>
        </w:rPr>
        <w:t>. No Default or Event of Default has occurred or is continuing or would reasonably be expected to result after giving effect to this Amendment or any other transaction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Ratification of Liability</w:t>
      </w:r>
      <w:r>
        <w:rPr>
          <w:rFonts w:ascii="Times New Roman;serif" w:hAnsi="Times New Roman;serif"/>
          <w:b w:val="false"/>
          <w:color w:val="000000"/>
          <w:sz w:val="24"/>
        </w:rPr>
        <w:t>. The Issuer and the Guarantors, as debtors, grantors, pledgors, guarantors, assignors, or in other similar capacities in which such parties grant liens or security interests in their properties or otherwise act as accommodation parties or guarantors, as the case may be, under the Security Documents, hereby ratify and reaffirm all of their payment and performance obligations and obligations to indemnify, contingent or otherwise, under each of such Security Documents to which it is a party, and ratify and reaffirm their grants of liens on or security interests in their properties pursuant to such Security Documents to which they are a party, respectively, as security for the obligations under the Security Documents, and each such Person hereby confirms and agrees that such liens and security interests hereafter secure all of the obligations under the Security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Reference to and Effect upon the Indenture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Reaffirmation of Note Documents</w:t>
      </w:r>
      <w:r>
        <w:rPr>
          <w:rFonts w:ascii="Times New Roman;serif" w:hAnsi="Times New Roman;serif"/>
          <w:b w:val="false"/>
          <w:color w:val="000000"/>
          <w:sz w:val="24"/>
        </w:rPr>
        <w:t>. Except as specifically amended hereby, all terms, conditions, covenants, representations and warranties contained in the Indenture and Security Documents, and all rights of the Trustee, the Collateral Agent and the Holders and all of the obligations under the Security Documents, shall remain in full force and effect. The Issuer and the Guarantors each hereby confirms that the Indenture and the Security Documents are in full force and effect and that the Issuer and the Guarantors do not have any right of setoff, recoupment or other offset nor any defense, claim or counterclaim with respect to any of the obligations under the Security Documents, the Indenture or any Security Document.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Integration</w:t>
      </w:r>
      <w:r>
        <w:rPr>
          <w:rFonts w:ascii="Times New Roman;serif" w:hAnsi="Times New Roman;serif"/>
          <w:b w:val="false"/>
          <w:color w:val="000000"/>
          <w:sz w:val="24"/>
        </w:rPr>
        <w:t>. From and after the First Amendment Effective Date, the term “Indenture” in the Indenture, and all references to the Indenture in any Security Document, shall mean the Indenture, as modified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No Novation</w:t>
      </w:r>
      <w:r>
        <w:rPr>
          <w:rFonts w:ascii="Times New Roman;serif" w:hAnsi="Times New Roman;serif"/>
          <w:b w:val="false"/>
          <w:color w:val="000000"/>
          <w:sz w:val="24"/>
        </w:rPr>
        <w:t>. This Amendment shall not be deemed or construed to be a satisfaction, reinstatement, novation or release of the Indenture or any Security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Amendment may be executed by one or more of the parties hereto in any number of separate counterparts, and all of such counterparts taken together shall be deemed to constitute one and the same instrument. The words “execute,” “execution,”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val="false"/>
          <w:color w:val="000000"/>
          <w:sz w:val="24"/>
        </w:rPr>
        <w:t xml:space="preserve">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Trustee,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i/>
          <w:color w:val="000000"/>
          <w:sz w:val="24"/>
        </w:rPr>
        <w:t>provided</w:t>
      </w:r>
      <w:r>
        <w:rPr>
          <w:rFonts w:ascii="Times New Roman;serif" w:hAnsi="Times New Roman;serif"/>
          <w:b w:val="false"/>
          <w:color w:val="000000"/>
          <w:sz w:val="24"/>
        </w:rPr>
        <w:t>, that, notwithstanding anything contained herein to the contrary, the Trustee is under no obligation to agree to accept electronic signatures in any form or in any format unless expressly agreed to by the Trustee pursuant to procedures approved by it.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NO ORAL AGREEMENT</w:t>
      </w:r>
      <w:r>
        <w:rPr>
          <w:rFonts w:ascii="Times New Roman;serif" w:hAnsi="Times New Roman;serif"/>
          <w:b w:val="false"/>
          <w:color w:val="000000"/>
          <w:sz w:val="24"/>
        </w:rPr>
        <w:t>. THIS AMENDMENT, THE INDENTURE AND THE SECURITY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(INCLUDING, BUT NOT LIMITED TO, THE VALIDITY AND ENFORCEABILITY HEREOF)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Trustee and Collateral Agent Make No Representation</w:t>
      </w:r>
      <w:r>
        <w:rPr>
          <w:rFonts w:ascii="Times New Roman;serif" w:hAnsi="Times New Roman;serif"/>
          <w:b w:val="false"/>
          <w:color w:val="000000"/>
          <w:sz w:val="24"/>
        </w:rPr>
        <w:t>. The Trustee and the Collateral Agent make no representation as to the validity or sufficiency of this Amendment or for or in respect of the recitals contained herein, all of which recitals are made solely by the Issuer.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(SIGNATURES BEGIN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date first written above.</w:t>
      </w:r>
    </w:p>
    <w:p>
      <w:pPr>
        <w:pStyle w:val="TextBody"/>
        <w:bidi w:val="0"/>
        <w:spacing w:lineRule="auto" w:line="288" w:before="0" w:after="480"/>
        <w:jc w:val="both"/>
        <w:rPr/>
      </w:pPr>
      <w:r>
        <w:rPr>
          <w:rFonts w:ascii="Times New Roman;serif" w:hAnsi="Times New Roman;serif"/>
          <w:b w:val="false"/>
          <w:color w:val="000000"/>
          <w:sz w:val="24"/>
          <w:u w:val="single"/>
        </w:rPr>
        <w:t>Issuer</w:t>
      </w:r>
      <w:r>
        <w:rPr>
          <w:rFonts w:ascii="Times New Roman;serif" w:hAnsi="Times New Roman;serif"/>
          <w:b w:val="false"/>
          <w:color w:val="000000"/>
          <w:sz w:val="24"/>
        </w:rPr>
        <w:t>:    KLX ENERGY SERVICES HOLDINGS,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 Counsel, Chief Compliance Officer and Secretary</w:t>
      </w:r>
    </w:p>
    <w:p>
      <w:pPr>
        <w:pStyle w:val="TextBody"/>
        <w:bidi w:val="0"/>
        <w:spacing w:lineRule="auto" w:line="288" w:before="0" w:after="480"/>
        <w:jc w:val="both"/>
        <w:rPr/>
      </w:pPr>
      <w:r>
        <w:rPr>
          <w:rFonts w:ascii="Times New Roman;serif" w:hAnsi="Times New Roman;serif"/>
          <w:b w:val="false"/>
          <w:color w:val="000000"/>
          <w:sz w:val="24"/>
          <w:u w:val="single"/>
        </w:rPr>
        <w:t>Guarantors</w:t>
      </w:r>
      <w:r>
        <w:rPr>
          <w:rFonts w:ascii="Times New Roman;serif" w:hAnsi="Times New Roman;serif"/>
          <w:b w:val="false"/>
          <w:color w:val="000000"/>
          <w:sz w:val="24"/>
        </w:rPr>
        <w:t>:    KRYPTON HOLDCO, LLC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KRYPTON INTERMEDIATE, LLC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KLX ENERGY SERVICES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KLX ENERGY SERVICES LLC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 KLX Energy Services Holdings, Inc.]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 KLX Energy Services Holdings, Inc.]</w:t>
                      </w:r>
                    </w:p>
                  </w:txbxContent>
                </v:textbox>
                <w10:wrap type="none"/>
              </v:rect>
            </w:pict>
          </mc:Fallback>
        </mc:AlternateConten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KLX DIRECTIONAL DRILLING, LLC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CENTERLINE TRUCKING, LLC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 Bouthillette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Max Bouthillette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 KLX Energy Services Holdings, Inc.]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 KLX Energy Services Holdings, Inc.]</w:t>
                      </w:r>
                    </w:p>
                  </w:txbxContent>
                </v:textbox>
                <w10:wrap type="none"/>
              </v:rect>
            </w:pict>
          </mc:Fallback>
        </mc:AlternateContent>
      </w:r>
    </w:p>
    <w:p>
      <w:pPr>
        <w:pStyle w:val="TextBody"/>
        <w:bidi w:val="0"/>
        <w:spacing w:lineRule="auto" w:line="288" w:before="0" w:after="480"/>
        <w:ind w:left="0" w:right="0" w:hanging="4662"/>
        <w:jc w:val="both"/>
        <w:rPr/>
      </w:pPr>
      <w:r>
        <w:rPr>
          <w:rFonts w:ascii="Times New Roman;serif" w:hAnsi="Times New Roman;serif"/>
          <w:b w:val="false"/>
          <w:color w:val="000000"/>
          <w:sz w:val="24"/>
          <w:u w:val="single"/>
        </w:rPr>
        <w:t>Trustee and Collateral Agent</w:t>
      </w:r>
      <w:r>
        <w:rPr>
          <w:rFonts w:ascii="Times New Roman;serif" w:hAnsi="Times New Roman;serif"/>
          <w:b w:val="false"/>
          <w:color w:val="000000"/>
          <w:sz w:val="24"/>
        </w:rPr>
        <w:t>:    U.S. BANK TRUST COMPANY, NATIONAL ASSOCIATION</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Wally Jones</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Wally Jones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240"/>
        <w:ind w:left="0" w:right="0" w:hanging="84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23.1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 KLX Energy Services Holdings,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 KLX Energy Services Holdings,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Nos. 333-227321, 333-253151 and 333-272556 on Form S-8, Registration Statement No. 333-238870 on Form S-4, and Registration Statement Nos. 333-256149, 333-271882 and 333-287774 on Form S-3 of our report dated March 12, 2026, relating to the financial statements of KLX Energy Services Holdings, Inc. appearing in this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for the year ended December 31, 2025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7483"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1157"/>
        <w:gridCol w:w="1157"/>
        <w:gridCol w:w="164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Geoffrey C. Stanford,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for the year ended December 31, 2025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678"/>
        <w:gridCol w:w="596"/>
        <w:gridCol w:w="597"/>
        <w:gridCol w:w="109"/>
        <w:gridCol w:w="109"/>
        <w:gridCol w:w="109"/>
        <w:gridCol w:w="109"/>
        <w:gridCol w:w="109"/>
        <w:gridCol w:w="109"/>
        <w:gridCol w:w="109"/>
        <w:gridCol w:w="109"/>
        <w:gridCol w:w="109"/>
        <w:gridCol w:w="109"/>
        <w:gridCol w:w="109"/>
        <w:gridCol w:w="109"/>
        <w:gridCol w:w="109"/>
        <w:gridCol w:w="109"/>
        <w:gridCol w:w="109"/>
        <w:gridCol w:w="1962"/>
        <w:gridCol w:w="1962"/>
        <w:gridCol w:w="277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Geoffrey C. Stanford</w:t>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Geoffrey C. Stanford</w:t>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Interim 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KLX Energy Services Holdings, Inc. (the “Company”) for the year ended December 31, 2025, as filed with the Securities and Exchange Commission on the date hereof (the “Report”), I, Christopher J. Baker, Chief Executive Officer of the Company, certify, pursuant to 18 U.S.C. Section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484" w:type="dxa"/>
        <w:jc w:val="left"/>
        <w:tblInd w:w="0" w:type="dxa"/>
        <w:tblLayout w:type="fixed"/>
        <w:tblCellMar>
          <w:top w:w="28" w:type="dxa"/>
          <w:left w:w="28" w:type="dxa"/>
          <w:bottom w:w="28" w:type="dxa"/>
          <w:right w:w="28" w:type="dxa"/>
        </w:tblCellMar>
      </w:tblPr>
      <w:tblGrid>
        <w:gridCol w:w="685"/>
        <w:gridCol w:w="602"/>
        <w:gridCol w:w="603"/>
        <w:gridCol w:w="109"/>
        <w:gridCol w:w="109"/>
        <w:gridCol w:w="109"/>
        <w:gridCol w:w="109"/>
        <w:gridCol w:w="109"/>
        <w:gridCol w:w="109"/>
        <w:gridCol w:w="109"/>
        <w:gridCol w:w="109"/>
        <w:gridCol w:w="109"/>
        <w:gridCol w:w="109"/>
        <w:gridCol w:w="109"/>
        <w:gridCol w:w="109"/>
        <w:gridCol w:w="109"/>
        <w:gridCol w:w="109"/>
        <w:gridCol w:w="109"/>
        <w:gridCol w:w="1157"/>
        <w:gridCol w:w="1157"/>
        <w:gridCol w:w="1645"/>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KLX Energy Services Holdings, Inc. (the “Company”) for the year ended December 31, 2025, as filed with the Securities and Exchange Commission on the date hereof (the “Report”), I, Geoffrey C. Stanford, Chief Financial Officer of the Company, certify, pursuant to 18 U.S.C. Section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678"/>
        <w:gridCol w:w="596"/>
        <w:gridCol w:w="597"/>
        <w:gridCol w:w="109"/>
        <w:gridCol w:w="109"/>
        <w:gridCol w:w="109"/>
        <w:gridCol w:w="109"/>
        <w:gridCol w:w="109"/>
        <w:gridCol w:w="109"/>
        <w:gridCol w:w="109"/>
        <w:gridCol w:w="109"/>
        <w:gridCol w:w="109"/>
        <w:gridCol w:w="109"/>
        <w:gridCol w:w="109"/>
        <w:gridCol w:w="109"/>
        <w:gridCol w:w="109"/>
        <w:gridCol w:w="109"/>
        <w:gridCol w:w="109"/>
        <w:gridCol w:w="1962"/>
        <w:gridCol w:w="1962"/>
        <w:gridCol w:w="277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Geoffrey C. Stanford</w:t>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Geoffrey C. Stanford</w:t>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Interim Chief Financial Officer and Chief Accounting Officer</w:t>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38827/000119312521189564/d153843dex11.htm" TargetMode="External"/><Relationship Id="rId3" Type="http://schemas.openxmlformats.org/officeDocument/2006/relationships/hyperlink" Target="https://www.sec.gov/Archives/edgar/data/1738827/000173882723000032/klxe-ex11to10xqxamendmentn.htm" TargetMode="External"/><Relationship Id="rId4" Type="http://schemas.openxmlformats.org/officeDocument/2006/relationships/hyperlink" Target="https://www.sec.gov/Archives/edgar/data/1738827/000119312525054870/d898044dex11.htm" TargetMode="External"/><Relationship Id="rId5" Type="http://schemas.openxmlformats.org/officeDocument/2006/relationships/hyperlink" Target="https://www.sec.gov/Archives/edgar/data/1738827/000173882723000014/a2022q4ex21projectgemini-p.htm" TargetMode="External"/><Relationship Id="rId6" Type="http://schemas.openxmlformats.org/officeDocument/2006/relationships/hyperlink" Target="https://www.sec.gov/Archives/edgar/data/1738827/000110465920055884/tm2016623d3_ex2-1.htm" TargetMode="External"/><Relationship Id="rId7" Type="http://schemas.openxmlformats.org/officeDocument/2006/relationships/hyperlink" Target="https://www.sec.gov/Archives/edgar/data/1617898/000110465918045369/a18-14541_5ex2d1.htm" TargetMode="External"/><Relationship Id="rId8" Type="http://schemas.openxmlformats.org/officeDocument/2006/relationships/hyperlink" Target="https://www.sec.gov/Archives/edgar/data/1617898/000110465918045369/a18-14541_5ex2d2.htm" TargetMode="External"/><Relationship Id="rId9" Type="http://schemas.openxmlformats.org/officeDocument/2006/relationships/hyperlink" Target="https://www.sec.gov/Archives/edgar/data/1617898/000110465918045369/a18-14541_5ex2d3.htm" TargetMode="External"/><Relationship Id="rId10" Type="http://schemas.openxmlformats.org/officeDocument/2006/relationships/hyperlink" Target="https://www.sec.gov/Archives/edgar/data/1738827/000173882720000004/klxenergy-archarter2020.htm" TargetMode="External"/><Relationship Id="rId11" Type="http://schemas.openxmlformats.org/officeDocument/2006/relationships/hyperlink" Target="https://www.sec.gov/Archives/edgar/data/0001738827/000173882721000031/fourthamendedandrestatedby.htm" TargetMode="External"/><Relationship Id="rId12" Type="http://schemas.openxmlformats.org/officeDocument/2006/relationships/hyperlink" Target="https://www.sec.gov/Archives/edgar/data/1738827/000110465918065248/a18-36783_5ex4d1.htm" TargetMode="External"/><Relationship Id="rId13" Type="http://schemas.openxmlformats.org/officeDocument/2006/relationships/hyperlink" Target="https://www.sec.gov/Archives/edgar/data/1738827/000155837019002349/klxe-20190131ex411ba3db8.htm" TargetMode="External"/><Relationship Id="rId14" Type="http://schemas.openxmlformats.org/officeDocument/2006/relationships/hyperlink" Target="https://www.sec.gov/Archives/edgar/data/1738827/000155837019008288/klxe-20190731ex41656b962.htm" TargetMode="External"/><Relationship Id="rId15" Type="http://schemas.openxmlformats.org/officeDocument/2006/relationships/hyperlink" Target="https://www.sec.gov/Archives/edgar/data/1738827/000173882721000015/a11qes-klxthirdsupplementa.htm" TargetMode="External"/><Relationship Id="rId16" Type="http://schemas.openxmlformats.org/officeDocument/2006/relationships/hyperlink" Target="https://www.sec.gov/Archives/edgar/data/1738827/000173882723000075/klxe-fourthsupplementalind.htm" TargetMode="External"/><Relationship Id="rId17" Type="http://schemas.openxmlformats.org/officeDocument/2006/relationships/hyperlink" Target="https://www.sec.gov/Archives/edgar/data/1738827/000110465918065248/a18-36783_5ex4d1.htm" TargetMode="External"/><Relationship Id="rId18" Type="http://schemas.openxmlformats.org/officeDocument/2006/relationships/hyperlink" Target="https://www.sec.gov/Archives/edgar/data/1738827/000119312525052936/d936400dex41.htm" TargetMode="External"/><Relationship Id="rId19" Type="http://schemas.openxmlformats.org/officeDocument/2006/relationships/hyperlink" Target="https://www.sec.gov/Archives/edgar/data/1738827/000119312525052936/d936400dex41.htm" TargetMode="External"/><Relationship Id="rId20" Type="http://schemas.openxmlformats.org/officeDocument/2006/relationships/hyperlink" Target="https://www.sec.gov/Archives/edgar/data/1738827/000119312525052936/d936400dex43.htm" TargetMode="External"/><Relationship Id="rId21" Type="http://schemas.openxmlformats.org/officeDocument/2006/relationships/hyperlink" Target="https://www.sec.gov/Archives/edgar/data/1738827/000173882721000007/klxeex43descriptionofsecur.htm" TargetMode="External"/><Relationship Id="rId22" Type="http://schemas.openxmlformats.org/officeDocument/2006/relationships/hyperlink" Target="https://www.sec.gov/Archives/edgar/data/1738827/000110465921023897/tm216263d1_ex10-1.htm" TargetMode="External"/><Relationship Id="rId23" Type="http://schemas.openxmlformats.org/officeDocument/2006/relationships/hyperlink" Target="https://www.sec.gov/Archives/edgar/data/1738827/000173882723000034/klxe-annualmeeting8xkexsec.htm" TargetMode="External"/><Relationship Id="rId24" Type="http://schemas.openxmlformats.org/officeDocument/2006/relationships/hyperlink" Target="https://www.sec.gov/Archives/edgar/data/1738827/000110465918056650/a18-27070_1ex4d2.htm" TargetMode="External"/><Relationship Id="rId25" Type="http://schemas.openxmlformats.org/officeDocument/2006/relationships/hyperlink" Target="https://www.sec.gov/Archives/edgar/data/1738827/000110465918056650/a18-27070_1ex4d3.htm" TargetMode="External"/><Relationship Id="rId26" Type="http://schemas.openxmlformats.org/officeDocument/2006/relationships/hyperlink" Target="https://www.sec.gov/Archives/edgar/data/1738827/000110465918056650/a18-27070_1ex4d4.htm" TargetMode="External"/><Relationship Id="rId27" Type="http://schemas.openxmlformats.org/officeDocument/2006/relationships/hyperlink" Target="https://www.sec.gov/Archives/edgar/data/1738827/000110465920087311/tm2025520d5_ex10-8.htm" TargetMode="External"/><Relationship Id="rId28" Type="http://schemas.openxmlformats.org/officeDocument/2006/relationships/hyperlink" Target="https://www.sec.gov/Archives/edgar/data/1738827/000110465918056650/a18-27070_1ex4d5.htm" TargetMode="External"/><Relationship Id="rId29" Type="http://schemas.openxmlformats.org/officeDocument/2006/relationships/hyperlink" Target="https://www.sec.gov/Archives/edgar/data/1738827/000110465918056701/a18-27074_1ex4d1.htm" TargetMode="External"/><Relationship Id="rId30" Type="http://schemas.openxmlformats.org/officeDocument/2006/relationships/hyperlink" Target="https://www.sec.gov/Archives/edgar/data/1738827/000110465918057604/a18-31029_1ex10d11.htm" TargetMode="External"/><Relationship Id="rId31" Type="http://schemas.openxmlformats.org/officeDocument/2006/relationships/hyperlink" Target="https://www.sec.gov/Archives/edgar/data/1738827/000110465918057604/a18-31029_1ex10d12.htm" TargetMode="External"/><Relationship Id="rId32" Type="http://schemas.openxmlformats.org/officeDocument/2006/relationships/hyperlink" Target="https://www.sec.gov/Archives/edgar/data/1738827/000110465918057604/a18-31029_1ex10d2.htm" TargetMode="External"/><Relationship Id="rId33" Type="http://schemas.openxmlformats.org/officeDocument/2006/relationships/hyperlink" Target="https://www.sec.gov/Archives/edgar/data/1738827/000110465920068703/tm2018798d5_ex10-15.htm" TargetMode="External"/><Relationship Id="rId34" Type="http://schemas.openxmlformats.org/officeDocument/2006/relationships/hyperlink" Target="https://www.sec.gov/Archives/edgar/data/1738827/000110465920068703/tm2018798d5_ex10-16.htm" TargetMode="External"/><Relationship Id="rId35" Type="http://schemas.openxmlformats.org/officeDocument/2006/relationships/hyperlink" Target="https://www.sec.gov/Archives/edgar/data/1738827/000110465920068703/tm2018798d5_ex10-18.htm" TargetMode="External"/><Relationship Id="rId36" Type="http://schemas.openxmlformats.org/officeDocument/2006/relationships/hyperlink" Target="https://www.sec.gov/Archives/edgar/data/1738827/000110465920068703/tm2018798d5_ex10-14.htm" TargetMode="External"/><Relationship Id="rId37" Type="http://schemas.openxmlformats.org/officeDocument/2006/relationships/hyperlink" Target="https://www.sec.gov/Archives/edgar/data/1738827/000110465920087311/tm2025520d5_ex10-2.htm" TargetMode="External"/><Relationship Id="rId38" Type="http://schemas.openxmlformats.org/officeDocument/2006/relationships/hyperlink" Target="https://www.sec.gov/Archives/edgar/data/1738827/000110465920087311/tm2025520d5_ex10-3.htm" TargetMode="External"/><Relationship Id="rId39" Type="http://schemas.openxmlformats.org/officeDocument/2006/relationships/hyperlink" Target="https://www.sec.gov/Archives/edgar/data/0001738827/000110465920087311/tm2025520d5_ex10-5.htm" TargetMode="External"/><Relationship Id="rId40" Type="http://schemas.openxmlformats.org/officeDocument/2006/relationships/hyperlink" Target="https://www.sec.gov/Archives/edgar/data/0001738827/000110465920087311/tm2025520d5_ex10-1.htm" TargetMode="External"/><Relationship Id="rId41" Type="http://schemas.openxmlformats.org/officeDocument/2006/relationships/hyperlink" Target="https://www.sec.gov/Archives/edgar/data/0001738827/000110465920087311/tm2025520d5_ex10-6.htm" TargetMode="External"/><Relationship Id="rId42" Type="http://schemas.openxmlformats.org/officeDocument/2006/relationships/hyperlink" Target="https://www.sec.gov/Archives/edgar/data/0001738827/000110465920087311/tm2025520d5_ex10-7.htm" TargetMode="External"/><Relationship Id="rId43" Type="http://schemas.openxmlformats.org/officeDocument/2006/relationships/hyperlink" Target="https://www.sec.gov/Archives/edgar/data/1738827/000173882723000014/a2022q4ex1023projectgemini.htm" TargetMode="External"/><Relationship Id="rId44" Type="http://schemas.openxmlformats.org/officeDocument/2006/relationships/hyperlink" Target="https://www.sec.gov/Archives/edgar/data/0001738827/000110465920055884/tm2016623d3_ex10-1.htm" TargetMode="External"/><Relationship Id="rId45" Type="http://schemas.openxmlformats.org/officeDocument/2006/relationships/hyperlink" Target="https://www.sec.gov/Archives/edgar/data/1738827/000110465918057604/a18-31029_1ex10d15.htm" TargetMode="External"/><Relationship Id="rId46" Type="http://schemas.openxmlformats.org/officeDocument/2006/relationships/hyperlink" Target="https://www.sec.gov/Archives/edgar/data/1738827/000110465918057604/a18-31029_1ex10d16.htm" TargetMode="External"/><Relationship Id="rId47" Type="http://schemas.openxmlformats.org/officeDocument/2006/relationships/hyperlink" Target="https://www.sec.gov/Archives/edgar/data/1704235/000119312518045813/d483201dex101.htm" TargetMode="External"/><Relationship Id="rId48" Type="http://schemas.openxmlformats.org/officeDocument/2006/relationships/hyperlink" Target="https://www.sec.gov/Archives/edgar/data/1704235/000119312518045813/d483201dex102.htm" TargetMode="External"/><Relationship Id="rId49" Type="http://schemas.openxmlformats.org/officeDocument/2006/relationships/hyperlink" Target="https://www.sec.gov/Archives/edgar/data/1704235/000170423520000027/a1027formofperformanceshar.htm" TargetMode="External"/><Relationship Id="rId50" Type="http://schemas.openxmlformats.org/officeDocument/2006/relationships/hyperlink" Target="https://www.sec.gov/Archives/edgar/data/1704235/000170423520000027/a1028formofperformanceshar.htm" TargetMode="External"/><Relationship Id="rId51" Type="http://schemas.openxmlformats.org/officeDocument/2006/relationships/hyperlink" Target="https://www.sec.gov/Archives/edgar/data/1704235/000170423520000027/a1029formofperformanceshar.htm" TargetMode="External"/><Relationship Id="rId52" Type="http://schemas.openxmlformats.org/officeDocument/2006/relationships/hyperlink" Target="https://www.sec.gov/Archives/edgar/data/1704235/000170423520000027/a1030formofperformanceshar.htm" TargetMode="External"/><Relationship Id="rId53" Type="http://schemas.openxmlformats.org/officeDocument/2006/relationships/hyperlink" Target="https://www.sec.gov/Archives/edgar/data/1704235/000170423520000027/a1031formofrestrictedstock.htm" TargetMode="External"/><Relationship Id="rId54" Type="http://schemas.openxmlformats.org/officeDocument/2006/relationships/hyperlink" Target="https://www.sec.gov/Archives/edgar/data/1704235/000170423520000027/a1032formofrestrictedstock.htm" TargetMode="External"/><Relationship Id="rId55" Type="http://schemas.openxmlformats.org/officeDocument/2006/relationships/hyperlink" Target="https://www.sec.gov/Archives/edgar/data/1738827/000173882723000014/formrsuagreementwithcashse.htm" TargetMode="External"/><Relationship Id="rId56" Type="http://schemas.openxmlformats.org/officeDocument/2006/relationships/hyperlink" Target="https://www.sec.gov/Archives/edgar/data/1738827/000119312525049126/d889500dex101.htm" TargetMode="External"/><Relationship Id="rId57" Type="http://schemas.openxmlformats.org/officeDocument/2006/relationships/hyperlink" Target="https://www.sec.gov/Archives/edgar/data/1738827/000119312525049126/d889500dex102.htm" TargetMode="External"/><Relationship Id="rId58" Type="http://schemas.openxmlformats.org/officeDocument/2006/relationships/hyperlink" Target="https://www.sec.gov/Archives/edgar/data/1738827/000173882725000041/klxeinsidertradingpolicy_p.htm" TargetMode="External"/><Relationship Id="rId59" Type="http://schemas.openxmlformats.org/officeDocument/2006/relationships/hyperlink" Target="https://www.sec.gov/Archives/edgar/data/1738827/000173882722000005/exhibit211.htm" TargetMode="External"/><Relationship Id="rId60" Type="http://schemas.openxmlformats.org/officeDocument/2006/relationships/hyperlink" Target="https://www.sec.gov/Archives/edgar/data/1738827/000173882724000038/a971klxe-clawbackpolicy_vf.htm" TargetMode="External"/><Relationship Id="rId61" Type="http://schemas.openxmlformats.org/officeDocument/2006/relationships/hyperlink" Target="https://www.sec.gov/Archives/edgar/data/1738827/000173882724000038/a971klxe-clawbackpolicy_vf.htm" TargetMode="External"/><Relationship Id="rId62" Type="http://schemas.openxmlformats.org/officeDocument/2006/relationships/hyperlink" Target="https://www.sec.gov/Archives/edgar/data/1738827/000173882724000038/a971klxe-clawbackpolicy_vf.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62870</Words>
  <Characters>348202</Characters>
  <CharactersWithSpaces>409238</CharactersWithSpaces>
  <Paragraphs>3202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