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Cross Ocean Partners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KLX Energy Services Holdings, Inc.</w:t>
              </w:r>
            </w:hyperlink>
            <w:r>
              <w:rPr/>
              <w:t xml:space="preserve"> [ </w:t>
            </w:r>
            <w:r>
              <w:rPr>
                <w:rFonts w:ascii="Times;serif" w:hAnsi="Times;serif"/>
                <w:color w:val="0000FF"/>
                <w:sz w:val="24"/>
                <w:shd w:fill="FFFFFF" w:val="clear"/>
              </w:rPr>
              <w:t>KLXE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3,167,293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8,358,619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3,342,158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4,338,259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3,288,775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Cross Ocean Partners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Cross Ocean Partners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GG Managers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Goldsmith Graham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ARCH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investment management agreements, Cross Ocean Partners Management LP ("Cross Ocean Management") has received delegated authority relating to five managed funds, which directly beneficially own, in the aggregate, 22,495,104 shares of common stock of the Issuer. Each line of this column 4 represents the direct ownership of a different one of these five managed funds, as required by the rules of the Securities and Exchange Commission.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Cross Ocean Partners Management GP LLC ("Cross Ocean Management GP") is the sole general partner of Cross Ocean Management. GG Managers LLC ("GG Managers") is the sole member of Cross Ocean Management GP. Graham C. Goldsmith is the sole member of GG Managers. As a result, each of Cross Ocean Management, Cross Ocean Management GP, GG Managers, and Mr. Goldsmith (collectively, the "Reporting Persons") may be deemed to indirectly beneficially own the 22,495,104 shares directly beneficially owned by the funds managed by Cross Ocean Management.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Information with respect to each of the Reporting Persons is given solely by such Reporting Person, and no Reporting Person has responsibility for the accuracy or completeness of information supplied by another Reporting Person.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Rymer, as Chief Operating Officer, General Counsel &amp; Chief Compliance Officer of Cross Ocean Partners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Graham C. Goldsmith, as Member of Cross Ocean Partners Management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Graham C. Goldsmith, as Member of GG Managers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Graham C. Goldsmith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52226" TargetMode="External"/><Relationship Id="rId3" Type="http://schemas.openxmlformats.org/officeDocument/2006/relationships/hyperlink" Target="http://www.sec.gov/cgi-bin/browse-edgar?action=getcompany&amp;CIK=00017388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752226" TargetMode="External"/><Relationship Id="rId7" Type="http://schemas.openxmlformats.org/officeDocument/2006/relationships/hyperlink" Target="http://www.sec.gov/cgi-bin/browse-edgar?action=getcompany&amp;CIK=0001752227" TargetMode="External"/><Relationship Id="rId8" Type="http://schemas.openxmlformats.org/officeDocument/2006/relationships/hyperlink" Target="http://www.sec.gov/cgi-bin/browse-edgar?action=getcompany&amp;CIK=0001752309" TargetMode="External"/><Relationship Id="rId9" Type="http://schemas.openxmlformats.org/officeDocument/2006/relationships/hyperlink" Target="http://www.sec.gov/cgi-bin/browse-edgar?action=getcompany&amp;CIK=000165861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848</Words>
  <Characters>4715</Characters>
  <CharactersWithSpaces>5440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