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80645</wp:posOffset>
            </wp:positionV>
            <wp:extent cx="17240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24025"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21" w:lineRule="exact"/>
        <w:rPr>
          <w:sz w:val="24"/>
          <w:szCs w:val="24"/>
          <w:color w:val="auto"/>
        </w:rPr>
      </w:pPr>
    </w:p>
    <w:p>
      <w:pPr>
        <w:ind w:left="4020" w:right="2280" w:hanging="3471"/>
        <w:spacing w:after="0" w:line="374" w:lineRule="auto"/>
        <w:tabs>
          <w:tab w:leader="none" w:pos="79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 For The Quarterly Period Ended July 31, 2021</w:t>
      </w:r>
    </w:p>
    <w:p>
      <w:pPr>
        <w:spacing w:after="0" w:line="48" w:lineRule="exact"/>
        <w:rPr>
          <w:sz w:val="24"/>
          <w:szCs w:val="24"/>
          <w:color w:val="auto"/>
        </w:rPr>
      </w:pPr>
    </w:p>
    <w:p>
      <w:pPr>
        <w:ind w:left="800" w:hanging="251"/>
        <w:spacing w:after="0"/>
        <w:tabs>
          <w:tab w:leader="none" w:pos="800" w:val="left"/>
        </w:tabs>
        <w:numPr>
          <w:ilvl w:val="0"/>
          <w:numId w:val="2"/>
        </w:numPr>
        <w:rPr>
          <w:rFonts w:ascii="MS PGothic" w:cs="MS PGothic" w:eastAsia="MS PGothic" w:hAnsi="MS PGothic"/>
          <w:sz w:val="17"/>
          <w:szCs w:val="17"/>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83"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3932555</wp:posOffset>
            </wp:positionH>
            <wp:positionV relativeFrom="paragraph">
              <wp:posOffset>-5715</wp:posOffset>
            </wp:positionV>
            <wp:extent cx="509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Commission File No. 001-38609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6"/>
          <w:szCs w:val="36"/>
          <w:b w:val="1"/>
          <w:bCs w:val="1"/>
          <w:color w:val="auto"/>
        </w:rPr>
        <w:t>KLX Energy Services Holdings, Inc.</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38" w:orient="portrait"/>
          <w:cols w:equalWidth="0" w:num="1">
            <w:col w:w="11240"/>
          </w:cols>
          <w:pgMar w:left="320" w:top="1003" w:right="339" w:bottom="1440" w:gutter="0" w:footer="0" w:header="0"/>
        </w:sectPr>
      </w:pPr>
    </w:p>
    <w:p>
      <w:pPr>
        <w:spacing w:after="0" w:line="141" w:lineRule="exact"/>
        <w:rPr>
          <w:sz w:val="24"/>
          <w:szCs w:val="24"/>
          <w:color w:val="auto"/>
        </w:rPr>
      </w:pPr>
    </w:p>
    <w:p>
      <w:pPr>
        <w:ind w:left="2500"/>
        <w:spacing w:after="0"/>
        <w:rPr>
          <w:sz w:val="20"/>
          <w:szCs w:val="20"/>
          <w:color w:val="auto"/>
        </w:rPr>
      </w:pPr>
      <w:r>
        <w:rPr>
          <w:rFonts w:ascii="Arial" w:cs="Arial" w:eastAsia="Arial" w:hAnsi="Arial"/>
          <w:sz w:val="14"/>
          <w:szCs w:val="14"/>
          <w:color w:val="auto"/>
        </w:rPr>
        <w:t>Delaware</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rPr>
          <w:sz w:val="20"/>
          <w:szCs w:val="20"/>
          <w:color w:val="auto"/>
        </w:rPr>
      </w:pPr>
      <w:r>
        <w:rPr>
          <w:rFonts w:ascii="Arial" w:cs="Arial" w:eastAsia="Arial" w:hAnsi="Arial"/>
          <w:sz w:val="14"/>
          <w:szCs w:val="14"/>
          <w:color w:val="auto"/>
        </w:rPr>
        <w:t>36-4904146</w:t>
      </w:r>
    </w:p>
    <w:p>
      <w:pPr>
        <w:spacing w:after="0" w:line="53" w:lineRule="exact"/>
        <w:rPr>
          <w:sz w:val="24"/>
          <w:szCs w:val="24"/>
          <w:color w:val="auto"/>
        </w:rPr>
      </w:pPr>
    </w:p>
    <w:p>
      <w:pPr>
        <w:sectPr>
          <w:pgSz w:w="11900" w:h="16838" w:orient="portrait"/>
          <w:cols w:equalWidth="0" w:num="2">
            <w:col w:w="7220" w:space="720"/>
            <w:col w:w="3300"/>
          </w:cols>
          <w:pgMar w:left="320" w:top="1003" w:right="339" w:bottom="1440" w:gutter="0" w:footer="0" w:header="0"/>
          <w:type w:val="continuous"/>
        </w:sectPr>
      </w:pPr>
    </w:p>
    <w:p>
      <w:pPr>
        <w:ind w:left="2060"/>
        <w:spacing w:after="0"/>
        <w:rPr>
          <w:sz w:val="20"/>
          <w:szCs w:val="20"/>
          <w:color w:val="auto"/>
        </w:rPr>
      </w:pPr>
      <w:r>
        <w:rPr>
          <w:rFonts w:ascii="Arial" w:cs="Arial" w:eastAsia="Arial" w:hAnsi="Arial"/>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80"/>
          </w:cols>
          <w:pgMar w:left="320" w:top="1003" w:right="339" w:bottom="1440" w:gutter="0" w:footer="0" w:header="0"/>
          <w:type w:val="continuous"/>
        </w:sectPr>
      </w:pP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3040 Post Oak Boulevard, 15th Floor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Houston, TX 77056</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(832) 844-1015</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including zip code, and telephone number, including area code, of principal executive offices of registrant)</w:t>
      </w:r>
    </w:p>
    <w:p>
      <w:pPr>
        <w:spacing w:after="0" w:line="244" w:lineRule="exact"/>
        <w:rPr>
          <w:sz w:val="24"/>
          <w:szCs w:val="24"/>
          <w:color w:val="auto"/>
        </w:rPr>
      </w:pPr>
    </w:p>
    <w:tbl>
      <w:tblPr>
        <w:tblLayout w:type="fixed"/>
        <w:tblInd w:w="0" w:type="dxa"/>
        <w:tblCellMar>
          <w:top w:w="0" w:type="dxa"/>
          <w:left w:w="0" w:type="dxa"/>
          <w:bottom w:w="0" w:type="dxa"/>
          <w:right w:w="0" w:type="dxa"/>
        </w:tblCellMar>
      </w:tblPr>
      <w:tr>
        <w:trPr>
          <w:trHeight w:val="205"/>
        </w:trPr>
        <w:tc>
          <w:tcPr>
            <w:tcW w:w="3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0" w:type="dxa"/>
            <w:vAlign w:val="bottom"/>
            <w:gridSpan w:val="3"/>
          </w:tcPr>
          <w:p>
            <w:pPr>
              <w:ind w:left="140"/>
              <w:spacing w:after="0"/>
              <w:rPr>
                <w:sz w:val="20"/>
                <w:szCs w:val="20"/>
                <w:color w:val="auto"/>
              </w:rPr>
            </w:pPr>
            <w:r>
              <w:rPr>
                <w:rFonts w:ascii="Arial" w:cs="Arial" w:eastAsia="Arial" w:hAnsi="Arial"/>
                <w:sz w:val="16"/>
                <w:szCs w:val="16"/>
                <w:color w:val="auto"/>
              </w:rPr>
              <w:t>Securities registered pursuant to Section 12(b) of the Act:</w:t>
            </w:r>
          </w:p>
        </w:tc>
      </w:tr>
      <w:tr>
        <w:trPr>
          <w:trHeight w:val="36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0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300" w:type="dxa"/>
            <w:vAlign w:val="bottom"/>
          </w:tcPr>
          <w:p>
            <w:pPr>
              <w:spacing w:after="0"/>
              <w:rPr>
                <w:sz w:val="24"/>
                <w:szCs w:val="24"/>
                <w:color w:val="auto"/>
              </w:rPr>
            </w:pPr>
          </w:p>
        </w:tc>
        <w:tc>
          <w:tcPr>
            <w:tcW w:w="5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05"/>
        </w:trPr>
        <w:tc>
          <w:tcPr>
            <w:tcW w:w="3640" w:type="dxa"/>
            <w:vAlign w:val="bottom"/>
            <w:gridSpan w:val="2"/>
          </w:tcPr>
          <w:p>
            <w:pPr>
              <w:jc w:val="center"/>
              <w:ind w:right="300"/>
              <w:spacing w:after="0"/>
              <w:rPr>
                <w:sz w:val="20"/>
                <w:szCs w:val="20"/>
                <w:color w:val="auto"/>
              </w:rPr>
            </w:pPr>
            <w:r>
              <w:rPr>
                <w:rFonts w:ascii="Arial" w:cs="Arial" w:eastAsia="Arial" w:hAnsi="Arial"/>
                <w:sz w:val="16"/>
                <w:szCs w:val="16"/>
                <w:color w:val="auto"/>
                <w:w w:val="90"/>
              </w:rPr>
              <w:t>Common Stock, $0.01 Par Value</w:t>
            </w:r>
          </w:p>
        </w:tc>
        <w:tc>
          <w:tcPr>
            <w:tcW w:w="2480" w:type="dxa"/>
            <w:vAlign w:val="bottom"/>
            <w:gridSpan w:val="2"/>
          </w:tcPr>
          <w:p>
            <w:pPr>
              <w:jc w:val="center"/>
              <w:ind w:right="300"/>
              <w:spacing w:after="0"/>
              <w:rPr>
                <w:sz w:val="20"/>
                <w:szCs w:val="20"/>
                <w:color w:val="auto"/>
              </w:rPr>
            </w:pPr>
            <w:r>
              <w:rPr>
                <w:rFonts w:ascii="Arial" w:cs="Arial" w:eastAsia="Arial" w:hAnsi="Arial"/>
                <w:sz w:val="16"/>
                <w:szCs w:val="16"/>
                <w:color w:val="auto"/>
              </w:rPr>
              <w:t>KLXE</w:t>
            </w:r>
          </w:p>
        </w:tc>
        <w:tc>
          <w:tcPr>
            <w:tcW w:w="5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30" w:lineRule="exact"/>
        <w:rPr>
          <w:sz w:val="24"/>
          <w:szCs w:val="24"/>
          <w:color w:val="auto"/>
        </w:rPr>
      </w:pPr>
    </w:p>
    <w:p>
      <w:pPr>
        <w:jc w:val="both"/>
        <w:spacing w:after="0" w:line="19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0" w:lineRule="exact"/>
        <w:rPr>
          <w:sz w:val="24"/>
          <w:szCs w:val="24"/>
          <w:color w:val="auto"/>
        </w:rPr>
      </w:pPr>
    </w:p>
    <w:p>
      <w:pPr>
        <w:ind w:right="500"/>
        <w:spacing w:after="0" w:line="205"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6" w:lineRule="exact"/>
        <w:rPr>
          <w:sz w:val="24"/>
          <w:szCs w:val="24"/>
          <w:color w:val="auto"/>
        </w:rPr>
      </w:pPr>
    </w:p>
    <w:p>
      <w:pPr>
        <w:jc w:val="both"/>
        <w:spacing w:after="0" w:line="25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25" w:lineRule="exact"/>
        <w:rPr>
          <w:sz w:val="24"/>
          <w:szCs w:val="24"/>
          <w:color w:val="auto"/>
        </w:rPr>
      </w:pPr>
    </w:p>
    <w:p>
      <w:pPr>
        <w:ind w:left="50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65" w:lineRule="exact"/>
        <w:rPr>
          <w:sz w:val="24"/>
          <w:szCs w:val="24"/>
          <w:color w:val="auto"/>
        </w:rPr>
      </w:pPr>
    </w:p>
    <w:p>
      <w:pPr>
        <w:sectPr>
          <w:pgSz w:w="11900" w:h="16838" w:orient="portrait"/>
          <w:cols w:equalWidth="0" w:num="3">
            <w:col w:w="3380" w:space="720"/>
            <w:col w:w="2820" w:space="720"/>
            <w:col w:w="3600"/>
          </w:cols>
          <w:pgMar w:left="320" w:top="1003" w:right="339" w:bottom="1440" w:gutter="0" w:footer="0" w:header="0"/>
          <w:type w:val="continuous"/>
        </w:sectPr>
      </w:pPr>
    </w:p>
    <w:p>
      <w:pPr>
        <w:spacing w:after="0" w:line="30" w:lineRule="exact"/>
        <w:rPr>
          <w:sz w:val="24"/>
          <w:szCs w:val="24"/>
          <w:color w:val="auto"/>
        </w:rPr>
      </w:pPr>
    </w:p>
    <w:p>
      <w:pPr>
        <w:ind w:left="50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106" w:lineRule="exact"/>
        <w:rPr>
          <w:sz w:val="24"/>
          <w:szCs w:val="24"/>
          <w:color w:val="auto"/>
        </w:rPr>
      </w:pPr>
    </w:p>
    <w:p>
      <w:pPr>
        <w:sectPr>
          <w:pgSz w:w="11900" w:h="16838" w:orient="portrait"/>
          <w:cols w:equalWidth="0" w:num="3">
            <w:col w:w="3380" w:space="720"/>
            <w:col w:w="2820" w:space="720"/>
            <w:col w:w="3600"/>
          </w:cols>
          <w:pgMar w:left="320" w:top="1003" w:right="339" w:bottom="1440" w:gutter="0" w:footer="0" w:header="0"/>
          <w:type w:val="continuous"/>
        </w:sectPr>
      </w:pPr>
    </w:p>
    <w:p>
      <w:pPr>
        <w:ind w:left="7640"/>
        <w:spacing w:after="0"/>
        <w:rPr>
          <w:sz w:val="20"/>
          <w:szCs w:val="20"/>
          <w:color w:val="auto"/>
        </w:rPr>
      </w:pPr>
      <w:r>
        <w:rPr>
          <w:rFonts w:ascii="Arial" w:cs="Arial" w:eastAsia="Arial" w:hAnsi="Arial"/>
          <w:sz w:val="14"/>
          <w:szCs w:val="14"/>
          <w:color w:val="auto"/>
        </w:rPr>
        <w:t>Emerging growth company</w:t>
      </w:r>
    </w:p>
    <w:p>
      <w:pPr>
        <w:sectPr>
          <w:pgSz w:w="11900" w:h="16838" w:orient="portrait"/>
          <w:cols w:equalWidth="0" w:num="1">
            <w:col w:w="11240"/>
          </w:cols>
          <w:pgMar w:left="320" w:top="1003" w:right="339" w:bottom="1440" w:gutter="0" w:footer="0" w:header="0"/>
          <w:type w:val="continuous"/>
        </w:sectPr>
      </w:pPr>
    </w:p>
    <w:p>
      <w:pPr>
        <w:spacing w:after="0" w:line="374" w:lineRule="exact"/>
        <w:rPr>
          <w:sz w:val="24"/>
          <w:szCs w:val="24"/>
          <w:color w:val="auto"/>
        </w:rPr>
      </w:pPr>
    </w:p>
    <w:p>
      <w:pPr>
        <w:ind w:firstLine="241"/>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6" w:lineRule="exact"/>
        <w:rPr>
          <w:sz w:val="24"/>
          <w:szCs w:val="24"/>
          <w:color w:val="auto"/>
        </w:rPr>
      </w:pPr>
    </w:p>
    <w:p>
      <w:pPr>
        <w:ind w:left="2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74" w:lineRule="exact"/>
        <w:rPr>
          <w:sz w:val="24"/>
          <w:szCs w:val="24"/>
          <w:color w:val="auto"/>
        </w:rPr>
      </w:pPr>
    </w:p>
    <w:p>
      <w:pPr>
        <w:ind w:left="240"/>
        <w:spacing w:after="0"/>
        <w:rPr>
          <w:sz w:val="20"/>
          <w:szCs w:val="20"/>
          <w:color w:val="auto"/>
        </w:rPr>
      </w:pPr>
      <w:r>
        <w:rPr>
          <w:rFonts w:ascii="Arial" w:cs="Arial" w:eastAsia="Arial" w:hAnsi="Arial"/>
          <w:sz w:val="16"/>
          <w:szCs w:val="16"/>
          <w:color w:val="auto"/>
        </w:rPr>
        <w:t>The registrant has one class of common stock, $0.01 par value, of which 8,879,876 shares were outstanding as of September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521970</wp:posOffset>
            </wp:positionV>
            <wp:extent cx="71589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0960" w:type="dxa"/>
            <w:vAlign w:val="bottom"/>
            <w:gridSpan w:val="35"/>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 FINANCIAL INFORMATION</w:t>
              </w:r>
            </w:hyperlink>
          </w:p>
        </w:tc>
        <w:tc>
          <w:tcPr>
            <w:tcW w:w="200" w:type="dxa"/>
            <w:vAlign w:val="bottom"/>
            <w:gridSpan w:val="2"/>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ind w:left="60"/>
              <w:spacing w:after="0"/>
              <w:rPr>
                <w:rFonts w:ascii="Arial" w:cs="Arial" w:eastAsia="Arial" w:hAnsi="Arial"/>
                <w:sz w:val="18"/>
                <w:szCs w:val="18"/>
                <w:color w:val="0000FF"/>
              </w:rPr>
            </w:pPr>
            <w:hyperlink w:anchor="page6">
              <w:r>
                <w:rPr>
                  <w:rFonts w:ascii="Arial" w:cs="Arial" w:eastAsia="Arial" w:hAnsi="Arial"/>
                  <w:sz w:val="18"/>
                  <w:szCs w:val="18"/>
                  <w:color w:val="0000FF"/>
                </w:rPr>
                <w:t>Item 1. Condensed Consolidated Financial Statements (Unaudited)</w:t>
              </w:r>
            </w:hyperlink>
          </w:p>
        </w:tc>
        <w:tc>
          <w:tcPr>
            <w:tcW w:w="20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5100" w:type="dxa"/>
            <w:vAlign w:val="bottom"/>
            <w:tcBorders>
              <w:top w:val="single" w:sz="8" w:color="0000FF"/>
            </w:tcBorders>
            <w:gridSpan w:val="2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Balance Sheets as of </w:t>
              </w:r>
            </w:hyperlink>
            <w:r>
              <w:rPr>
                <w:rFonts w:ascii="Arial" w:cs="Arial" w:eastAsia="Arial" w:hAnsi="Arial"/>
                <w:sz w:val="18"/>
                <w:szCs w:val="18"/>
                <w:color w:val="0E32E1"/>
              </w:rPr>
              <w:t>July</w:t>
            </w:r>
            <w:r>
              <w:rPr>
                <w:rFonts w:ascii="Arial" w:cs="Arial" w:eastAsia="Arial" w:hAnsi="Arial"/>
                <w:sz w:val="18"/>
                <w:szCs w:val="18"/>
                <w:color w:val="0000FF"/>
              </w:rPr>
              <w:t xml:space="preserve"> </w:t>
            </w:r>
            <w:r>
              <w:rPr>
                <w:rFonts w:ascii="Arial" w:cs="Arial" w:eastAsia="Arial" w:hAnsi="Arial"/>
                <w:sz w:val="18"/>
                <w:szCs w:val="18"/>
                <w:color w:val="0E32E1"/>
              </w:rPr>
              <w:t>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January</w:t>
            </w:r>
            <w:r>
              <w:rPr>
                <w:rFonts w:ascii="Arial" w:cs="Arial" w:eastAsia="Arial" w:hAnsi="Arial"/>
                <w:sz w:val="18"/>
                <w:szCs w:val="18"/>
                <w:color w:val="0000FF"/>
              </w:rPr>
              <w:t xml:space="preserve"> </w:t>
            </w:r>
            <w:r>
              <w:rPr>
                <w:rFonts w:ascii="Arial" w:cs="Arial" w:eastAsia="Arial" w:hAnsi="Arial"/>
                <w:sz w:val="18"/>
                <w:szCs w:val="18"/>
                <w:color w:val="0E32E1"/>
              </w:rPr>
              <w:t>31, 2021</w:t>
            </w:r>
          </w:p>
        </w:tc>
        <w:tc>
          <w:tcPr>
            <w:tcW w:w="5300" w:type="dxa"/>
            <w:vAlign w:val="bottom"/>
            <w:gridSpan w:val="11"/>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E32E1"/>
            </w:tcBorders>
            <w:shd w:val="clear" w:color="auto" w:fill="0000FF"/>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8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60" w:type="dxa"/>
            <w:vAlign w:val="bottom"/>
            <w:tcBorders>
              <w:right w:val="single" w:sz="8" w:color="0E32E1"/>
            </w:tcBorders>
            <w:gridSpan w:val="2"/>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0" w:type="dxa"/>
            <w:vAlign w:val="bottom"/>
            <w:gridSpan w:val="33"/>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 xml:space="preserve">Statements of Operations for the </w:t>
              </w:r>
            </w:hyperlink>
            <w:r>
              <w:rPr>
                <w:rFonts w:ascii="Arial" w:cs="Arial" w:eastAsia="Arial" w:hAnsi="Arial"/>
                <w:sz w:val="18"/>
                <w:szCs w:val="18"/>
                <w:color w:val="0E32E1"/>
              </w:rPr>
              <w:t>Three</w:t>
            </w:r>
            <w:r>
              <w:rPr>
                <w:rFonts w:ascii="Arial" w:cs="Arial" w:eastAsia="Arial" w:hAnsi="Arial"/>
                <w:sz w:val="18"/>
                <w:szCs w:val="18"/>
                <w:color w:val="0000FF"/>
              </w:rPr>
              <w:t xml:space="preserve"> </w:t>
            </w:r>
            <w:r>
              <w:rPr>
                <w:rFonts w:ascii="Arial" w:cs="Arial" w:eastAsia="Arial" w:hAnsi="Arial"/>
                <w:sz w:val="18"/>
                <w:szCs w:val="18"/>
                <w:color w:val="0E32E1"/>
              </w:rPr>
              <w:t>and Six</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Months Ended </w:t>
              </w:r>
            </w:hyperlink>
            <w:r>
              <w:rPr>
                <w:rFonts w:ascii="Arial" w:cs="Arial" w:eastAsia="Arial" w:hAnsi="Arial"/>
                <w:sz w:val="18"/>
                <w:szCs w:val="18"/>
                <w:color w:val="0E32E1"/>
              </w:rPr>
              <w:t>July</w:t>
            </w:r>
            <w:r>
              <w:rPr>
                <w:rFonts w:ascii="Arial" w:cs="Arial" w:eastAsia="Arial" w:hAnsi="Arial"/>
                <w:sz w:val="18"/>
                <w:szCs w:val="18"/>
                <w:color w:val="0000FF"/>
              </w:rPr>
              <w:t xml:space="preserve"> </w:t>
            </w:r>
            <w:r>
              <w:rPr>
                <w:rFonts w:ascii="Arial" w:cs="Arial" w:eastAsia="Arial" w:hAnsi="Arial"/>
                <w:sz w:val="18"/>
                <w:szCs w:val="18"/>
                <w:color w:val="0E32E1"/>
              </w:rPr>
              <w:t>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2020</w:t>
            </w:r>
          </w:p>
        </w:tc>
        <w:tc>
          <w:tcPr>
            <w:tcW w:w="20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tcBorders>
              <w:right w:val="single" w:sz="8" w:color="0E32E1"/>
            </w:tcBorders>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tcBorders>
              <w:right w:val="single" w:sz="8" w:color="0E32E1"/>
            </w:tcBorders>
            <w:shd w:val="clear" w:color="auto" w:fill="0000FF"/>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0" w:type="dxa"/>
            <w:vAlign w:val="bottom"/>
            <w:tcBorders>
              <w:right w:val="single" w:sz="8" w:color="0E32E1"/>
            </w:tcBorders>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400" w:type="dxa"/>
            <w:vAlign w:val="bottom"/>
            <w:tcBorders>
              <w:left w:val="single" w:sz="8" w:color="0E32E1"/>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0" w:type="dxa"/>
            <w:vAlign w:val="bottom"/>
            <w:gridSpan w:val="3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 xml:space="preserve">Statements of Stockholders' Equity (Deficit) for the </w:t>
              </w:r>
            </w:hyperlink>
            <w:r>
              <w:rPr>
                <w:rFonts w:ascii="Arial" w:cs="Arial" w:eastAsia="Arial" w:hAnsi="Arial"/>
                <w:sz w:val="18"/>
                <w:szCs w:val="18"/>
                <w:color w:val="0E32E1"/>
              </w:rPr>
              <w:t>Three</w:t>
            </w:r>
            <w:r>
              <w:rPr>
                <w:rFonts w:ascii="Arial" w:cs="Arial" w:eastAsia="Arial" w:hAnsi="Arial"/>
                <w:sz w:val="18"/>
                <w:szCs w:val="18"/>
                <w:color w:val="0000FF"/>
              </w:rPr>
              <w:t xml:space="preserve"> </w:t>
            </w:r>
            <w:r>
              <w:rPr>
                <w:rFonts w:ascii="Arial" w:cs="Arial" w:eastAsia="Arial" w:hAnsi="Arial"/>
                <w:sz w:val="18"/>
                <w:szCs w:val="18"/>
                <w:color w:val="0E32E1"/>
              </w:rPr>
              <w:t>and Six</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Months Ended </w:t>
              </w:r>
            </w:hyperlink>
            <w:r>
              <w:rPr>
                <w:rFonts w:ascii="Arial" w:cs="Arial" w:eastAsia="Arial" w:hAnsi="Arial"/>
                <w:sz w:val="18"/>
                <w:szCs w:val="18"/>
                <w:color w:val="0E32E1"/>
              </w:rPr>
              <w:t>July</w:t>
            </w:r>
            <w:r>
              <w:rPr>
                <w:rFonts w:ascii="Arial" w:cs="Arial" w:eastAsia="Arial" w:hAnsi="Arial"/>
                <w:sz w:val="18"/>
                <w:szCs w:val="18"/>
                <w:color w:val="0000FF"/>
              </w:rPr>
              <w:t xml:space="preserve"> </w:t>
            </w:r>
            <w:r>
              <w:rPr>
                <w:rFonts w:ascii="Arial" w:cs="Arial" w:eastAsia="Arial" w:hAnsi="Arial"/>
                <w:sz w:val="18"/>
                <w:szCs w:val="18"/>
                <w:color w:val="0E32E1"/>
              </w:rPr>
              <w:t>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2020</w:t>
            </w:r>
          </w:p>
        </w:tc>
        <w:tc>
          <w:tcPr>
            <w:tcW w:w="20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80" w:type="dxa"/>
            <w:vAlign w:val="bottom"/>
            <w:tcBorders>
              <w:right w:val="single" w:sz="8" w:color="0E32E1"/>
            </w:tcBorders>
            <w:gridSpan w:val="2"/>
            <w:shd w:val="clear" w:color="auto" w:fill="0E32E1"/>
          </w:tcPr>
          <w:p>
            <w:pPr>
              <w:spacing w:after="0" w:line="20" w:lineRule="exact"/>
              <w:rPr>
                <w:sz w:val="1"/>
                <w:szCs w:val="1"/>
                <w:color w:val="auto"/>
              </w:rPr>
            </w:pPr>
          </w:p>
        </w:tc>
        <w:tc>
          <w:tcPr>
            <w:tcW w:w="140" w:type="dxa"/>
            <w:vAlign w:val="bottom"/>
            <w:tcBorders>
              <w:right w:val="single" w:sz="8" w:color="0000FF"/>
            </w:tcBorders>
            <w:gridSpan w:val="2"/>
            <w:shd w:val="clear" w:color="auto" w:fill="0E32E1"/>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E32E1"/>
            </w:tcBorders>
            <w:shd w:val="clear" w:color="auto" w:fill="0000FF"/>
          </w:tcPr>
          <w:p>
            <w:pPr>
              <w:spacing w:after="0" w:line="20" w:lineRule="exact"/>
              <w:rPr>
                <w:sz w:val="1"/>
                <w:szCs w:val="1"/>
                <w:color w:val="auto"/>
              </w:rPr>
            </w:pPr>
          </w:p>
        </w:tc>
        <w:tc>
          <w:tcPr>
            <w:tcW w:w="940" w:type="dxa"/>
            <w:vAlign w:val="bottom"/>
            <w:gridSpan w:val="2"/>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0" w:type="dxa"/>
            <w:vAlign w:val="bottom"/>
            <w:gridSpan w:val="3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Statements of Cash Flows </w:t>
              </w:r>
            </w:hyperlink>
            <w:hyperlink w:anchor="page3">
              <w:r>
                <w:rPr>
                  <w:rFonts w:ascii="Arial" w:cs="Arial" w:eastAsia="Arial" w:hAnsi="Arial"/>
                  <w:sz w:val="18"/>
                  <w:szCs w:val="18"/>
                  <w:color w:val="0000FF"/>
                </w:rPr>
                <w:t xml:space="preserve">for the </w:t>
              </w:r>
            </w:hyperlink>
            <w:r>
              <w:rPr>
                <w:rFonts w:ascii="Arial" w:cs="Arial" w:eastAsia="Arial" w:hAnsi="Arial"/>
                <w:sz w:val="18"/>
                <w:szCs w:val="18"/>
                <w:color w:val="0E32E1"/>
              </w:rPr>
              <w:t>Six</w:t>
            </w:r>
            <w:r>
              <w:rPr>
                <w:rFonts w:ascii="Arial" w:cs="Arial" w:eastAsia="Arial" w:hAnsi="Arial"/>
                <w:sz w:val="18"/>
                <w:szCs w:val="18"/>
                <w:color w:val="0000FF"/>
              </w:rPr>
              <w:t xml:space="preserve"> </w:t>
            </w:r>
            <w:r>
              <w:rPr>
                <w:rFonts w:ascii="Arial" w:cs="Arial" w:eastAsia="Arial" w:hAnsi="Arial"/>
                <w:sz w:val="18"/>
                <w:szCs w:val="18"/>
                <w:color w:val="0E32E1"/>
              </w:rPr>
              <w:t>Months Ended July 31, 2021</w:t>
            </w:r>
            <w:r>
              <w:rPr>
                <w:rFonts w:ascii="Arial" w:cs="Arial" w:eastAsia="Arial" w:hAnsi="Arial"/>
                <w:sz w:val="18"/>
                <w:szCs w:val="18"/>
                <w:color w:val="0000FF"/>
              </w:rPr>
              <w:t xml:space="preserve"> </w:t>
            </w:r>
            <w:hyperlink w:anchor="page3">
              <w:r>
                <w:rPr>
                  <w:rFonts w:ascii="Arial" w:cs="Arial" w:eastAsia="Arial" w:hAnsi="Arial"/>
                  <w:sz w:val="18"/>
                  <w:szCs w:val="18"/>
                  <w:color w:val="0000FF"/>
                </w:rPr>
                <w:t xml:space="preserve">and </w:t>
              </w:r>
            </w:hyperlink>
            <w:r>
              <w:rPr>
                <w:rFonts w:ascii="Arial" w:cs="Arial" w:eastAsia="Arial" w:hAnsi="Arial"/>
                <w:sz w:val="18"/>
                <w:szCs w:val="18"/>
                <w:color w:val="0E32E1"/>
              </w:rPr>
              <w:t>2020</w:t>
            </w:r>
          </w:p>
        </w:tc>
        <w:tc>
          <w:tcPr>
            <w:tcW w:w="200" w:type="dxa"/>
            <w:vAlign w:val="bottom"/>
            <w:gridSpan w:val="2"/>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E32E1"/>
          </w:tcPr>
          <w:p>
            <w:pPr>
              <w:spacing w:after="0" w:line="20" w:lineRule="exact"/>
              <w:rPr>
                <w:sz w:val="1"/>
                <w:szCs w:val="1"/>
                <w:color w:val="auto"/>
              </w:rPr>
            </w:pPr>
          </w:p>
        </w:tc>
        <w:tc>
          <w:tcPr>
            <w:tcW w:w="1260" w:type="dxa"/>
            <w:vAlign w:val="bottom"/>
            <w:gridSpan w:val="4"/>
            <w:shd w:val="clear" w:color="auto" w:fill="0E32E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580" w:type="dxa"/>
            <w:vAlign w:val="bottom"/>
            <w:tcBorders>
              <w:right w:val="single" w:sz="8" w:color="0E32E1"/>
            </w:tcBorders>
            <w:gridSpan w:val="2"/>
            <w:shd w:val="clear" w:color="auto" w:fill="0E32E1"/>
          </w:tcPr>
          <w:p>
            <w:pPr>
              <w:spacing w:after="0" w:line="20" w:lineRule="exact"/>
              <w:rPr>
                <w:sz w:val="1"/>
                <w:szCs w:val="1"/>
                <w:color w:val="auto"/>
              </w:rPr>
            </w:pPr>
          </w:p>
        </w:tc>
        <w:tc>
          <w:tcPr>
            <w:tcW w:w="140" w:type="dxa"/>
            <w:vAlign w:val="bottom"/>
            <w:tcBorders>
              <w:right w:val="single" w:sz="8" w:color="0E32E1"/>
            </w:tcBorders>
            <w:gridSpan w:val="2"/>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30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tcBorders>
              <w:bottom w:val="single" w:sz="8" w:color="0000FF"/>
            </w:tcBorders>
            <w:gridSpan w:val="19"/>
          </w:tcPr>
          <w:p>
            <w:pPr>
              <w:spacing w:after="0"/>
              <w:rPr>
                <w:rFonts w:ascii="Arial" w:cs="Arial" w:eastAsia="Arial" w:hAnsi="Arial"/>
                <w:sz w:val="18"/>
                <w:szCs w:val="18"/>
                <w:color w:val="0000FF"/>
                <w:w w:val="98"/>
              </w:rPr>
            </w:pPr>
            <w:hyperlink w:anchor="page6">
              <w:r>
                <w:rPr>
                  <w:rFonts w:ascii="Arial" w:cs="Arial" w:eastAsia="Arial" w:hAnsi="Arial"/>
                  <w:sz w:val="18"/>
                  <w:szCs w:val="18"/>
                  <w:color w:val="0000FF"/>
                  <w:w w:val="98"/>
                </w:rPr>
                <w:t>Notes to Condensed Consolidated Financial Statements</w:t>
              </w:r>
            </w:hyperlink>
          </w:p>
        </w:tc>
        <w:tc>
          <w:tcPr>
            <w:tcW w:w="5960" w:type="dxa"/>
            <w:vAlign w:val="bottom"/>
            <w:gridSpan w:val="14"/>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20" w:type="dxa"/>
            <w:vAlign w:val="bottom"/>
            <w:tcBorders>
              <w:bottom w:val="single" w:sz="8" w:color="0000FF"/>
            </w:tcBorders>
            <w:gridSpan w:val="30"/>
          </w:tcPr>
          <w:p>
            <w:pPr>
              <w:spacing w:after="0"/>
              <w:rPr>
                <w:rFonts w:ascii="Arial" w:cs="Arial" w:eastAsia="Arial" w:hAnsi="Arial"/>
                <w:sz w:val="18"/>
                <w:szCs w:val="18"/>
                <w:color w:val="0000FF"/>
                <w:w w:val="98"/>
              </w:rPr>
            </w:pPr>
            <w:hyperlink w:anchor="page23">
              <w:r>
                <w:rPr>
                  <w:rFonts w:ascii="Arial" w:cs="Arial" w:eastAsia="Arial" w:hAnsi="Arial"/>
                  <w:sz w:val="18"/>
                  <w:szCs w:val="18"/>
                  <w:color w:val="0000FF"/>
                  <w:w w:val="98"/>
                </w:rPr>
                <w:t>Item 2. Management’s Discussion and Analysis of Financial Condition and Results of Operations</w:t>
              </w:r>
            </w:hyperlink>
          </w:p>
        </w:tc>
        <w:tc>
          <w:tcPr>
            <w:tcW w:w="3020" w:type="dxa"/>
            <w:vAlign w:val="bottom"/>
            <w:gridSpan w:val="4"/>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3">
              <w:r>
                <w:rPr>
                  <w:rFonts w:ascii="Arial" w:cs="Arial" w:eastAsia="Arial" w:hAnsi="Arial"/>
                  <w:sz w:val="18"/>
                  <w:szCs w:val="18"/>
                  <w:color w:val="0000FF"/>
                  <w:w w:val="89"/>
                </w:rPr>
                <w:t>24</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3. Quantitative and Qualitative Disclosures About Market Risk</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8"/>
              </w:rPr>
            </w:pPr>
            <w:hyperlink w:anchor="page36">
              <w:r>
                <w:rPr>
                  <w:rFonts w:ascii="Arial" w:cs="Arial" w:eastAsia="Arial" w:hAnsi="Arial"/>
                  <w:sz w:val="18"/>
                  <w:szCs w:val="18"/>
                  <w:color w:val="0000FF"/>
                  <w:w w:val="98"/>
                </w:rPr>
                <w:t>Item 4. Controls and Procedures</w:t>
              </w:r>
            </w:hyperlink>
          </w:p>
        </w:tc>
        <w:tc>
          <w:tcPr>
            <w:tcW w:w="2680" w:type="dxa"/>
            <w:vAlign w:val="bottom"/>
            <w:tcBorders>
              <w:top w:val="single" w:sz="8" w:color="0000FF"/>
            </w:tcBorders>
            <w:gridSpan w:val="12"/>
          </w:tcPr>
          <w:p>
            <w:pPr>
              <w:spacing w:after="0"/>
              <w:rPr>
                <w:sz w:val="18"/>
                <w:szCs w:val="18"/>
                <w:color w:val="auto"/>
              </w:rPr>
            </w:pPr>
          </w:p>
        </w:tc>
        <w:tc>
          <w:tcPr>
            <w:tcW w:w="5380" w:type="dxa"/>
            <w:vAlign w:val="bottom"/>
            <w:gridSpan w:val="12"/>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36</w:t>
              </w:r>
            </w:hyperlink>
          </w:p>
        </w:tc>
      </w:tr>
      <w:tr>
        <w:trPr>
          <w:trHeight w:val="207"/>
        </w:trPr>
        <w:tc>
          <w:tcPr>
            <w:tcW w:w="11000" w:type="dxa"/>
            <w:vAlign w:val="bottom"/>
            <w:gridSpan w:val="36"/>
          </w:tcPr>
          <w:p>
            <w:pPr>
              <w:spacing w:after="0"/>
              <w:rPr>
                <w:rFonts w:ascii="Arial" w:cs="Arial" w:eastAsia="Arial" w:hAnsi="Arial"/>
                <w:sz w:val="18"/>
                <w:szCs w:val="18"/>
                <w:b w:val="1"/>
                <w:bCs w:val="1"/>
                <w:color w:val="0000FF"/>
              </w:rPr>
            </w:pPr>
            <w:hyperlink w:anchor="page37">
              <w:r>
                <w:rPr>
                  <w:rFonts w:ascii="Arial" w:cs="Arial" w:eastAsia="Arial" w:hAnsi="Arial"/>
                  <w:sz w:val="18"/>
                  <w:szCs w:val="18"/>
                  <w:b w:val="1"/>
                  <w:bCs w:val="1"/>
                  <w:color w:val="0000FF"/>
                </w:rPr>
                <w:t>PART II - OTHER INFORMATION</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7"/>
        </w:trPr>
        <w:tc>
          <w:tcPr>
            <w:tcW w:w="40" w:type="dxa"/>
            <w:vAlign w:val="bottom"/>
            <w:tcBorders>
              <w:top w:val="single" w:sz="8" w:color="0000FF"/>
            </w:tcBorders>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08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98"/>
              </w:rPr>
            </w:pPr>
            <w:hyperlink w:anchor="page37">
              <w:r>
                <w:rPr>
                  <w:rFonts w:ascii="Arial" w:cs="Arial" w:eastAsia="Arial" w:hAnsi="Arial"/>
                  <w:sz w:val="18"/>
                  <w:szCs w:val="18"/>
                  <w:color w:val="0000FF"/>
                  <w:w w:val="98"/>
                </w:rPr>
                <w:t>Item 1. Legal Proceedings</w:t>
              </w:r>
            </w:hyperlink>
          </w:p>
        </w:tc>
        <w:tc>
          <w:tcPr>
            <w:tcW w:w="260" w:type="dxa"/>
            <w:vAlign w:val="bottom"/>
            <w:tcBorders>
              <w:top w:val="single" w:sz="8" w:color="0000FF"/>
            </w:tcBorders>
          </w:tcPr>
          <w:p>
            <w:pPr>
              <w:spacing w:after="0"/>
              <w:rPr>
                <w:sz w:val="18"/>
                <w:szCs w:val="18"/>
                <w:color w:val="auto"/>
              </w:rPr>
            </w:pPr>
          </w:p>
        </w:tc>
        <w:tc>
          <w:tcPr>
            <w:tcW w:w="8300" w:type="dxa"/>
            <w:vAlign w:val="bottom"/>
            <w:gridSpan w:val="26"/>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37</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1A. Risk Factors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280" w:type="dxa"/>
            <w:vAlign w:val="bottom"/>
            <w:gridSpan w:val="10"/>
          </w:tcPr>
          <w:p>
            <w:pPr>
              <w:spacing w:after="0" w:line="20" w:lineRule="exact"/>
              <w:rPr>
                <w:sz w:val="1"/>
                <w:szCs w:val="1"/>
                <w:color w:val="auto"/>
              </w:rPr>
            </w:pPr>
          </w:p>
        </w:tc>
        <w:tc>
          <w:tcPr>
            <w:tcW w:w="5240" w:type="dxa"/>
            <w:vAlign w:val="bottom"/>
            <w:gridSpan w:val="1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40" w:type="dxa"/>
            <w:vAlign w:val="bottom"/>
            <w:gridSpan w:val="34"/>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2. Unregistered Sales of Equity Securities and Use of Proceeds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3.</w:t>
              </w:r>
            </w:hyperlink>
          </w:p>
        </w:tc>
        <w:tc>
          <w:tcPr>
            <w:tcW w:w="4820" w:type="dxa"/>
            <w:vAlign w:val="bottom"/>
            <w:tcBorders>
              <w:top w:val="single" w:sz="8" w:color="0000FF"/>
            </w:tcBorders>
            <w:gridSpan w:val="22"/>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Defaults Upon Senior Securities</w:t>
              </w:r>
            </w:hyperlink>
          </w:p>
        </w:tc>
        <w:tc>
          <w:tcPr>
            <w:tcW w:w="5240" w:type="dxa"/>
            <w:vAlign w:val="bottom"/>
            <w:gridSpan w:val="10"/>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top w:val="single" w:sz="8" w:color="0000FF"/>
              <w:bottom w:val="single" w:sz="8" w:color="0000FF"/>
            </w:tcBorders>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4.</w:t>
              </w:r>
            </w:hyperlink>
          </w:p>
        </w:tc>
        <w:tc>
          <w:tcPr>
            <w:tcW w:w="1940" w:type="dxa"/>
            <w:vAlign w:val="bottom"/>
            <w:tcBorders>
              <w:top w:val="single" w:sz="8" w:color="0000FF"/>
              <w:bottom w:val="single" w:sz="8" w:color="0000FF"/>
            </w:tcBorders>
            <w:gridSpan w:val="7"/>
          </w:tcPr>
          <w:p>
            <w:pPr>
              <w:ind w:left="20"/>
              <w:spacing w:after="0"/>
              <w:rPr>
                <w:rFonts w:ascii="Arial" w:cs="Arial" w:eastAsia="Arial" w:hAnsi="Arial"/>
                <w:sz w:val="18"/>
                <w:szCs w:val="18"/>
                <w:color w:val="0000FF"/>
                <w:w w:val="98"/>
              </w:rPr>
            </w:pPr>
            <w:hyperlink w:anchor="page38">
              <w:r>
                <w:rPr>
                  <w:rFonts w:ascii="Arial" w:cs="Arial" w:eastAsia="Arial" w:hAnsi="Arial"/>
                  <w:sz w:val="18"/>
                  <w:szCs w:val="18"/>
                  <w:color w:val="0000FF"/>
                  <w:w w:val="98"/>
                </w:rPr>
                <w:t>Mine Safety Disclosures</w:t>
              </w:r>
            </w:hyperlink>
          </w:p>
        </w:tc>
        <w:tc>
          <w:tcPr>
            <w:tcW w:w="600" w:type="dxa"/>
            <w:vAlign w:val="bottom"/>
            <w:tcBorders>
              <w:top w:val="single" w:sz="8" w:color="0000FF"/>
            </w:tcBorders>
            <w:gridSpan w:val="5"/>
          </w:tcPr>
          <w:p>
            <w:pPr>
              <w:spacing w:after="0"/>
              <w:rPr>
                <w:sz w:val="18"/>
                <w:szCs w:val="18"/>
                <w:color w:val="auto"/>
              </w:rPr>
            </w:pPr>
          </w:p>
        </w:tc>
        <w:tc>
          <w:tcPr>
            <w:tcW w:w="7520" w:type="dxa"/>
            <w:vAlign w:val="bottom"/>
            <w:gridSpan w:val="20"/>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38</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0000FF"/>
            </w:tcBorders>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5.</w:t>
              </w:r>
            </w:hyperlink>
          </w:p>
        </w:tc>
        <w:tc>
          <w:tcPr>
            <w:tcW w:w="1420" w:type="dxa"/>
            <w:vAlign w:val="bottom"/>
            <w:tcBorders>
              <w:bottom w:val="single" w:sz="8" w:color="0000FF"/>
            </w:tcBorders>
            <w:gridSpan w:val="4"/>
          </w:tcPr>
          <w:p>
            <w:pPr>
              <w:ind w:left="20"/>
              <w:spacing w:after="0"/>
              <w:rPr>
                <w:rFonts w:ascii="Arial" w:cs="Arial" w:eastAsia="Arial" w:hAnsi="Arial"/>
                <w:sz w:val="18"/>
                <w:szCs w:val="18"/>
                <w:color w:val="0000FF"/>
                <w:w w:val="97"/>
              </w:rPr>
            </w:pPr>
            <w:hyperlink w:anchor="page38">
              <w:r>
                <w:rPr>
                  <w:rFonts w:ascii="Arial" w:cs="Arial" w:eastAsia="Arial" w:hAnsi="Arial"/>
                  <w:sz w:val="18"/>
                  <w:szCs w:val="18"/>
                  <w:color w:val="0000FF"/>
                  <w:w w:val="97"/>
                </w:rPr>
                <w:t>Other Information</w:t>
              </w:r>
            </w:hyperlink>
          </w:p>
        </w:tc>
        <w:tc>
          <w:tcPr>
            <w:tcW w:w="8640" w:type="dxa"/>
            <w:vAlign w:val="bottom"/>
            <w:gridSpan w:val="28"/>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r>
      <w:tr>
        <w:trPr>
          <w:trHeight w:val="207"/>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gridSpan w:val="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w:t>
              </w:r>
            </w:hyperlink>
          </w:p>
        </w:tc>
        <w:tc>
          <w:tcPr>
            <w:tcW w:w="10060" w:type="dxa"/>
            <w:vAlign w:val="bottom"/>
            <w:gridSpan w:val="32"/>
          </w:tcPr>
          <w:p>
            <w:pPr>
              <w:ind w:left="20"/>
              <w:spacing w:after="0"/>
              <w:rPr>
                <w:rFonts w:ascii="Arial" w:cs="Arial" w:eastAsia="Arial" w:hAnsi="Arial"/>
                <w:sz w:val="18"/>
                <w:szCs w:val="18"/>
                <w:color w:val="0000FF"/>
              </w:rPr>
            </w:pPr>
            <w:hyperlink w:anchor="page38">
              <w:r>
                <w:rPr>
                  <w:rFonts w:ascii="Arial" w:cs="Arial" w:eastAsia="Arial" w:hAnsi="Arial"/>
                  <w:sz w:val="18"/>
                  <w:szCs w:val="18"/>
                  <w:color w:val="0000FF"/>
                </w:rPr>
                <w:t>Exhibits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39</w:t>
              </w:r>
            </w:hyperlink>
          </w:p>
        </w:tc>
      </w:tr>
      <w:tr>
        <w:trPr>
          <w:trHeight w:val="20"/>
        </w:trPr>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420" w:type="dxa"/>
            <w:vAlign w:val="bottom"/>
            <w:gridSpan w:val="30"/>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7"/>
        </w:trPr>
        <w:tc>
          <w:tcPr>
            <w:tcW w:w="40" w:type="dxa"/>
            <w:vAlign w:val="bottom"/>
          </w:tcPr>
          <w:p>
            <w:pPr>
              <w:spacing w:after="0"/>
              <w:rPr>
                <w:sz w:val="18"/>
                <w:szCs w:val="18"/>
                <w:color w:val="auto"/>
              </w:rPr>
            </w:pPr>
          </w:p>
        </w:tc>
        <w:tc>
          <w:tcPr>
            <w:tcW w:w="10960" w:type="dxa"/>
            <w:vAlign w:val="bottom"/>
            <w:gridSpan w:val="35"/>
          </w:tcPr>
          <w:p>
            <w:pPr>
              <w:spacing w:after="0"/>
              <w:rPr>
                <w:rFonts w:ascii="Arial" w:cs="Arial" w:eastAsia="Arial" w:hAnsi="Arial"/>
                <w:sz w:val="18"/>
                <w:szCs w:val="18"/>
                <w:b w:val="1"/>
                <w:bCs w:val="1"/>
                <w:color w:val="0000FF"/>
              </w:rPr>
            </w:pPr>
            <w:hyperlink w:anchor="page39">
              <w:r>
                <w:rPr>
                  <w:rFonts w:ascii="Arial" w:cs="Arial" w:eastAsia="Arial" w:hAnsi="Arial"/>
                  <w:sz w:val="18"/>
                  <w:szCs w:val="18"/>
                  <w:b w:val="1"/>
                  <w:bCs w:val="1"/>
                  <w:color w:val="0000FF"/>
                </w:rPr>
                <w:t>SIGNATURES</w:t>
              </w:r>
            </w:hyperlink>
          </w:p>
        </w:tc>
        <w:tc>
          <w:tcPr>
            <w:tcW w:w="200" w:type="dxa"/>
            <w:vAlign w:val="bottom"/>
            <w:gridSpan w:val="2"/>
          </w:tcPr>
          <w:p>
            <w:pPr>
              <w:jc w:val="right"/>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40</w:t>
              </w:r>
            </w:hyperlink>
          </w:p>
        </w:tc>
      </w:tr>
      <w:tr>
        <w:trPr>
          <w:trHeight w:val="20"/>
        </w:trPr>
        <w:tc>
          <w:tcPr>
            <w:tcW w:w="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3021330</wp:posOffset>
            </wp:positionH>
            <wp:positionV relativeFrom="paragraph">
              <wp:posOffset>-1884680</wp:posOffset>
            </wp:positionV>
            <wp:extent cx="31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1 – 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and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July 31, 2021</w:t>
            </w:r>
          </w:p>
        </w:tc>
        <w:tc>
          <w:tcPr>
            <w:tcW w:w="220" w:type="dxa"/>
            <w:vAlign w:val="bottom"/>
          </w:tcPr>
          <w:p>
            <w:pPr>
              <w:spacing w:after="0"/>
              <w:rPr>
                <w:sz w:val="18"/>
                <w:szCs w:val="18"/>
                <w:color w:val="auto"/>
              </w:rPr>
            </w:pPr>
          </w:p>
        </w:tc>
        <w:tc>
          <w:tcPr>
            <w:tcW w:w="1780" w:type="dxa"/>
            <w:vAlign w:val="bottom"/>
          </w:tcPr>
          <w:p>
            <w:pPr>
              <w:jc w:val="right"/>
              <w:ind w:right="280"/>
              <w:spacing w:after="0"/>
              <w:rPr>
                <w:sz w:val="20"/>
                <w:szCs w:val="20"/>
                <w:color w:val="auto"/>
              </w:rPr>
            </w:pPr>
            <w:r>
              <w:rPr>
                <w:rFonts w:ascii="Arial" w:cs="Arial" w:eastAsia="Arial" w:hAnsi="Arial"/>
                <w:sz w:val="16"/>
                <w:szCs w:val="16"/>
                <w:b w:val="1"/>
                <w:bCs w:val="1"/>
                <w:color w:val="auto"/>
              </w:rPr>
              <w:t>January 31, 2021</w:t>
            </w:r>
          </w:p>
        </w:tc>
        <w:tc>
          <w:tcPr>
            <w:tcW w:w="0" w:type="dxa"/>
            <w:vAlign w:val="bottom"/>
          </w:tcPr>
          <w:p>
            <w:pPr>
              <w:spacing w:after="0"/>
              <w:rPr>
                <w:sz w:val="1"/>
                <w:szCs w:val="1"/>
                <w:color w:val="auto"/>
              </w:rPr>
            </w:pPr>
          </w:p>
        </w:tc>
      </w:tr>
      <w:tr>
        <w:trPr>
          <w:trHeight w:val="197"/>
        </w:trPr>
        <w:tc>
          <w:tcPr>
            <w:tcW w:w="7120" w:type="dxa"/>
            <w:vAlign w:val="bottom"/>
            <w:tcBorders>
              <w:top w:val="single" w:sz="8" w:color="CCEEFF"/>
            </w:tcBorders>
            <w:shd w:val="clear" w:color="auto" w:fill="CCEEFF"/>
          </w:tcPr>
          <w:p>
            <w:pPr>
              <w:ind w:left="530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Accounts receivable–trade, net of allowance of $6.1 and $6.5</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67.0</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net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1"/>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current assets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203.7</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1"/>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3540"/>
              <w:spacing w:after="0"/>
              <w:rPr>
                <w:sz w:val="20"/>
                <w:szCs w:val="20"/>
                <w:color w:val="auto"/>
              </w:rPr>
            </w:pPr>
            <w:r>
              <w:rPr>
                <w:rFonts w:ascii="Arial" w:cs="Arial" w:eastAsia="Arial" w:hAnsi="Arial"/>
                <w:sz w:val="16"/>
                <w:szCs w:val="16"/>
                <w:b w:val="1"/>
                <w:bCs w:val="1"/>
                <w:color w:val="auto"/>
              </w:rPr>
              <w:t>LIABILITIES AND STOCKHOLDERS’ EQUITY</w:t>
            </w:r>
          </w:p>
        </w:tc>
        <w:tc>
          <w:tcPr>
            <w:tcW w:w="20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120" w:type="dxa"/>
            <w:vAlign w:val="bottom"/>
            <w:vMerge w:val="continue"/>
          </w:tcPr>
          <w:p>
            <w:pPr>
              <w:spacing w:after="0"/>
              <w:rPr>
                <w:sz w:val="13"/>
                <w:szCs w:val="13"/>
                <w:color w:val="auto"/>
              </w:rPr>
            </w:pPr>
          </w:p>
        </w:tc>
        <w:tc>
          <w:tcPr>
            <w:tcW w:w="2000" w:type="dxa"/>
            <w:vAlign w:val="bottom"/>
            <w:gridSpan w:val="2"/>
          </w:tcPr>
          <w:p>
            <w:pPr>
              <w:spacing w:after="0" w:line="161" w:lineRule="exact"/>
              <w:rPr>
                <w:sz w:val="20"/>
                <w:szCs w:val="20"/>
                <w:color w:val="auto"/>
              </w:rPr>
            </w:pPr>
            <w:r>
              <w:rPr>
                <w:rFonts w:ascii="Arial" w:cs="Arial" w:eastAsia="Arial" w:hAnsi="Arial"/>
                <w:sz w:val="16"/>
                <w:szCs w:val="16"/>
                <w:b w:val="1"/>
                <w:bCs w:val="1"/>
                <w:color w:val="auto"/>
              </w:rPr>
              <w:t>(DEFICIT)</w:t>
            </w:r>
          </w:p>
        </w:tc>
        <w:tc>
          <w:tcPr>
            <w:tcW w:w="1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Accounts payable</w:t>
            </w: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43.4</w:t>
            </w:r>
          </w:p>
        </w:tc>
        <w:tc>
          <w:tcPr>
            <w:tcW w:w="120" w:type="dxa"/>
            <w:vAlign w:val="bottom"/>
          </w:tcPr>
          <w:p>
            <w:pPr>
              <w:spacing w:after="0"/>
              <w:rPr>
                <w:sz w:val="18"/>
                <w:szCs w:val="18"/>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interest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Accrued liabilities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portion of capital leases</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7"/>
        </w:trPr>
        <w:tc>
          <w:tcPr>
            <w:tcW w:w="712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80.9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77.7</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243.9</w:t>
            </w: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Long-term capital lease obligations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Commitments, contingencies and off-balance sheet arrangements (Note 11)</w:t>
            </w: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 (deficit):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Common stock, $0.01 par value; 110.0 authorized; 9.2 and 8.6 issued</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Additional paid-in capital</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0" w:type="dxa"/>
            <w:vAlign w:val="bottom"/>
          </w:tcPr>
          <w:p>
            <w:pPr>
              <w:spacing w:after="0"/>
              <w:rPr>
                <w:sz w:val="1"/>
                <w:szCs w:val="1"/>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Treasury stock, at cost, 0.3 shares and 0.3 shares</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(494.9)</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(433.1)</w:t>
            </w:r>
          </w:p>
        </w:tc>
        <w:tc>
          <w:tcPr>
            <w:tcW w:w="0" w:type="dxa"/>
            <w:vAlign w:val="bottom"/>
          </w:tcPr>
          <w:p>
            <w:pPr>
              <w:spacing w:after="0"/>
              <w:rPr>
                <w:sz w:val="1"/>
                <w:szCs w:val="1"/>
                <w:color w:val="auto"/>
              </w:rPr>
            </w:pPr>
          </w:p>
        </w:tc>
      </w:tr>
      <w:tr>
        <w:trPr>
          <w:trHeight w:val="207"/>
        </w:trPr>
        <w:tc>
          <w:tcPr>
            <w:tcW w:w="71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Total stockholders’ equity (deficit)</w:t>
            </w: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35"/>
        </w:trPr>
        <w:tc>
          <w:tcPr>
            <w:tcW w:w="71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 (deficit)</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362.7</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 except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r>
      <w:tr>
        <w:trPr>
          <w:trHeight w:val="208"/>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Cost of sales (exclusive of items shown separately below)</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w:t>
            </w:r>
          </w:p>
        </w:tc>
      </w:tr>
      <w:tr>
        <w:trPr>
          <w:trHeight w:val="211"/>
        </w:trPr>
        <w:tc>
          <w:tcPr>
            <w:tcW w:w="492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7"/>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w:t>
            </w:r>
          </w:p>
        </w:tc>
      </w:tr>
      <w:tr>
        <w:trPr>
          <w:trHeight w:val="211"/>
        </w:trPr>
        <w:tc>
          <w:tcPr>
            <w:tcW w:w="4920" w:type="dxa"/>
            <w:vAlign w:val="bottom"/>
          </w:tcPr>
          <w:p>
            <w:pPr>
              <w:ind w:left="160"/>
              <w:spacing w:after="0"/>
              <w:rPr>
                <w:sz w:val="20"/>
                <w:szCs w:val="20"/>
                <w:color w:val="auto"/>
              </w:rPr>
            </w:pPr>
            <w:r>
              <w:rPr>
                <w:rFonts w:ascii="Arial" w:cs="Arial" w:eastAsia="Arial" w:hAnsi="Arial"/>
                <w:sz w:val="16"/>
                <w:szCs w:val="16"/>
                <w:color w:val="auto"/>
              </w:rPr>
              <w:t>Research and development costs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Impairment and other charges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11"/>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Bargain Purchase Gain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11"/>
        </w:trPr>
        <w:tc>
          <w:tcPr>
            <w:tcW w:w="4920" w:type="dxa"/>
            <w:vAlign w:val="bottom"/>
          </w:tcPr>
          <w:p>
            <w:pPr>
              <w:ind w:left="20"/>
              <w:spacing w:after="0"/>
              <w:rPr>
                <w:sz w:val="20"/>
                <w:szCs w:val="20"/>
                <w:color w:val="auto"/>
              </w:rPr>
            </w:pPr>
            <w:r>
              <w:rPr>
                <w:rFonts w:ascii="Arial" w:cs="Arial" w:eastAsia="Arial" w:hAnsi="Arial"/>
                <w:sz w:val="16"/>
                <w:szCs w:val="16"/>
                <w:color w:val="auto"/>
              </w:rPr>
              <w:t>Non-operating expense:</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07"/>
        </w:trPr>
        <w:tc>
          <w:tcPr>
            <w:tcW w:w="4920" w:type="dxa"/>
            <w:vAlign w:val="bottom"/>
          </w:tcPr>
          <w:p>
            <w:pPr>
              <w:ind w:left="20"/>
              <w:spacing w:after="0"/>
              <w:rPr>
                <w:sz w:val="20"/>
                <w:szCs w:val="20"/>
                <w:color w:val="auto"/>
              </w:rPr>
            </w:pPr>
            <w:r>
              <w:rPr>
                <w:rFonts w:ascii="Arial" w:cs="Arial" w:eastAsia="Arial" w:hAnsi="Arial"/>
                <w:sz w:val="16"/>
                <w:szCs w:val="16"/>
                <w:color w:val="auto"/>
              </w:rPr>
              <w:t>Loss before income tax</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(263.4)</w:t>
            </w:r>
          </w:p>
        </w:tc>
      </w:tr>
      <w:tr>
        <w:trPr>
          <w:trHeight w:val="214"/>
        </w:trPr>
        <w:tc>
          <w:tcPr>
            <w:tcW w:w="49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49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(263.5)</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1"/>
        </w:trPr>
        <w:tc>
          <w:tcPr>
            <w:tcW w:w="4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4"/>
        </w:trPr>
        <w:tc>
          <w:tcPr>
            <w:tcW w:w="4920" w:type="dxa"/>
            <w:vAlign w:val="bottom"/>
          </w:tcPr>
          <w:p>
            <w:pPr>
              <w:ind w:left="20"/>
              <w:spacing w:after="0"/>
              <w:rPr>
                <w:sz w:val="20"/>
                <w:szCs w:val="20"/>
                <w:color w:val="auto"/>
              </w:rPr>
            </w:pPr>
            <w:r>
              <w:rPr>
                <w:rFonts w:ascii="Arial" w:cs="Arial" w:eastAsia="Arial" w:hAnsi="Arial"/>
                <w:sz w:val="16"/>
                <w:szCs w:val="16"/>
                <w:color w:val="auto"/>
              </w:rPr>
              <w:t>Net loss per share-basic</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(55.00)</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3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share-diluted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July 31, 2021 and 2020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In millions of U.S. dollars and shares</w:t>
      </w:r>
      <w:r>
        <w:rPr>
          <w:rFonts w:ascii="Arial" w:cs="Arial" w:eastAsia="Arial" w:hAnsi="Arial"/>
          <w:sz w:val="18"/>
          <w:szCs w:val="18"/>
          <w:b w:val="1"/>
          <w:bCs w:val="1"/>
          <w:color w:val="auto"/>
        </w:rPr>
        <w: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20" w:type="dxa"/>
            <w:vAlign w:val="bottom"/>
            <w:gridSpan w:val="7"/>
            <w:vMerge w:val="restart"/>
          </w:tcPr>
          <w:p>
            <w:pPr>
              <w:ind w:left="620"/>
              <w:spacing w:after="0"/>
              <w:rPr>
                <w:sz w:val="20"/>
                <w:szCs w:val="20"/>
                <w:color w:val="auto"/>
              </w:rPr>
            </w:pPr>
            <w:r>
              <w:rPr>
                <w:rFonts w:ascii="Arial" w:cs="Arial" w:eastAsia="Arial" w:hAnsi="Arial"/>
                <w:sz w:val="16"/>
                <w:szCs w:val="16"/>
                <w:b w:val="1"/>
                <w:bCs w:val="1"/>
                <w:color w:val="auto"/>
              </w:rPr>
              <w:t>Common Stock</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9"/>
        </w:trPr>
        <w:tc>
          <w:tcPr>
            <w:tcW w:w="3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tcBorders>
              <w:bottom w:val="single" w:sz="8" w:color="auto"/>
            </w:tcBorders>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ind w:left="60"/>
              <w:spacing w:after="0" w:line="161" w:lineRule="exact"/>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jc w:val="center"/>
              <w:ind w:right="160"/>
              <w:spacing w:after="0" w:line="161" w:lineRule="exact"/>
              <w:rPr>
                <w:sz w:val="20"/>
                <w:szCs w:val="20"/>
                <w:color w:val="auto"/>
              </w:rPr>
            </w:pPr>
            <w:r>
              <w:rPr>
                <w:rFonts w:ascii="Arial" w:cs="Arial" w:eastAsia="Arial" w:hAnsi="Arial"/>
                <w:sz w:val="16"/>
                <w:szCs w:val="16"/>
                <w:b w:val="1"/>
                <w:bCs w:val="1"/>
                <w:color w:val="auto"/>
                <w:w w:val="97"/>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restart"/>
          </w:tcPr>
          <w:p>
            <w:pPr>
              <w:jc w:val="right"/>
              <w:ind w:right="100"/>
              <w:spacing w:after="0" w:line="161"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restart"/>
          </w:tcPr>
          <w:p>
            <w:pPr>
              <w:jc w:val="right"/>
              <w:ind w:right="60"/>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6"/>
                <w:szCs w:val="16"/>
                <w:b w:val="1"/>
                <w:bCs w:val="1"/>
                <w:color w:val="auto"/>
              </w:rPr>
              <w:t>Shares</w:t>
            </w: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Amount</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Paid-in Capital</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rPr>
              <w:t>Stock</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Deficit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(4.0)</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(433.1)</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080" w:type="dxa"/>
            <w:vAlign w:val="bottom"/>
          </w:tcPr>
          <w:p>
            <w:pPr>
              <w:jc w:val="right"/>
              <w:spacing w:after="0"/>
              <w:rPr>
                <w:sz w:val="20"/>
                <w:szCs w:val="20"/>
                <w:color w:val="auto"/>
              </w:rPr>
            </w:pPr>
            <w:r>
              <w:rPr>
                <w:rFonts w:ascii="Arial" w:cs="Arial" w:eastAsia="Arial" w:hAnsi="Arial"/>
                <w:sz w:val="16"/>
                <w:szCs w:val="16"/>
                <w:color w:val="auto"/>
              </w:rPr>
              <w:t>0.5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(0.3)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(36.8)</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(36.8)</w:t>
            </w:r>
          </w:p>
        </w:tc>
        <w:tc>
          <w:tcPr>
            <w:tcW w:w="0" w:type="dxa"/>
            <w:vAlign w:val="bottom"/>
          </w:tcPr>
          <w:p>
            <w:pPr>
              <w:spacing w:after="0"/>
              <w:rPr>
                <w:sz w:val="1"/>
                <w:szCs w:val="1"/>
                <w:color w:val="auto"/>
              </w:rPr>
            </w:pPr>
          </w:p>
        </w:tc>
      </w:tr>
      <w:tr>
        <w:trPr>
          <w:trHeight w:val="207"/>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April 30, 2021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469.9</w:t>
            </w:r>
          </w:p>
        </w:tc>
        <w:tc>
          <w:tcPr>
            <w:tcW w:w="60" w:type="dxa"/>
            <w:vAlign w:val="bottom"/>
            <w:tcBorders>
              <w:bottom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(4.3)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(469.9)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07"/>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Issuance of common stock, net of cost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Net loss</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(25.0)</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3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July 31, 2021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20"/>
                <w:szCs w:val="20"/>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470.9</w:t>
            </w:r>
          </w:p>
        </w:tc>
        <w:tc>
          <w:tcPr>
            <w:tcW w:w="6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7"/>
              </w:rPr>
              <w:t>(4.3)</w:t>
            </w:r>
          </w:p>
        </w:tc>
        <w:tc>
          <w:tcPr>
            <w:tcW w:w="28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(494.9)</w:t>
            </w:r>
          </w:p>
        </w:tc>
        <w:tc>
          <w:tcPr>
            <w:tcW w:w="300" w:type="dxa"/>
            <w:vAlign w:val="bottom"/>
            <w:gridSpan w:val="3"/>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6"/>
            <w:vMerge w:val="restart"/>
          </w:tcPr>
          <w:p>
            <w:pPr>
              <w:jc w:val="right"/>
              <w:ind w:right="540"/>
              <w:spacing w:after="0"/>
              <w:rPr>
                <w:sz w:val="20"/>
                <w:szCs w:val="20"/>
                <w:color w:val="auto"/>
              </w:rPr>
            </w:pPr>
            <w:r>
              <w:rPr>
                <w:rFonts w:ascii="Arial" w:cs="Arial" w:eastAsia="Arial" w:hAnsi="Arial"/>
                <w:sz w:val="16"/>
                <w:szCs w:val="16"/>
                <w:b w:val="1"/>
                <w:bCs w:val="1"/>
                <w:color w:val="auto"/>
              </w:rPr>
              <w:t>Common Stock</w:t>
            </w:r>
          </w:p>
        </w:tc>
        <w:tc>
          <w:tcPr>
            <w:tcW w:w="60" w:type="dxa"/>
            <w:vAlign w:val="bottom"/>
            <w:vMerge w:val="restart"/>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04"/>
        </w:trPr>
        <w:tc>
          <w:tcPr>
            <w:tcW w:w="36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360" w:type="dxa"/>
            <w:vAlign w:val="bottom"/>
            <w:tcBorders>
              <w:bottom w:val="single" w:sz="8" w:color="auto"/>
            </w:tcBorders>
            <w:gridSpan w:val="6"/>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gridSpan w:val="2"/>
            <w:vMerge w:val="restart"/>
          </w:tcPr>
          <w:p>
            <w:pPr>
              <w:spacing w:after="0" w:line="161" w:lineRule="exact"/>
              <w:rPr>
                <w:sz w:val="20"/>
                <w:szCs w:val="20"/>
                <w:color w:val="auto"/>
              </w:rPr>
            </w:pPr>
            <w:r>
              <w:rPr>
                <w:rFonts w:ascii="Arial" w:cs="Arial" w:eastAsia="Arial" w:hAnsi="Arial"/>
                <w:sz w:val="16"/>
                <w:szCs w:val="16"/>
                <w:b w:val="1"/>
                <w:bCs w:val="1"/>
                <w:color w:val="auto"/>
              </w:rPr>
              <w:t>Additional</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gridSpan w:val="2"/>
            <w:vMerge w:val="restart"/>
          </w:tcPr>
          <w:p>
            <w:pPr>
              <w:ind w:left="40"/>
              <w:spacing w:after="0" w:line="161" w:lineRule="exact"/>
              <w:rPr>
                <w:sz w:val="20"/>
                <w:szCs w:val="20"/>
                <w:color w:val="auto"/>
              </w:rPr>
            </w:pPr>
            <w:r>
              <w:rPr>
                <w:rFonts w:ascii="Arial" w:cs="Arial" w:eastAsia="Arial" w:hAnsi="Arial"/>
                <w:sz w:val="16"/>
                <w:szCs w:val="16"/>
                <w:b w:val="1"/>
                <w:bCs w:val="1"/>
                <w:color w:val="auto"/>
              </w:rPr>
              <w:t>Treasury</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3"/>
            <w:vMerge w:val="restart"/>
          </w:tcPr>
          <w:p>
            <w:pPr>
              <w:ind w:left="40"/>
              <w:spacing w:after="0" w:line="161" w:lineRule="exact"/>
              <w:rPr>
                <w:sz w:val="20"/>
                <w:szCs w:val="20"/>
                <w:color w:val="auto"/>
              </w:rPr>
            </w:pPr>
            <w:r>
              <w:rPr>
                <w:rFonts w:ascii="Arial" w:cs="Arial" w:eastAsia="Arial" w:hAnsi="Arial"/>
                <w:sz w:val="16"/>
                <w:szCs w:val="16"/>
                <w:b w:val="1"/>
                <w:bCs w:val="1"/>
                <w:color w:val="auto"/>
              </w:rPr>
              <w:t>Accumulated</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80" w:type="dxa"/>
            <w:vAlign w:val="bottom"/>
            <w:gridSpan w:val="3"/>
            <w:vMerge w:val="restart"/>
          </w:tcPr>
          <w:p>
            <w:pPr>
              <w:spacing w:after="0" w:line="161"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6"/>
        </w:trPr>
        <w:tc>
          <w:tcPr>
            <w:tcW w:w="3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Shares</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vMerge w:val="restart"/>
          </w:tcPr>
          <w:p>
            <w:pPr>
              <w:jc w:val="right"/>
              <w:ind w:right="200"/>
              <w:spacing w:after="0"/>
              <w:rPr>
                <w:sz w:val="20"/>
                <w:szCs w:val="20"/>
                <w:color w:val="auto"/>
              </w:rPr>
            </w:pPr>
            <w:r>
              <w:rPr>
                <w:rFonts w:ascii="Arial" w:cs="Arial" w:eastAsia="Arial" w:hAnsi="Arial"/>
                <w:sz w:val="16"/>
                <w:szCs w:val="16"/>
                <w:b w:val="1"/>
                <w:bCs w:val="1"/>
                <w:color w:val="auto"/>
              </w:rPr>
              <w:t>Amount</w:t>
            </w:r>
          </w:p>
        </w:tc>
        <w:tc>
          <w:tcPr>
            <w:tcW w:w="60" w:type="dxa"/>
            <w:vAlign w:val="bottom"/>
            <w:vMerge w:val="restart"/>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36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CCEEFF"/>
            </w:tcBorders>
            <w:vMerge w:val="continue"/>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Paid-in Capital</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Stock</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Deficit</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Equity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January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416.6</w:t>
            </w:r>
          </w:p>
        </w:tc>
        <w:tc>
          <w:tcPr>
            <w:tcW w:w="6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6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Purchase of treasury stock</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Red Bone acquisition price shares reserved</w:t>
            </w:r>
          </w:p>
        </w:tc>
        <w:tc>
          <w:tcPr>
            <w:tcW w:w="108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6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Balance at April 30, 2020</w:t>
            </w: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(344.0)</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Restricted stock, net of forfeitures</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720" w:type="dxa"/>
            <w:vAlign w:val="bottom"/>
            <w:gridSpan w:val="2"/>
          </w:tcPr>
          <w:p>
            <w:pPr>
              <w:ind w:left="140"/>
              <w:spacing w:after="0"/>
              <w:rPr>
                <w:sz w:val="20"/>
                <w:szCs w:val="20"/>
                <w:color w:val="auto"/>
              </w:rPr>
            </w:pPr>
            <w:r>
              <w:rPr>
                <w:rFonts w:ascii="Arial" w:cs="Arial" w:eastAsia="Arial" w:hAnsi="Arial"/>
                <w:sz w:val="16"/>
                <w:szCs w:val="16"/>
                <w:color w:val="auto"/>
              </w:rPr>
              <w:t>QES acquisition price shares issuance</w:t>
            </w:r>
          </w:p>
        </w:tc>
        <w:tc>
          <w:tcPr>
            <w:tcW w:w="1080" w:type="dxa"/>
            <w:vAlign w:val="bottom"/>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cente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center"/>
              <w:ind w:left="560"/>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20" w:type="dxa"/>
            <w:vAlign w:val="bottom"/>
            <w:gridSpan w:val="2"/>
          </w:tcPr>
          <w:p>
            <w:pPr>
              <w:ind w:left="20"/>
              <w:spacing w:after="0"/>
              <w:rPr>
                <w:sz w:val="20"/>
                <w:szCs w:val="20"/>
                <w:color w:val="auto"/>
              </w:rPr>
            </w:pPr>
            <w:r>
              <w:rPr>
                <w:rFonts w:ascii="Arial" w:cs="Arial" w:eastAsia="Arial" w:hAnsi="Arial"/>
                <w:sz w:val="16"/>
                <w:szCs w:val="16"/>
                <w:color w:val="auto"/>
              </w:rPr>
              <w:t>Balance at July 31, 2020</w:t>
            </w: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0.1</w:t>
            </w:r>
          </w:p>
        </w:tc>
        <w:tc>
          <w:tcPr>
            <w:tcW w:w="60" w:type="dxa"/>
            <w:vAlign w:val="bottom"/>
          </w:tcPr>
          <w:p>
            <w:pPr>
              <w:spacing w:after="0"/>
              <w:rPr>
                <w:sz w:val="18"/>
                <w:szCs w:val="18"/>
                <w:color w:val="auto"/>
              </w:rPr>
            </w:pPr>
          </w:p>
        </w:tc>
        <w:tc>
          <w:tcPr>
            <w:tcW w:w="220" w:type="dxa"/>
            <w:vAlign w:val="bottom"/>
            <w:gridSpan w:val="3"/>
          </w:tcPr>
          <w:p>
            <w:pPr>
              <w:ind w:left="6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468.0</w:t>
            </w:r>
          </w:p>
        </w:tc>
        <w:tc>
          <w:tcPr>
            <w:tcW w:w="60" w:type="dxa"/>
            <w:vAlign w:val="bottom"/>
          </w:tcPr>
          <w:p>
            <w:pPr>
              <w:spacing w:after="0"/>
              <w:rPr>
                <w:sz w:val="18"/>
                <w:szCs w:val="18"/>
                <w:color w:val="auto"/>
              </w:rPr>
            </w:pPr>
          </w:p>
        </w:tc>
        <w:tc>
          <w:tcPr>
            <w:tcW w:w="2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w:t>
            </w:r>
          </w:p>
        </w:tc>
        <w:tc>
          <w:tcPr>
            <w:tcW w:w="60" w:type="dxa"/>
            <w:vAlign w:val="bottom"/>
          </w:tcPr>
          <w:p>
            <w:pPr>
              <w:spacing w:after="0"/>
              <w:rPr>
                <w:sz w:val="18"/>
                <w:szCs w:val="18"/>
                <w:color w:val="auto"/>
              </w:rPr>
            </w:pPr>
          </w:p>
        </w:tc>
        <w:tc>
          <w:tcPr>
            <w:tcW w:w="28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(364.4)</w:t>
            </w:r>
          </w:p>
        </w:tc>
        <w:tc>
          <w:tcPr>
            <w:tcW w:w="60" w:type="dxa"/>
            <w:vAlign w:val="bottom"/>
          </w:tcPr>
          <w:p>
            <w:pPr>
              <w:spacing w:after="0"/>
              <w:rPr>
                <w:sz w:val="18"/>
                <w:szCs w:val="18"/>
                <w:color w:val="auto"/>
              </w:rPr>
            </w:pPr>
          </w:p>
        </w:tc>
        <w:tc>
          <w:tcPr>
            <w:tcW w:w="30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millions of U.S. dollars)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Pr>
          <w:p>
            <w:pPr>
              <w:spacing w:after="0"/>
              <w:rPr>
                <w:sz w:val="18"/>
                <w:szCs w:val="18"/>
                <w:color w:val="auto"/>
              </w:rPr>
            </w:pPr>
          </w:p>
        </w:tc>
        <w:tc>
          <w:tcPr>
            <w:tcW w:w="4120" w:type="dxa"/>
            <w:vAlign w:val="bottom"/>
            <w:tcBorders>
              <w:bottom w:val="single" w:sz="8" w:color="auto"/>
            </w:tcBorders>
            <w:gridSpan w:val="5"/>
          </w:tcPr>
          <w:p>
            <w:pPr>
              <w:jc w:val="right"/>
              <w:ind w:right="12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July 31, 2020</w:t>
            </w:r>
          </w:p>
        </w:tc>
      </w:tr>
      <w:tr>
        <w:trPr>
          <w:trHeight w:val="19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5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Net loss</w:t>
            </w:r>
          </w:p>
        </w:tc>
        <w:tc>
          <w:tcPr>
            <w:tcW w:w="1540" w:type="dxa"/>
            <w:vAlign w:val="bottom"/>
          </w:tcPr>
          <w:p>
            <w:pPr>
              <w:jc w:val="right"/>
              <w:ind w:right="1360"/>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(61.8)</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(263.5)</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flows (used in) provided by operating activities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29.1</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and other charges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Non-cash compensation</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Provision for inventory obsolescence reserve</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1.4</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allowance for doubtful accounts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(Gain) loss on disposal of property, equipment and other</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Bargain purchase gain</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7"/>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w:t>
            </w:r>
          </w:p>
        </w:tc>
      </w:tr>
      <w:tr>
        <w:trPr>
          <w:trHeight w:val="211"/>
        </w:trPr>
        <w:tc>
          <w:tcPr>
            <w:tcW w:w="7120" w:type="dxa"/>
            <w:vAlign w:val="bottom"/>
          </w:tcPr>
          <w:p>
            <w:pPr>
              <w:ind w:left="360"/>
              <w:spacing w:after="0"/>
              <w:rPr>
                <w:sz w:val="20"/>
                <w:szCs w:val="20"/>
                <w:color w:val="auto"/>
              </w:rPr>
            </w:pPr>
            <w:r>
              <w:rPr>
                <w:rFonts w:ascii="Arial" w:cs="Arial" w:eastAsia="Arial" w:hAnsi="Arial"/>
                <w:sz w:val="16"/>
                <w:szCs w:val="16"/>
                <w:color w:val="auto"/>
              </w:rPr>
              <w:t>Inventories</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217"/>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assets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r>
      <w:tr>
        <w:trPr>
          <w:trHeight w:val="211"/>
        </w:trPr>
        <w:tc>
          <w:tcPr>
            <w:tcW w:w="712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(22.2)</w:t>
            </w:r>
          </w:p>
        </w:tc>
      </w:tr>
      <w:tr>
        <w:trPr>
          <w:trHeight w:val="217"/>
        </w:trPr>
        <w:tc>
          <w:tcPr>
            <w:tcW w:w="712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current and non-current liabilities</w:t>
            </w:r>
          </w:p>
        </w:tc>
        <w:tc>
          <w:tcPr>
            <w:tcW w:w="1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r>
      <w:tr>
        <w:trPr>
          <w:trHeight w:val="205"/>
        </w:trPr>
        <w:tc>
          <w:tcPr>
            <w:tcW w:w="712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in operating activities</w:t>
            </w:r>
          </w:p>
        </w:tc>
        <w:tc>
          <w:tcPr>
            <w:tcW w:w="15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19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property and equipment</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Acquisitions, net of cash acquired</w:t>
            </w:r>
          </w:p>
        </w:tc>
        <w:tc>
          <w:tcPr>
            <w:tcW w:w="15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712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investing activities</w:t>
            </w:r>
          </w:p>
        </w:tc>
        <w:tc>
          <w:tcPr>
            <w:tcW w:w="154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19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4"/>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Borrowings from ABL Facility</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120" w:type="dxa"/>
            <w:vAlign w:val="bottom"/>
          </w:tcPr>
          <w:p>
            <w:pPr>
              <w:ind w:left="220"/>
              <w:spacing w:after="0"/>
              <w:rPr>
                <w:sz w:val="20"/>
                <w:szCs w:val="20"/>
                <w:color w:val="auto"/>
              </w:rPr>
            </w:pPr>
            <w:r>
              <w:rPr>
                <w:rFonts w:ascii="Arial" w:cs="Arial" w:eastAsia="Arial" w:hAnsi="Arial"/>
                <w:sz w:val="16"/>
                <w:szCs w:val="16"/>
                <w:color w:val="auto"/>
              </w:rPr>
              <w:t>Purchase of treasury stock</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(0.4)</w:t>
            </w:r>
          </w:p>
        </w:tc>
      </w:tr>
      <w:tr>
        <w:trPr>
          <w:trHeight w:val="217"/>
        </w:trPr>
        <w:tc>
          <w:tcPr>
            <w:tcW w:w="71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Payments on capital lease obligations</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1"/>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Change to financed payables</w:t>
            </w:r>
          </w:p>
        </w:tc>
        <w:tc>
          <w:tcPr>
            <w:tcW w:w="1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71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cash flows provided by (used in) financing activities</w:t>
            </w:r>
          </w:p>
        </w:tc>
        <w:tc>
          <w:tcPr>
            <w:tcW w:w="15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5"/>
        </w:trPr>
        <w:tc>
          <w:tcPr>
            <w:tcW w:w="7120" w:type="dxa"/>
            <w:vAlign w:val="bottom"/>
          </w:tcPr>
          <w:p>
            <w:pPr>
              <w:ind w:left="440"/>
              <w:spacing w:after="0"/>
              <w:rPr>
                <w:sz w:val="20"/>
                <w:szCs w:val="20"/>
                <w:color w:val="auto"/>
              </w:rPr>
            </w:pPr>
            <w:r>
              <w:rPr>
                <w:rFonts w:ascii="Arial" w:cs="Arial" w:eastAsia="Arial" w:hAnsi="Arial"/>
                <w:sz w:val="16"/>
                <w:szCs w:val="16"/>
                <w:color w:val="auto"/>
              </w:rPr>
              <w:t>Net decrease in cash and cash equivalents</w:t>
            </w:r>
          </w:p>
        </w:tc>
        <w:tc>
          <w:tcPr>
            <w:tcW w:w="15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(25.0)</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15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123.5</w:t>
            </w:r>
          </w:p>
        </w:tc>
      </w:tr>
      <w:tr>
        <w:trPr>
          <w:trHeight w:val="205"/>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end of period</w:t>
            </w:r>
          </w:p>
        </w:tc>
        <w:tc>
          <w:tcPr>
            <w:tcW w:w="1540" w:type="dxa"/>
            <w:vAlign w:val="bottom"/>
            <w:tcBorders>
              <w:bottom w:val="single" w:sz="8" w:color="auto"/>
            </w:tcBorders>
          </w:tcPr>
          <w:p>
            <w:pPr>
              <w:jc w:val="right"/>
              <w:ind w:right="136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98.5</w:t>
            </w: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224"/>
        </w:trPr>
        <w:tc>
          <w:tcPr>
            <w:tcW w:w="7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1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during period for:</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r>
      <w:tr>
        <w:trPr>
          <w:trHeight w:val="211"/>
        </w:trPr>
        <w:tc>
          <w:tcPr>
            <w:tcW w:w="7120" w:type="dxa"/>
            <w:vAlign w:val="bottom"/>
          </w:tcPr>
          <w:p>
            <w:pPr>
              <w:ind w:left="140"/>
              <w:spacing w:after="0"/>
              <w:rPr>
                <w:sz w:val="20"/>
                <w:szCs w:val="20"/>
                <w:color w:val="auto"/>
              </w:rPr>
            </w:pPr>
            <w:r>
              <w:rPr>
                <w:rFonts w:ascii="Arial" w:cs="Arial" w:eastAsia="Arial" w:hAnsi="Arial"/>
                <w:sz w:val="16"/>
                <w:szCs w:val="16"/>
                <w:color w:val="auto"/>
              </w:rPr>
              <w:t>Income taxes paid, net of refunds</w:t>
            </w:r>
          </w:p>
        </w:tc>
        <w:tc>
          <w:tcPr>
            <w:tcW w:w="1540" w:type="dxa"/>
            <w:vAlign w:val="bottom"/>
          </w:tcPr>
          <w:p>
            <w:pPr>
              <w:jc w:val="right"/>
              <w:ind w:right="1360"/>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300" w:type="dxa"/>
            <w:vAlign w:val="bottom"/>
          </w:tcPr>
          <w:p>
            <w:pPr>
              <w:jc w:val="right"/>
              <w:ind w:right="120"/>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217"/>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1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r>
      <w:tr>
        <w:trPr>
          <w:trHeight w:val="214"/>
        </w:trPr>
        <w:tc>
          <w:tcPr>
            <w:tcW w:w="7120" w:type="dxa"/>
            <w:vAlign w:val="bottom"/>
          </w:tcPr>
          <w:p>
            <w:pPr>
              <w:ind w:left="20"/>
              <w:spacing w:after="0"/>
              <w:rPr>
                <w:sz w:val="20"/>
                <w:szCs w:val="20"/>
                <w:color w:val="auto"/>
              </w:rPr>
            </w:pPr>
            <w:r>
              <w:rPr>
                <w:rFonts w:ascii="Arial" w:cs="Arial" w:eastAsia="Arial" w:hAnsi="Arial"/>
                <w:sz w:val="16"/>
                <w:szCs w:val="16"/>
                <w:b w:val="1"/>
                <w:bCs w:val="1"/>
                <w:color w:val="auto"/>
              </w:rPr>
              <w:t>Supplemental schedule of non-cash activities:</w:t>
            </w:r>
          </w:p>
        </w:tc>
        <w:tc>
          <w:tcPr>
            <w:tcW w:w="1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4"/>
        </w:trPr>
        <w:tc>
          <w:tcPr>
            <w:tcW w:w="7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 in deposits on capital expenditures</w:t>
            </w:r>
          </w:p>
        </w:tc>
        <w:tc>
          <w:tcPr>
            <w:tcW w:w="1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08"/>
        </w:trPr>
        <w:tc>
          <w:tcPr>
            <w:tcW w:w="7120" w:type="dxa"/>
            <w:vAlign w:val="bottom"/>
          </w:tcPr>
          <w:p>
            <w:pPr>
              <w:ind w:left="140"/>
              <w:spacing w:after="0"/>
              <w:rPr>
                <w:sz w:val="20"/>
                <w:szCs w:val="20"/>
                <w:color w:val="auto"/>
              </w:rPr>
            </w:pPr>
            <w:r>
              <w:rPr>
                <w:rFonts w:ascii="Arial" w:cs="Arial" w:eastAsia="Arial" w:hAnsi="Arial"/>
                <w:sz w:val="16"/>
                <w:szCs w:val="16"/>
                <w:color w:val="auto"/>
              </w:rPr>
              <w:t>Accrued capital expenditures</w:t>
            </w:r>
          </w:p>
        </w:tc>
        <w:tc>
          <w:tcPr>
            <w:tcW w:w="1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1.2</w:t>
            </w: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6" w:name="page7"/>
    <w:bookmarkEnd w:id="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KLX Energy Services Holdings,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 In millions of U.S. dollars)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KLX Energy Services Holdings, Inc. (the “Company”, “KLXE” or “KLX Energy Services”) is a growth-oriented provider of diversified oilfield services to leading onshore oil and natural gas exploration and production (“E&amp;P”) companies operating in both conventional and unconventional plays in all of the active major basins throughout the United States. The Company delivers mission critical oilfield services focused on drilling, completion, production and intervention activities for the most technically demanding wells from over 50 service and support facilities located throughout the United States.</w:t>
      </w:r>
    </w:p>
    <w:p>
      <w:pPr>
        <w:spacing w:after="0" w:line="224"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The Company offers a complementary suite of proprietary products and specialized services that is supported by technically skilled personnel and a broad portfolio of innovative in-house manufacturing, repair and maintenance capabilities. KLXE’s primary services include coiled tubing, directional drilling, thru-tubing, hydraulic fracturing rentals, fishing, pressure control, wireline, rig-assisted snubbing, fluid pumping, flowback, testing, pressure pumping and well control services. KLXE’s primary rentals include hydraulic fracturing stacks, blow out preventers, tubulars, downhole tools, and accommodation units. KLXE's primary product offering includes a suite of proprietary dissolvable and composite plugs along with liner hangers, stage cementing tools, inflatables, and float/casing equipment.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28, 2020, KLX Energy Services, Krypton Intermediate, LLC, an indirect wholly owned subsidiary of KLXE, Krypton Merger Sub, Inc., an indirect wholly owned subsidiary of KLXE (“Merger Sub”), and Quintana Energy Services Inc. (“QES”) completed the previously announced acquisition of QES, by means of a merger of Merger Sub with and into QES, with QES surviving the merger as a subsidiary of KLXE (the “Merger”).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for interim financial information and pursuant to the rules and regulations of the Securities and Exchange Commission (the “SEC”). Accordingly, they do not include all of the information and footnotes required by GAAP for complete financial statements. All adjustments which, in the opinion of the Company’s management, are considered necessary for a fair presentation of the results of operations for the periods shown are of a normal recurring nature and have been reflected in the condensed consolidated financial statements. The results of operations for the periods presented are not necessarily indicative of the results expected for the full fiscal year 2021 or for any future period. The information included in these condensed consolidated financial statements should be read in conjunction with the consolidated financial statements and accompanying notes included in the Company’s 2020 Annual Report on Form 10-K filed with the SEC on April 28, 2021.</w:t>
      </w:r>
    </w:p>
    <w:p>
      <w:pPr>
        <w:spacing w:after="0" w:line="23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and related disclosures. Actual results could differ from those estimates.</w:t>
      </w:r>
    </w:p>
    <w:p>
      <w:pPr>
        <w:spacing w:after="0" w:line="2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accompanying unaudited condensed consolidated financial statements present the consolidated KLXE and QES financial position as of July 31, 2021 and January 31, 2021. Combined results for both legacy KLXE and legacy QES are included for the entire period in the condensed consolidated statements of operations and cash flows for the three and six months ended July 31, 2021. The condensed consolidated statements of operations and cash flows for the three and six months ended July 31, 2020 includes QES’s results for the final three days of the Company's second fiscal quarter, July 29, 2020 through July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25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depreciation and amortization expense in the first quarter of 2021. Depreciation and amortization expense is presented separately from cost of sales and selling, general, and administrative expenses. Prior period results have been reclassified to conform with current presentation.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Reporting</w:t>
      </w:r>
    </w:p>
    <w:p>
      <w:pPr>
        <w:spacing w:after="0" w:line="266"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During the third quarter of 2020, 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Starting in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for additional information. As a result of the change in presentation, the total corporate overhead costs allocated for the three and six months ended July 31, 2020 to the Company’s three reportable segments increased by $6.5 and decreased by $2.3, respectively.</w:t>
      </w:r>
    </w:p>
    <w:p>
      <w:pPr>
        <w:spacing w:after="0" w:line="22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also changed its presentation of service offering revenues. Historically, and through July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 For the three and six months ended July 31, 2020, the total drilling revenues reported within segment reporting was $3.7 and $10.6, respectively.</w:t>
      </w:r>
    </w:p>
    <w:p>
      <w:pPr>
        <w:spacing w:after="0" w:line="235"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These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March 2020, the Financial Accounting Standards Board (“FASB”) issued Accounting Standards Update (“ASU”) 2020-04, Reference Rate Reform (“Topic 848”): Facilitation of the Effects of Reference Rate Reform on Financial Reporting. This ASU provides optional guidance for a limited period of time to ease the potential burden in accounting for (or recognizing the effects of) reference rate reform on financial reporting and, particularly, the risk of cessation of the London Interbank Offered Rate (“LIBOR”). The amendments in this ASU are elective and apply to all entities, subject to meeting certain criteria, that have contracts, hedging relationships, and transactions that reference LIBOR or another reference rate expected to be discontinued because of reference rate reform. The expedients and exceptions provided by the amendments in this ASU are effective for all entities, if elected, through December 31, 2022. While the exact impact of this standard is not known, the guidance is not expected to have a material impact on the Company’s condensed consolidated financial statements.</w:t>
      </w:r>
    </w:p>
    <w:p>
      <w:pPr>
        <w:spacing w:after="0" w:line="20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December 2019, FASB issued ASU 2019-12, Income Taxes (“Topic 740”): Simplifying the Accounting for Income Taxes. This ASU is intended to simplify aspects of income tax approach for intraperiod tax allocations when there is a loss from continuing operations and income or a gain from other items, and to provide a general methodology for calculating income taxes in an interim period when a year-to-date loss exceeds the anticipated loss for the year. Topic 740 also provides guidance to simplify how an entity recognizes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franchise tax (or similar tax) that is partially based on income as an income-based tax and account for any incremental amount incurred as a non-income-based tax, and evaluations of when step ups in the tax basis of goodwill should be considered part of a business combination. Companies should also reflect the effect of an enacted change in tax laws or rates in the annual effective tax rate computation in the interim period that includes the enactment date. The guidance is effective for the Company for the fiscal year beginning February 1, 2022. While the exact impact of this standard is not known, the guidance is not expected to have a material impact on the Company’s condensed consolidated financial statements.</w:t>
      </w:r>
    </w:p>
    <w:p>
      <w:pPr>
        <w:spacing w:after="0" w:line="23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June 2016, FASB issued ASU 2016-13, Financial Instruments - Credit Losses (“Topic 326”): Measurement of Credit Losses on Financial Instruments. This ASU is intended to update the measurement of credit losses on financial instruments. This update improves financial reporting by requiring earlier recognition of credit losses on financing receivables and other financial assets in scope by using the Current Expected Credit Losses (“CECL”) model. This guidance is effective for interim and annual periods beginning after December 15, 2022, with early adoption permitted. The new accounting standard introduces the CECL methodology for estimating allowances for credit losses. The Company is an oilfield service company and as of July 31, 2021 had a third-party accounts receivable balance, net of allowance, of $79.1. Topic 326 is not expected to have a material impact on the Company’s condensed consolidated financial statements.</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February 2016, FASB issued ASU 2016-02, Leases (“Topic 842”), which supersedes ASC Topic 840, Leases. Topic 842 requires lessees to recognize a lease liability and a lease asset for all leases, including operating leases, with a term greater than 12 months on its balance sheet. The update also expands the required quantitative and qualitative disclosures surrounding leases. Topic 842 will be applied using a modified retrospective transition approach for leases existing at, or entered into after, the beginning of the earliest comparative period presented in the financial statements. In November 2019, FASB deferred the effective date for implementation of Topic 842 by one year and, in June 2020, FASB deferred the effective date by an additional year. The guidance under Topic 842 is effective for fiscal years beginning after December 15, 2021 and interim periods within fiscal years beginning after December 15, 2022. Earlier adoption is permitted. To assess the impact of this guidance, the Company has established a cross functional implementation project team and is currently in the process of accumulating and evaluating all the necessary information required to properly account for its lease portfolio under the new standard. The Company is in the process of developing its new accounting policies and determining the potential aggregate impact this guidance is likely to have on its condensed consolidated financial statements as of its adoption 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Combinations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QES Merger</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July 28, 2020, the Company completed the Merger with QES, a diversified provider of oilfield services to onshore oil and natural gas E&amp;P companies operating in the United States. The Merger purchase price was approximately $44.4 inclusive of cash paid to settle QES debt, comprised of 3.4 million shares of the Company’s common stock. Based on the Company’s preliminary purchase price allocation, the purchase price was less than the fair value of the identifiable assets acquired, which resulted in a $39.8 bargain purchase gain being recorded in fiscal 2020. In connection with the closing of the Merger, $9.7 in outstanding borrowings and associated fees and expenses of QES's five-year asset-based revolving credit agreement (the “QES ABL Facility”) were paid off. In addition, the Company assumed certain QES compensation agreements, including restricted stock units ("RSU"), with an estimated fair value of $2.0. Based on the service period related to the period prior to the acquisition date, $0.4 was allocated to the purchase price, and $1.6 relating to post-acquisition services will be recorded as operating expenses over the remaining requisite service periods. As of the Merger date, each unvested QES RSU was converted into a KLXE RSU award at a conversion rate of 0.0969 and valued on July 28, 2020.</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was accounted for as a purchase under FASB ASC 805, Business Combinations (“ASC 805”). The results of operations for the acquisition are included in the accompanying condensed consolidated statements of operations from the respective date of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fair values of assets acquired and liabilities assumed in the Merger in accordance with ASC 805:</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QES</w:t>
            </w:r>
          </w:p>
        </w:tc>
      </w:tr>
      <w:tr>
        <w:trPr>
          <w:trHeight w:val="210"/>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38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1"/>
        </w:trPr>
        <w:tc>
          <w:tcPr>
            <w:tcW w:w="9640" w:type="dxa"/>
            <w:vAlign w:val="bottom"/>
          </w:tcPr>
          <w:p>
            <w:pPr>
              <w:ind w:left="20"/>
              <w:spacing w:after="0"/>
              <w:rPr>
                <w:sz w:val="20"/>
                <w:szCs w:val="20"/>
                <w:color w:val="auto"/>
              </w:rPr>
            </w:pPr>
            <w:r>
              <w:rPr>
                <w:rFonts w:ascii="Arial" w:cs="Arial" w:eastAsia="Arial" w:hAnsi="Arial"/>
                <w:sz w:val="16"/>
                <w:szCs w:val="16"/>
                <w:color w:val="auto"/>
              </w:rPr>
              <w:t>Accounts receivable-trade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11"/>
        </w:trPr>
        <w:tc>
          <w:tcPr>
            <w:tcW w:w="9640" w:type="dxa"/>
            <w:vAlign w:val="bottom"/>
          </w:tcPr>
          <w:p>
            <w:pPr>
              <w:ind w:left="2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w:t>
            </w:r>
          </w:p>
        </w:tc>
      </w:tr>
      <w:tr>
        <w:trPr>
          <w:trHeight w:val="211"/>
        </w:trPr>
        <w:tc>
          <w:tcPr>
            <w:tcW w:w="964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(27.1)</w:t>
            </w:r>
          </w:p>
        </w:tc>
      </w:tr>
      <w:tr>
        <w:trPr>
          <w:trHeight w:val="217"/>
        </w:trPr>
        <w:tc>
          <w:tcPr>
            <w:tcW w:w="9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and non-current liabilities</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r>
      <w:tr>
        <w:trPr>
          <w:trHeight w:val="211"/>
        </w:trPr>
        <w:tc>
          <w:tcPr>
            <w:tcW w:w="9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Bargain purchase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r>
      <w:tr>
        <w:trPr>
          <w:trHeight w:val="235"/>
        </w:trPr>
        <w:tc>
          <w:tcPr>
            <w:tcW w:w="9640" w:type="dxa"/>
            <w:vAlign w:val="bottom"/>
            <w:tcBorders>
              <w:bottom w:val="single" w:sz="8" w:color="CCEEFF"/>
            </w:tcBorders>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Total purchase price </w:t>
            </w:r>
            <w:r>
              <w:rPr>
                <w:rFonts w:ascii="Arial" w:cs="Arial" w:eastAsia="Arial" w:hAnsi="Arial"/>
                <w:sz w:val="20"/>
                <w:szCs w:val="20"/>
                <w:color w:val="auto"/>
                <w:vertAlign w:val="superscript"/>
              </w:rPr>
              <w:t>(1)</w:t>
            </w:r>
          </w:p>
        </w:tc>
        <w:tc>
          <w:tcPr>
            <w:tcW w:w="38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20" w:firstLine="7"/>
        <w:spacing w:after="0" w:line="255" w:lineRule="auto"/>
        <w:tabs>
          <w:tab w:leader="none" w:pos="28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total consideration of the Merger was approximately $44.4, which was comprised of 3.4 million shares of the Company's common stock and cash paid to settle QES debt.</w:t>
      </w:r>
    </w:p>
    <w:p>
      <w:pPr>
        <w:spacing w:after="0" w:line="2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has substantially integrated portions of the QES business and, as a result, it is not practicable to report stand-alone revenues and operating (loss) earnings of the QES business since the Merger date.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Supplemental Pro Forma Information</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unaudited supplemental pro forma financial information has been provided for illustrative purposes only and does not purport to be indicative of the actual results that would have been achieved by combining the companies for the periods presented, or of the results that may be achieved by the combined companies in the future. Further, results may vary significantly from the results reflected in the following unaudited supplemental pro forma financial information because of future events and transactions, as well as other factors. The unaudited supplemental pro forma financial information does not include adjustments to reflect the impact of other cost savings or synergies that may result from the Merger.</w:t>
      </w:r>
    </w:p>
    <w:p>
      <w:pPr>
        <w:spacing w:after="0" w:line="2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 pro forma basis to give effect to the Merger, as if it occurred on February 1, 2020, revenues, net loss and loss per diluted share for the three and six months ended July 31, 2020 would have been as follows:</w:t>
      </w:r>
    </w:p>
    <w:p>
      <w:pPr>
        <w:spacing w:after="0" w:line="25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gridSpan w:val="3"/>
          </w:tcPr>
          <w:p>
            <w:pPr>
              <w:jc w:val="right"/>
              <w:ind w:right="1460"/>
              <w:spacing w:after="0"/>
              <w:rPr>
                <w:sz w:val="20"/>
                <w:szCs w:val="20"/>
                <w:color w:val="auto"/>
              </w:rPr>
            </w:pPr>
            <w:r>
              <w:rPr>
                <w:rFonts w:ascii="Arial" w:cs="Arial" w:eastAsia="Arial" w:hAnsi="Arial"/>
                <w:sz w:val="16"/>
                <w:szCs w:val="16"/>
                <w:b w:val="1"/>
                <w:bCs w:val="1"/>
                <w:color w:val="auto"/>
              </w:rPr>
              <w:t>Unaudited Pro Forma</w:t>
            </w:r>
          </w:p>
        </w:tc>
      </w:tr>
      <w:tr>
        <w:trPr>
          <w:trHeight w:val="210"/>
        </w:trPr>
        <w:tc>
          <w:tcPr>
            <w:tcW w:w="6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Six Months Ended</w:t>
            </w:r>
          </w:p>
        </w:tc>
      </w:tr>
      <w:tr>
        <w:trPr>
          <w:trHeight w:val="207"/>
        </w:trPr>
        <w:tc>
          <w:tcPr>
            <w:tcW w:w="60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July 31, 2020</w:t>
            </w:r>
          </w:p>
        </w:tc>
        <w:tc>
          <w:tcPr>
            <w:tcW w:w="36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tcPr>
          <w:p>
            <w:pPr>
              <w:jc w:val="right"/>
              <w:ind w:right="660"/>
              <w:spacing w:after="0"/>
              <w:rPr>
                <w:sz w:val="20"/>
                <w:szCs w:val="20"/>
                <w:color w:val="auto"/>
              </w:rPr>
            </w:pPr>
            <w:r>
              <w:rPr>
                <w:rFonts w:ascii="Arial" w:cs="Arial" w:eastAsia="Arial" w:hAnsi="Arial"/>
                <w:sz w:val="16"/>
                <w:szCs w:val="16"/>
                <w:b w:val="1"/>
                <w:bCs w:val="1"/>
                <w:color w:val="auto"/>
              </w:rPr>
              <w:t>July 31, 2020</w:t>
            </w:r>
          </w:p>
        </w:tc>
      </w:tr>
      <w:tr>
        <w:trPr>
          <w:trHeight w:val="208"/>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212.7</w:t>
            </w:r>
          </w:p>
        </w:tc>
      </w:tr>
      <w:tr>
        <w:trPr>
          <w:trHeight w:val="211"/>
        </w:trPr>
        <w:tc>
          <w:tcPr>
            <w:tcW w:w="6040" w:type="dxa"/>
            <w:vAlign w:val="bottom"/>
          </w:tcPr>
          <w:p>
            <w:pPr>
              <w:ind w:left="20"/>
              <w:spacing w:after="0"/>
              <w:rPr>
                <w:sz w:val="20"/>
                <w:szCs w:val="20"/>
                <w:color w:val="auto"/>
              </w:rPr>
            </w:pPr>
            <w:r>
              <w:rPr>
                <w:rFonts w:ascii="Arial" w:cs="Arial" w:eastAsia="Arial" w:hAnsi="Arial"/>
                <w:sz w:val="16"/>
                <w:szCs w:val="16"/>
                <w:color w:val="auto"/>
              </w:rPr>
              <w:t>Net loss</w:t>
            </w:r>
          </w:p>
        </w:tc>
        <w:tc>
          <w:tcPr>
            <w:tcW w:w="2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54.8</w:t>
            </w:r>
          </w:p>
        </w:tc>
        <w:tc>
          <w:tcPr>
            <w:tcW w:w="360" w:type="dxa"/>
            <w:vAlign w:val="bottom"/>
          </w:tcPr>
          <w:p>
            <w:pPr>
              <w:spacing w:after="0"/>
              <w:rPr>
                <w:sz w:val="18"/>
                <w:szCs w:val="18"/>
                <w:color w:val="auto"/>
              </w:rPr>
            </w:pPr>
          </w:p>
        </w:tc>
        <w:tc>
          <w:tcPr>
            <w:tcW w:w="2140" w:type="dxa"/>
            <w:vAlign w:val="bottom"/>
          </w:tcPr>
          <w:p>
            <w:pPr>
              <w:jc w:val="right"/>
              <w:spacing w:after="0"/>
              <w:rPr>
                <w:sz w:val="20"/>
                <w:szCs w:val="20"/>
                <w:color w:val="auto"/>
              </w:rPr>
            </w:pPr>
            <w:r>
              <w:rPr>
                <w:rFonts w:ascii="Arial" w:cs="Arial" w:eastAsia="Arial" w:hAnsi="Arial"/>
                <w:sz w:val="16"/>
                <w:szCs w:val="16"/>
                <w:color w:val="auto"/>
              </w:rPr>
              <w:t>317.8</w:t>
            </w:r>
          </w:p>
        </w:tc>
      </w:tr>
      <w:tr>
        <w:trPr>
          <w:trHeight w:val="217"/>
        </w:trPr>
        <w:tc>
          <w:tcPr>
            <w:tcW w:w="6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diluted share</w:t>
            </w:r>
          </w:p>
        </w:tc>
        <w:tc>
          <w:tcPr>
            <w:tcW w:w="22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360" w:type="dxa"/>
            <w:vAlign w:val="bottom"/>
            <w:shd w:val="clear" w:color="auto" w:fill="CCEEFF"/>
          </w:tcPr>
          <w:p>
            <w:pPr>
              <w:spacing w:after="0"/>
              <w:rPr>
                <w:sz w:val="18"/>
                <w:szCs w:val="18"/>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38.76</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Merger and Integration Costs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Merger and integration costs were recorded separately from the acquisition of assets and assumptions of liabilities in the Merger. Merger costs consist of legal and professional fees and accelerated stock compensation expense. Integration costs consist of expenses to relocate corporate headquarters, integrate the QES business, reduce headcount, and consolidate service and support facilities.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Merger and integration costs totaled $0.5 for the three months ended July 31, 2021 compared to $26.5 for the three months ended July 31, 2020. $0.1 and $0.3 was recorded to cost of sales in the interim condensed consolidated statements of operations for the three months ended July 31, 2021 and 2020, respectively. $0.4 and $26.2 was recorded to selling, general and administrative expenses in the interim condensed consolidated statements of operations for the three months ended July 31, 2021 and 2020, respectively.</w:t>
      </w:r>
    </w:p>
    <w:p>
      <w:pPr>
        <w:spacing w:after="0" w:line="23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Merger and integration costs totaled $2.3 for the six months ended July 31, 2021 compared to $26.5 for the six months ended July 31, 2020. $1.2 and $0.3 was recorded to cost of sales in the interim condensed</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0" w:name="page11"/>
    <w:bookmarkEnd w:id="1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consolidated statements of operations for the six months ended July 31, 2021 and 2020, respectively. $0.5 and $26.2 was recorded to selling, general and administrative expenses in the interim condensed consolidated statements of operations for the six months ended July 31, 2021 and 2020, respectively. Lease termination costs of $0.6 and nil was recorded to impairment and other charges in the interim condensed consolidated statements of operations for the six months ended July 31, 2021 and 2020, respectively.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of July 31, 2021 and January 31, 2021, accrued lease termination costs were: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640" w:type="dxa"/>
            <w:vAlign w:val="bottom"/>
          </w:tcPr>
          <w:p>
            <w:pPr>
              <w:ind w:left="20"/>
              <w:spacing w:after="0"/>
              <w:rPr>
                <w:sz w:val="20"/>
                <w:szCs w:val="20"/>
                <w:color w:val="auto"/>
              </w:rPr>
            </w:pPr>
            <w:r>
              <w:rPr>
                <w:rFonts w:ascii="Arial" w:cs="Arial" w:eastAsia="Arial" w:hAnsi="Arial"/>
                <w:sz w:val="16"/>
                <w:szCs w:val="16"/>
                <w:color w:val="auto"/>
              </w:rPr>
              <w:t>Beginning balance as of January 31, 2021</w:t>
            </w:r>
          </w:p>
        </w:tc>
        <w:tc>
          <w:tcPr>
            <w:tcW w:w="1180" w:type="dxa"/>
            <w:vAlign w:val="bottom"/>
          </w:tcPr>
          <w:p>
            <w:pPr>
              <w:jc w:val="right"/>
              <w:ind w:right="980"/>
              <w:spacing w:after="0"/>
              <w:rPr>
                <w:sz w:val="20"/>
                <w:szCs w:val="20"/>
                <w:color w:val="auto"/>
              </w:rPr>
            </w:pPr>
            <w:r>
              <w:rPr>
                <w:rFonts w:ascii="Arial" w:cs="Arial" w:eastAsia="Arial" w:hAnsi="Arial"/>
                <w:sz w:val="16"/>
                <w:szCs w:val="16"/>
                <w:color w:val="auto"/>
              </w:rPr>
              <w:t>$</w:t>
            </w:r>
          </w:p>
        </w:tc>
        <w:tc>
          <w:tcPr>
            <w:tcW w:w="1420" w:type="dxa"/>
            <w:vAlign w:val="bottom"/>
          </w:tcPr>
          <w:p>
            <w:pPr>
              <w:jc w:val="center"/>
              <w:ind w:left="960"/>
              <w:spacing w:after="0"/>
              <w:rPr>
                <w:sz w:val="20"/>
                <w:szCs w:val="20"/>
                <w:color w:val="auto"/>
              </w:rPr>
            </w:pPr>
            <w:r>
              <w:rPr>
                <w:rFonts w:ascii="Arial" w:cs="Arial" w:eastAsia="Arial" w:hAnsi="Arial"/>
                <w:sz w:val="16"/>
                <w:szCs w:val="16"/>
                <w:color w:val="auto"/>
                <w:w w:val="98"/>
              </w:rPr>
              <w:t>3.4</w:t>
            </w:r>
          </w:p>
        </w:tc>
      </w:tr>
      <w:tr>
        <w:trPr>
          <w:trHeight w:val="21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Charged (credited) to costs and expenses</w:t>
            </w:r>
          </w:p>
        </w:tc>
        <w:tc>
          <w:tcPr>
            <w:tcW w:w="1180" w:type="dxa"/>
            <w:vAlign w:val="bottom"/>
            <w:shd w:val="clear" w:color="auto" w:fill="CCEEFF"/>
          </w:tcPr>
          <w:p>
            <w:pPr>
              <w:spacing w:after="0"/>
              <w:rPr>
                <w:sz w:val="18"/>
                <w:szCs w:val="18"/>
                <w:color w:val="auto"/>
              </w:rPr>
            </w:pPr>
          </w:p>
        </w:tc>
        <w:tc>
          <w:tcPr>
            <w:tcW w:w="1420" w:type="dxa"/>
            <w:vAlign w:val="bottom"/>
            <w:shd w:val="clear" w:color="auto" w:fill="CCEEFF"/>
          </w:tcPr>
          <w:p>
            <w:pPr>
              <w:jc w:val="center"/>
              <w:ind w:left="960"/>
              <w:spacing w:after="0"/>
              <w:rPr>
                <w:sz w:val="20"/>
                <w:szCs w:val="20"/>
                <w:color w:val="auto"/>
              </w:rPr>
            </w:pPr>
            <w:r>
              <w:rPr>
                <w:rFonts w:ascii="Arial" w:cs="Arial" w:eastAsia="Arial" w:hAnsi="Arial"/>
                <w:sz w:val="16"/>
                <w:szCs w:val="16"/>
                <w:color w:val="auto"/>
                <w:w w:val="98"/>
              </w:rPr>
              <w:t>0.6</w:t>
            </w:r>
          </w:p>
        </w:tc>
      </w:tr>
      <w:tr>
        <w:trPr>
          <w:trHeight w:val="211"/>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Deductions</w:t>
            </w: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960"/>
              <w:spacing w:after="0"/>
              <w:rPr>
                <w:sz w:val="20"/>
                <w:szCs w:val="20"/>
                <w:color w:val="auto"/>
              </w:rPr>
            </w:pPr>
            <w:r>
              <w:rPr>
                <w:rFonts w:ascii="Arial" w:cs="Arial" w:eastAsia="Arial" w:hAnsi="Arial"/>
                <w:sz w:val="16"/>
                <w:szCs w:val="16"/>
                <w:color w:val="auto"/>
              </w:rPr>
              <w:t>(0.9)</w:t>
            </w:r>
          </w:p>
        </w:tc>
      </w:tr>
      <w:tr>
        <w:trPr>
          <w:trHeight w:val="207"/>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11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center"/>
              <w:ind w:left="960"/>
              <w:spacing w:after="0"/>
              <w:rPr>
                <w:sz w:val="20"/>
                <w:szCs w:val="20"/>
                <w:color w:val="auto"/>
              </w:rPr>
            </w:pPr>
            <w:r>
              <w:rPr>
                <w:rFonts w:ascii="Arial" w:cs="Arial" w:eastAsia="Arial" w:hAnsi="Arial"/>
                <w:sz w:val="16"/>
                <w:szCs w:val="16"/>
                <w:color w:val="auto"/>
                <w:w w:val="98"/>
              </w:rPr>
              <w:t>3.1</w:t>
            </w:r>
          </w:p>
        </w:tc>
      </w:tr>
      <w:tr>
        <w:trPr>
          <w:trHeight w:val="207"/>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Deductions</w:t>
            </w:r>
          </w:p>
        </w:tc>
        <w:tc>
          <w:tcPr>
            <w:tcW w:w="1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left="960"/>
              <w:spacing w:after="0"/>
              <w:rPr>
                <w:sz w:val="20"/>
                <w:szCs w:val="20"/>
                <w:color w:val="auto"/>
              </w:rPr>
            </w:pPr>
            <w:r>
              <w:rPr>
                <w:rFonts w:ascii="Arial" w:cs="Arial" w:eastAsia="Arial" w:hAnsi="Arial"/>
                <w:sz w:val="16"/>
                <w:szCs w:val="16"/>
                <w:color w:val="auto"/>
              </w:rPr>
              <w:t>(0.6)</w:t>
            </w:r>
          </w:p>
        </w:tc>
      </w:tr>
      <w:tr>
        <w:trPr>
          <w:trHeight w:val="23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July 31, 2021</w:t>
            </w:r>
          </w:p>
        </w:tc>
        <w:tc>
          <w:tcPr>
            <w:tcW w:w="1180" w:type="dxa"/>
            <w:vAlign w:val="bottom"/>
            <w:tcBorders>
              <w:bottom w:val="single" w:sz="8" w:color="auto"/>
            </w:tcBorders>
            <w:shd w:val="clear" w:color="auto" w:fill="CCEEFF"/>
          </w:tcPr>
          <w:p>
            <w:pPr>
              <w:jc w:val="right"/>
              <w:ind w:right="98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center"/>
              <w:ind w:left="960"/>
              <w:spacing w:after="0"/>
              <w:rPr>
                <w:sz w:val="20"/>
                <w:szCs w:val="20"/>
                <w:color w:val="auto"/>
              </w:rPr>
            </w:pPr>
            <w:r>
              <w:rPr>
                <w:rFonts w:ascii="Arial" w:cs="Arial" w:eastAsia="Arial" w:hAnsi="Arial"/>
                <w:sz w:val="16"/>
                <w:szCs w:val="16"/>
                <w:color w:val="auto"/>
                <w:w w:val="98"/>
              </w:rPr>
              <w:t>2.5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 presents Merger and integration costs that were recorded for the three and six months ended July 31, 2021 and 2020 in the interim condensed consolidated statements of operations: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2"/>
          </w:tcPr>
          <w:p>
            <w:pPr>
              <w:jc w:val="right"/>
              <w:ind w:right="62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2"/>
          </w:tcPr>
          <w:p>
            <w:pPr>
              <w:jc w:val="right"/>
              <w:ind w:right="74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July 31, 2021</w:t>
            </w:r>
          </w:p>
        </w:tc>
        <w:tc>
          <w:tcPr>
            <w:tcW w:w="13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July 31, 2020</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July 31, 2021</w:t>
            </w:r>
          </w:p>
        </w:tc>
        <w:tc>
          <w:tcPr>
            <w:tcW w:w="134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r>
      <w:tr>
        <w:trPr>
          <w:trHeight w:val="208"/>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Merger costs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11"/>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Integration costs</w:t>
            </w: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0.5</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rPr>
              <w:t>2.3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Merger and Integration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 Net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Spare parts</w:t>
            </w:r>
          </w:p>
        </w:tc>
        <w:tc>
          <w:tcPr>
            <w:tcW w:w="1540" w:type="dxa"/>
            <w:vAlign w:val="bottom"/>
            <w:shd w:val="clear" w:color="auto" w:fill="CCEEFF"/>
          </w:tcPr>
          <w:p>
            <w:pPr>
              <w:jc w:val="right"/>
              <w:ind w:right="136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Plugs</w:t>
            </w:r>
          </w:p>
        </w:tc>
        <w:tc>
          <w:tcPr>
            <w:tcW w:w="15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Consumables</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11"/>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Subtotal</w:t>
            </w:r>
          </w:p>
        </w:tc>
        <w:tc>
          <w:tcPr>
            <w:tcW w:w="1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1"/>
        </w:trPr>
        <w:tc>
          <w:tcPr>
            <w:tcW w:w="7140" w:type="dxa"/>
            <w:vAlign w:val="bottom"/>
            <w:tcBorders>
              <w:bottom w:val="single" w:sz="8" w:color="CCEEFF"/>
            </w:tcBorders>
          </w:tcPr>
          <w:p>
            <w:pPr>
              <w:ind w:left="160"/>
              <w:spacing w:after="0"/>
              <w:rPr>
                <w:sz w:val="20"/>
                <w:szCs w:val="20"/>
                <w:color w:val="auto"/>
              </w:rPr>
            </w:pPr>
            <w:r>
              <w:rPr>
                <w:rFonts w:ascii="Arial" w:cs="Arial" w:eastAsia="Arial" w:hAnsi="Arial"/>
                <w:sz w:val="16"/>
                <w:szCs w:val="16"/>
                <w:color w:val="auto"/>
              </w:rPr>
              <w:t>Inventory obsolescence reserve</w:t>
            </w:r>
          </w:p>
        </w:tc>
        <w:tc>
          <w:tcPr>
            <w:tcW w:w="15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1540" w:type="dxa"/>
            <w:vAlign w:val="bottom"/>
            <w:tcBorders>
              <w:bottom w:val="single" w:sz="8" w:color="auto"/>
            </w:tcBorders>
            <w:shd w:val="clear" w:color="auto" w:fill="CCEEFF"/>
          </w:tcPr>
          <w:p>
            <w:pPr>
              <w:jc w:val="right"/>
              <w:ind w:right="136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Inventories are made up of composite and dissolvable plugs, spare parts and consumables used to perform services for customers. The Company values inventories at the lower of cost or net realizable value. Inventories are reported net of obsolescence reserves of $2.5 and $2.4 as of July 31, 2021 and January 31,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Property and Equipment, Net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20" w:type="dxa"/>
            <w:vAlign w:val="bottom"/>
          </w:tcPr>
          <w:p>
            <w:pPr>
              <w:spacing w:after="0"/>
              <w:rPr>
                <w:sz w:val="18"/>
                <w:szCs w:val="18"/>
                <w:color w:val="auto"/>
              </w:rPr>
            </w:pPr>
          </w:p>
        </w:tc>
        <w:tc>
          <w:tcPr>
            <w:tcW w:w="208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9"/>
              </w:rPr>
              <w:t>Useful Life (Years)</w:t>
            </w:r>
          </w:p>
        </w:tc>
        <w:tc>
          <w:tcPr>
            <w:tcW w:w="280" w:type="dxa"/>
            <w:vAlign w:val="bottom"/>
          </w:tcPr>
          <w:p>
            <w:pPr>
              <w:spacing w:after="0"/>
              <w:rPr>
                <w:sz w:val="18"/>
                <w:szCs w:val="18"/>
                <w:color w:val="auto"/>
              </w:rPr>
            </w:pPr>
          </w:p>
        </w:tc>
        <w:tc>
          <w:tcPr>
            <w:tcW w:w="1740" w:type="dxa"/>
            <w:vAlign w:val="bottom"/>
            <w:gridSpan w:val="2"/>
          </w:tcPr>
          <w:p>
            <w:pPr>
              <w:ind w:left="18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Pr>
          <w:p>
            <w:pPr>
              <w:spacing w:after="0"/>
              <w:rPr>
                <w:sz w:val="18"/>
                <w:szCs w:val="18"/>
                <w:color w:val="auto"/>
              </w:rPr>
            </w:pPr>
          </w:p>
        </w:tc>
        <w:tc>
          <w:tcPr>
            <w:tcW w:w="1700" w:type="dxa"/>
            <w:vAlign w:val="bottom"/>
          </w:tcPr>
          <w:p>
            <w:pPr>
              <w:jc w:val="right"/>
              <w:ind w:right="24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Land, buildings and improvements</w:t>
            </w:r>
          </w:p>
        </w:tc>
        <w:tc>
          <w:tcPr>
            <w:tcW w:w="6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Borders>
              <w:top w:val="single" w:sz="8" w:color="auto"/>
            </w:tcBorders>
            <w:shd w:val="clear" w:color="auto" w:fill="CCEEFF"/>
          </w:tcPr>
          <w:p>
            <w:pPr>
              <w:jc w:val="right"/>
              <w:ind w:right="240"/>
              <w:spacing w:after="0"/>
              <w:rPr>
                <w:sz w:val="20"/>
                <w:szCs w:val="20"/>
                <w:color w:val="auto"/>
              </w:rPr>
            </w:pPr>
            <w:r>
              <w:rPr>
                <w:rFonts w:ascii="Arial" w:cs="Arial" w:eastAsia="Arial" w:hAnsi="Arial"/>
                <w:sz w:val="16"/>
                <w:szCs w:val="16"/>
                <w:color w:val="auto"/>
              </w:rPr>
              <w:t>40</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w:t>
            </w:r>
          </w:p>
        </w:tc>
      </w:tr>
      <w:tr>
        <w:trPr>
          <w:trHeight w:val="211"/>
        </w:trPr>
        <w:tc>
          <w:tcPr>
            <w:tcW w:w="5220" w:type="dxa"/>
            <w:vAlign w:val="bottom"/>
          </w:tcPr>
          <w:p>
            <w:pPr>
              <w:ind w:left="20"/>
              <w:spacing w:after="0"/>
              <w:rPr>
                <w:sz w:val="20"/>
                <w:szCs w:val="20"/>
                <w:color w:val="auto"/>
              </w:rPr>
            </w:pPr>
            <w:r>
              <w:rPr>
                <w:rFonts w:ascii="Arial" w:cs="Arial" w:eastAsia="Arial" w:hAnsi="Arial"/>
                <w:sz w:val="16"/>
                <w:szCs w:val="16"/>
                <w:color w:val="auto"/>
              </w:rPr>
              <w:t>Machinery</w:t>
            </w:r>
          </w:p>
        </w:tc>
        <w:tc>
          <w:tcPr>
            <w:tcW w:w="680" w:type="dxa"/>
            <w:vAlign w:val="bottom"/>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tcPr>
          <w:p>
            <w:pPr>
              <w:jc w:val="right"/>
              <w:ind w:right="240"/>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221.8</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equipment</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700" w:type="dxa"/>
            <w:vAlign w:val="bottom"/>
            <w:shd w:val="clear" w:color="auto" w:fill="CCEEFF"/>
          </w:tcPr>
          <w:p>
            <w:pPr>
              <w:jc w:val="right"/>
              <w:ind w:right="240"/>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183.2</w:t>
            </w:r>
          </w:p>
        </w:tc>
      </w:tr>
      <w:tr>
        <w:trPr>
          <w:trHeight w:val="207"/>
        </w:trPr>
        <w:tc>
          <w:tcPr>
            <w:tcW w:w="5220" w:type="dxa"/>
            <w:vAlign w:val="bottom"/>
          </w:tcPr>
          <w:p>
            <w:pPr>
              <w:ind w:left="160"/>
              <w:spacing w:after="0"/>
              <w:rPr>
                <w:sz w:val="20"/>
                <w:szCs w:val="20"/>
                <w:color w:val="auto"/>
              </w:rPr>
            </w:pPr>
            <w:r>
              <w:rPr>
                <w:rFonts w:ascii="Arial" w:cs="Arial" w:eastAsia="Arial" w:hAnsi="Arial"/>
                <w:sz w:val="16"/>
                <w:szCs w:val="16"/>
                <w:color w:val="auto"/>
              </w:rPr>
              <w:t>Total property and equipment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441.2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448.7</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245.0</w:t>
            </w:r>
          </w:p>
        </w:tc>
      </w:tr>
      <w:tr>
        <w:trPr>
          <w:trHeight w:val="210"/>
        </w:trPr>
        <w:tc>
          <w:tcPr>
            <w:tcW w:w="5220" w:type="dxa"/>
            <w:vAlign w:val="bottom"/>
          </w:tcPr>
          <w:p>
            <w:pPr>
              <w:ind w:left="160"/>
              <w:spacing w:after="0"/>
              <w:rPr>
                <w:sz w:val="20"/>
                <w:szCs w:val="20"/>
                <w:color w:val="auto"/>
              </w:rPr>
            </w:pPr>
            <w:r>
              <w:rPr>
                <w:rFonts w:ascii="Arial" w:cs="Arial" w:eastAsia="Arial" w:hAnsi="Arial"/>
                <w:sz w:val="16"/>
                <w:szCs w:val="16"/>
                <w:color w:val="auto"/>
              </w:rPr>
              <w:t>Property and equipment, net</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175.9</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203.7</w:t>
            </w:r>
          </w:p>
        </w:tc>
      </w:tr>
      <w:tr>
        <w:trPr>
          <w:trHeight w:val="20"/>
        </w:trPr>
        <w:tc>
          <w:tcPr>
            <w:tcW w:w="5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Depreciation expense was $14.4 and $10.1 for the three months ended July 31, 2021 and 2020, respectively, and $29.7 and $25.3 for the six months ended July 31, 2021 and 2020,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Held for Sale</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July 31, 2021, the Company’s condensed consolidated balance sheet includes assets classified as held for sale of $3.4. The assets held for sale are reported within other current assets on the condensed consolidated balance sheet and represent the value of three operational facilities, corporate aircraft and select equipment. In light of the current market environment and as part of the ongoing integration of the QES business, the Company has consolidated operations within certain geographies rendering these locations unnecessary to support the efficient operations of the Company. These assets are being actively marketed for sale as of July 31, 2021 and are recorded at the lower of their carrying value or fair value less costs to sell. Subsequent to July 31, 2021, the Company has completed the sale of one operational facility with a carrying value of $0.7 for total sales proceeds of $0.7.</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Amortization expense associated with intangible assets was $0.1 and $2.8 for the three months ended July 31, 2021 and 2020, respectively, and $0.2 and $3.8 for the six months ended July 31, 2021 and 2020, respectively. During the three months ended July 31, 2020, accelerated amortization of $2.7 was recognized related to the Company's customer contracts and relationships long-lived intangible. The remaining intangible balance will be amortized straight-line over 7.7 years.</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Goodwill and indefinite life intangible assets are tested for impairment annually or on an interim basis if events or circumstances indicate that the fair value of the asset has decreased below its carrying value. The oilfield service industry experienced an abrupt deterioration in demand during the second half of 2019, which continued into 2020. During the first quarter of 2020, the novel coronavirus (“COVID-19”) pandemic emerged and applied significant downward pressure on the global economy and oil demand and prices, leading North American operators to announce significant cuts to planned 2020 capital expenditures. The combination of the COVID-19 pandemic and supply concerns drove a steep drop in oil prices, leading to decreases in demand for the Company’s services and lower current and expected revenues for the Company.</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Based on the impairment indicators above, the Company performed a goodwill and long-lived asset impairment analysis during the three months ended April 30, 2020. The results of the impairment analysis concluded that the carrying amount of the long-lived assets exceeded the relative fair values of two of the reporting units' asset groups. As a result, the Company recorded a $180.4 long-lived asset impairment charge, $39.2 related to intangible assets and $141.2 related to property and equipment, which is included in the condensed consolidated statements of operations for the six months ended July 31, 2020. This charge reflects $91.3 and $89.1 of the long-lived assets attributable to the Southwest and Northeast/Mid-Con segments,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Determining fair value requires the use of estimates and assumptions. Such estimates and assumptions include revenue growth rates, operating profit margins, weighted average cost of capital, terminal growth rates, future market share and future market conditions, among others. The Company’s cash flow projections were a significant input into the April 30, 2020 fair values. See Note 10 for additional information regarding the fair value determination. If the Company continues to be unable to achieve projected results or long-term projections are adjusted downward, it could negatively impact future valuations of the Company’s long-lived assets.</w:t>
      </w:r>
    </w:p>
    <w:p>
      <w:pPr>
        <w:spacing w:after="0" w:line="23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valuation of the Company and its reportable segments’ goodwill impairment test was estimated using the guideline public company analysis and the discounted cash flow analysis, which were equally weighted in the fair value analysis. See Note 10 for additional information regarding the fair value determination. The results of the goodwill impairment test as of April 30, 2020 indicated that goodwill was impaired because the carrying value of the Rocky Mountains reporting unit exceeded its relative fair value. Accordingly, the Company recorded a $28.3 goodwill impairment charge, which is included in the condensed consolidated statements of operations for the six months ended July 31, 2020. This charge reflects the full value of the goodwill attributable to the Rocky Mountains segment, leaving the Company with no goodwill.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 impairment indicators were identified for the quarter ended July 31,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Liabilities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salaries, vacation and related benefits</w:t>
            </w:r>
          </w:p>
        </w:tc>
        <w:tc>
          <w:tcPr>
            <w:tcW w:w="1560" w:type="dxa"/>
            <w:vAlign w:val="bottom"/>
            <w:shd w:val="clear" w:color="auto" w:fill="CCEEFF"/>
          </w:tcPr>
          <w:p>
            <w:pPr>
              <w:jc w:val="right"/>
              <w:ind w:right="1380"/>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Accrued property taxes</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7"/>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incentive compensation</w:t>
            </w:r>
          </w:p>
        </w:tc>
        <w:tc>
          <w:tcPr>
            <w:tcW w:w="1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Accrued lease termination costs</w:t>
            </w:r>
          </w:p>
        </w:tc>
        <w:tc>
          <w:tcPr>
            <w:tcW w:w="1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3.4</w:t>
            </w: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liabilities</w:t>
            </w:r>
          </w:p>
        </w:tc>
        <w:tc>
          <w:tcPr>
            <w:tcW w:w="15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0"/>
        </w:trPr>
        <w:tc>
          <w:tcPr>
            <w:tcW w:w="7120" w:type="dxa"/>
            <w:vAlign w:val="bottom"/>
          </w:tcPr>
          <w:p>
            <w:pPr>
              <w:ind w:left="240"/>
              <w:spacing w:after="0"/>
              <w:rPr>
                <w:sz w:val="20"/>
                <w:szCs w:val="20"/>
                <w:color w:val="auto"/>
              </w:rPr>
            </w:pPr>
            <w:r>
              <w:rPr>
                <w:rFonts w:ascii="Arial" w:cs="Arial" w:eastAsia="Arial" w:hAnsi="Arial"/>
                <w:sz w:val="16"/>
                <w:szCs w:val="16"/>
                <w:color w:val="auto"/>
              </w:rPr>
              <w:t>Total accrued liabilities</w:t>
            </w:r>
          </w:p>
        </w:tc>
        <w:tc>
          <w:tcPr>
            <w:tcW w:w="1560" w:type="dxa"/>
            <w:vAlign w:val="bottom"/>
            <w:tcBorders>
              <w:bottom w:val="single" w:sz="8" w:color="auto"/>
            </w:tcBorders>
          </w:tcPr>
          <w:p>
            <w:pPr>
              <w:jc w:val="right"/>
              <w:ind w:right="138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w:t>
            </w:r>
          </w:p>
        </w:tc>
      </w:tr>
      <w:tr>
        <w:trPr>
          <w:trHeight w:val="20"/>
        </w:trPr>
        <w:tc>
          <w:tcPr>
            <w:tcW w:w="7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Long-Term Debt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 and capital lease obligations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w:t>
            </w: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250.0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ABL Facility</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lease obligations</w:t>
            </w: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05"/>
        </w:trPr>
        <w:tc>
          <w:tcPr>
            <w:tcW w:w="7140" w:type="dxa"/>
            <w:vAlign w:val="bottom"/>
          </w:tcPr>
          <w:p>
            <w:pPr>
              <w:ind w:left="20"/>
              <w:spacing w:after="0"/>
              <w:rPr>
                <w:sz w:val="20"/>
                <w:szCs w:val="20"/>
                <w:color w:val="auto"/>
              </w:rPr>
            </w:pPr>
            <w:r>
              <w:rPr>
                <w:rFonts w:ascii="Arial" w:cs="Arial" w:eastAsia="Arial" w:hAnsi="Arial"/>
                <w:sz w:val="16"/>
                <w:szCs w:val="16"/>
                <w:color w:val="auto"/>
              </w:rPr>
              <w:t>Total principal outstanding</w:t>
            </w:r>
          </w:p>
        </w:tc>
        <w:tc>
          <w:tcPr>
            <w:tcW w:w="15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285.3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256.3</w:t>
            </w: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debt issuance costs</w:t>
            </w: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r>
      <w:tr>
        <w:trPr>
          <w:trHeight w:val="205"/>
        </w:trPr>
        <w:tc>
          <w:tcPr>
            <w:tcW w:w="7140" w:type="dxa"/>
            <w:vAlign w:val="bottom"/>
          </w:tcPr>
          <w:p>
            <w:pPr>
              <w:ind w:left="240"/>
              <w:spacing w:after="0"/>
              <w:rPr>
                <w:sz w:val="20"/>
                <w:szCs w:val="20"/>
                <w:color w:val="auto"/>
              </w:rPr>
            </w:pPr>
            <w:r>
              <w:rPr>
                <w:rFonts w:ascii="Arial" w:cs="Arial" w:eastAsia="Arial" w:hAnsi="Arial"/>
                <w:sz w:val="16"/>
                <w:szCs w:val="16"/>
                <w:color w:val="auto"/>
              </w:rPr>
              <w:t>Total debt, net</w:t>
            </w:r>
          </w:p>
        </w:tc>
        <w:tc>
          <w:tcPr>
            <w:tcW w:w="15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279.7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250.2</w:t>
            </w:r>
          </w:p>
        </w:tc>
      </w:tr>
      <w:tr>
        <w:trPr>
          <w:trHeight w:val="214"/>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capital lease obligations</w:t>
            </w: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0"/>
        </w:trPr>
        <w:tc>
          <w:tcPr>
            <w:tcW w:w="7140" w:type="dxa"/>
            <w:vAlign w:val="bottom"/>
          </w:tcPr>
          <w:p>
            <w:pPr>
              <w:ind w:left="240"/>
              <w:spacing w:after="0"/>
              <w:rPr>
                <w:sz w:val="20"/>
                <w:szCs w:val="20"/>
                <w:color w:val="auto"/>
              </w:rPr>
            </w:pPr>
            <w:r>
              <w:rPr>
                <w:rFonts w:ascii="Arial" w:cs="Arial" w:eastAsia="Arial" w:hAnsi="Arial"/>
                <w:sz w:val="16"/>
                <w:szCs w:val="16"/>
                <w:color w:val="auto"/>
              </w:rPr>
              <w:t>Long-term portion of debt and capital lease obligations</w:t>
            </w:r>
          </w:p>
        </w:tc>
        <w:tc>
          <w:tcPr>
            <w:tcW w:w="1520" w:type="dxa"/>
            <w:vAlign w:val="bottom"/>
            <w:tcBorders>
              <w:bottom w:val="single" w:sz="8" w:color="auto"/>
            </w:tcBorders>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277.8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248.3</w:t>
            </w:r>
          </w:p>
        </w:tc>
      </w:tr>
      <w:tr>
        <w:trPr>
          <w:trHeight w:val="20"/>
        </w:trPr>
        <w:tc>
          <w:tcPr>
            <w:tcW w:w="7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As of July 31, 2021, long-term debt consisted of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related to the Notes as of July 31, 2021 was $244.4. The Notes bear interest at an annual rate of 11.5%, payable semi-annually in arrears on May 1 and November 1. Accrued interest as of July 31, 2021 was $7.2.</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of July 31, 2021, the Company also had a $100.0 asset-based revolving credit facility pursuant to a senior secured credit agreement dated August 10, 2018 (the “ABL Facility”). The ABL Facility became effective on September 14, 2018 and matures in September 2023. On October 22, 2018, the ABL Facility was amended primarily to permit the Company to issue the Notes and acquire Motley Services, LLC (“Motley”) and the definition of the required ratio (as defined in the ABL Facility) was also amended as a result of the Notes issuance.</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ABL Facility is tied to a borrowing base formula and has no maintenance financial covenants as long as the minimum level of borrowing availability is maintained. The ABL Facility is secured by, among other things, a first priority lien on the Company’s accounts receivable and inventory and contains customary conditions precedent to borrowing and affirmative and negative covenants.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fixed charge coverage ratio (“FCCR”) to be at least 1.0 to 1.0 if availability falls below the greater of $10.0 or 15% of the borrowing base. At all times during the six months ended July 31, 2021, availability exceeded this threshold, and the Company was not subject to this financial covenant. As of July 31, 2021, the FCCR was below 1.0 to 1.0. The Company was in full compliance with its credit facility as of July 31, 2021.</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Borrowings outstanding under the ABL Facility were $30.0 as of July 31, 2021 and bear interest at a rate equal to LIBOR plus the applicable margin (as defined in the ABL Facility). The effective interest rate under the ABL Facility was approximately 4.75% on July 31, 2021. Total letters of credit outstanding under the ABL Facility were $6.6 at July 31, 2021. Accrued interest under the ABL Facility was $0.2 as of July 31, 2021.</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ABL Facility, net of $10.0 FCCR holdback, was $17.8 based on the July 31, 2021 borrowing base certificate.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 Obligations</w:t>
      </w:r>
    </w:p>
    <w:p>
      <w:pPr>
        <w:spacing w:after="0" w:line="23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Company acquired QES's long-term capital lease agreements in the Merger. The leases are for a manufacturing and office facility supporting completion operations in Oklahoma City, Oklahoma and Elk City,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Oklahoma and have 20 year lease terms. The Company also leases certain vehicles, machinery and service equipment under capital leases. The capital lease obligations for these assets have lease terms ranging from 36 months to 55 months, and the interest rates range between 3.0% to 7.0%.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Total capital lease obligations were $5.3 as of July 31, 2021.</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Fair Value Information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financial instruments are carried at amounts that approximate estimated fair value. The fair value is the price at which an asset could be exchanged in a current transaction between knowledgeable, willing parties. Assets measured at fair value are categorized based upon the lowest level of significant input to the valuations.</w:t>
      </w:r>
    </w:p>
    <w:p>
      <w:pPr>
        <w:spacing w:after="0" w:line="23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and liabilities.</w:t>
      </w:r>
    </w:p>
    <w:p>
      <w:pPr>
        <w:spacing w:after="0" w:line="248"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2 – quoted prices for identical assets and liabilities in markets that are not active or observable inputs other than quoted prices in active markets for identical assets and liabilities.</w:t>
      </w:r>
    </w:p>
    <w:p>
      <w:pPr>
        <w:spacing w:after="0" w:line="229"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Level 3 – unobservable inputs in which there is little or no market data available, which require the reporting entity to develop its own assumptions.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carrying amounts of cash and cash equivalents, accounts receivable-trade and accounts payable represent their respective fair values due to their short-term nature. The fair value of the ABL Facility approximates its carrying value as of July 31, 2021.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placement in the fair value hierarchy of the Notes, based on market prices for publicly traded debt, as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July 31, 2021 and January 31, 2021:</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9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gridSpan w:val="2"/>
            <w:shd w:val="clear" w:color="auto" w:fill="CCEEFF"/>
          </w:tcPr>
          <w:p>
            <w:pPr>
              <w:jc w:val="center"/>
              <w:ind w:right="120"/>
              <w:spacing w:after="0"/>
              <w:rPr>
                <w:sz w:val="20"/>
                <w:szCs w:val="20"/>
                <w:color w:val="auto"/>
              </w:rPr>
            </w:pPr>
            <w:r>
              <w:rPr>
                <w:rFonts w:ascii="Arial" w:cs="Arial" w:eastAsia="Arial" w:hAnsi="Arial"/>
                <w:sz w:val="16"/>
                <w:szCs w:val="16"/>
                <w:b w:val="1"/>
                <w:bCs w:val="1"/>
                <w:color w:val="auto"/>
                <w:w w:val="99"/>
              </w:rPr>
              <w:t>July 31, 2021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Level 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rPr>
              <w:t>Level 2</w:t>
            </w:r>
          </w:p>
        </w:tc>
        <w:tc>
          <w:tcPr>
            <w:tcW w:w="100" w:type="dxa"/>
            <w:vAlign w:val="bottom"/>
            <w:gridSpan w:val="2"/>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05"/>
        </w:trPr>
        <w:tc>
          <w:tcPr>
            <w:tcW w:w="45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gridSpan w:val="2"/>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162.5</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6"/>
                <w:szCs w:val="16"/>
                <w:color w:val="auto"/>
              </w:rPr>
              <w:t>Total Senior Secured Notes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4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gridSpan w:val="9"/>
          </w:tcPr>
          <w:p>
            <w:pPr>
              <w:jc w:val="center"/>
              <w:ind w:right="280"/>
              <w:spacing w:after="0"/>
              <w:rPr>
                <w:sz w:val="20"/>
                <w:szCs w:val="20"/>
                <w:color w:val="auto"/>
              </w:rPr>
            </w:pPr>
            <w:r>
              <w:rPr>
                <w:rFonts w:ascii="Arial" w:cs="Arial" w:eastAsia="Arial" w:hAnsi="Arial"/>
                <w:sz w:val="16"/>
                <w:szCs w:val="16"/>
                <w:b w:val="1"/>
                <w:bCs w:val="1"/>
                <w:color w:val="auto"/>
              </w:rPr>
              <w:t>Fair value measurements at reporting date using</w:t>
            </w:r>
          </w:p>
        </w:tc>
        <w:tc>
          <w:tcPr>
            <w:tcW w:w="0" w:type="dxa"/>
            <w:vAlign w:val="bottom"/>
          </w:tcPr>
          <w:p>
            <w:pPr>
              <w:spacing w:after="0"/>
              <w:rPr>
                <w:sz w:val="1"/>
                <w:szCs w:val="1"/>
                <w:color w:val="auto"/>
              </w:rPr>
            </w:pPr>
          </w:p>
        </w:tc>
      </w:tr>
      <w:tr>
        <w:trPr>
          <w:trHeight w:val="143"/>
        </w:trPr>
        <w:tc>
          <w:tcPr>
            <w:tcW w:w="4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center"/>
              <w:ind w:right="160"/>
              <w:spacing w:after="0" w:line="143" w:lineRule="exact"/>
              <w:rPr>
                <w:sz w:val="20"/>
                <w:szCs w:val="20"/>
                <w:color w:val="auto"/>
              </w:rPr>
            </w:pPr>
            <w:r>
              <w:rPr>
                <w:rFonts w:ascii="Arial" w:cs="Arial" w:eastAsia="Arial" w:hAnsi="Arial"/>
                <w:sz w:val="16"/>
                <w:szCs w:val="16"/>
                <w:b w:val="1"/>
                <w:bCs w:val="1"/>
                <w:color w:val="auto"/>
              </w:rPr>
              <w:t>January 31,</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ind w:left="220"/>
              <w:spacing w:after="0"/>
              <w:rPr>
                <w:sz w:val="20"/>
                <w:szCs w:val="20"/>
                <w:color w:val="auto"/>
              </w:rPr>
            </w:pPr>
            <w:r>
              <w:rPr>
                <w:rFonts w:ascii="Arial" w:cs="Arial" w:eastAsia="Arial" w:hAnsi="Arial"/>
                <w:sz w:val="16"/>
                <w:szCs w:val="16"/>
                <w:b w:val="1"/>
                <w:bCs w:val="1"/>
                <w:color w:val="auto"/>
              </w:rPr>
              <w:t>Level 1</w:t>
            </w:r>
          </w:p>
        </w:tc>
        <w:tc>
          <w:tcPr>
            <w:tcW w:w="100" w:type="dxa"/>
            <w:vAlign w:val="bottom"/>
            <w:vMerge w:val="restart"/>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80" w:type="dxa"/>
            <w:vAlign w:val="bottom"/>
            <w:gridSpan w:val="2"/>
            <w:vMerge w:val="restart"/>
            <w:shd w:val="clear" w:color="auto" w:fill="CCEEFF"/>
          </w:tcPr>
          <w:p>
            <w:pPr>
              <w:jc w:val="center"/>
              <w:ind w:right="360"/>
              <w:spacing w:after="0"/>
              <w:rPr>
                <w:sz w:val="20"/>
                <w:szCs w:val="20"/>
                <w:color w:val="auto"/>
              </w:rPr>
            </w:pPr>
            <w:r>
              <w:rPr>
                <w:rFonts w:ascii="Arial" w:cs="Arial" w:eastAsia="Arial" w:hAnsi="Arial"/>
                <w:sz w:val="16"/>
                <w:szCs w:val="16"/>
                <w:b w:val="1"/>
                <w:bCs w:val="1"/>
                <w:color w:val="auto"/>
                <w:w w:val="99"/>
              </w:rPr>
              <w:t>Level 2</w:t>
            </w:r>
          </w:p>
        </w:tc>
        <w:tc>
          <w:tcPr>
            <w:tcW w:w="60" w:type="dxa"/>
            <w:vAlign w:val="bottom"/>
            <w:vMerge w:val="restart"/>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vMerge w:val="restart"/>
            <w:shd w:val="clear" w:color="auto" w:fill="CCEEFF"/>
          </w:tcPr>
          <w:p>
            <w:pPr>
              <w:ind w:left="2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4"/>
        </w:trPr>
        <w:tc>
          <w:tcPr>
            <w:tcW w:w="45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center"/>
              <w:ind w:right="60"/>
              <w:spacing w:after="0"/>
              <w:rPr>
                <w:sz w:val="20"/>
                <w:szCs w:val="20"/>
                <w:color w:val="auto"/>
              </w:rPr>
            </w:pPr>
            <w:r>
              <w:rPr>
                <w:rFonts w:ascii="Arial" w:cs="Arial" w:eastAsia="Arial" w:hAnsi="Arial"/>
                <w:sz w:val="16"/>
                <w:szCs w:val="16"/>
                <w:b w:val="1"/>
                <w:bCs w:val="1"/>
                <w:color w:val="auto"/>
                <w:w w:val="95"/>
              </w:rPr>
              <w:t>2021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vMerge w:val="continue"/>
            <w:shd w:val="clear" w:color="auto" w:fill="CCEEFF"/>
          </w:tcPr>
          <w:p>
            <w:pPr>
              <w:spacing w:after="0"/>
              <w:rPr>
                <w:sz w:val="18"/>
                <w:szCs w:val="18"/>
                <w:color w:val="auto"/>
              </w:rPr>
            </w:pPr>
          </w:p>
        </w:tc>
        <w:tc>
          <w:tcPr>
            <w:tcW w:w="60" w:type="dxa"/>
            <w:vAlign w:val="bottom"/>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Secured Notes, 11.5 Percent Due 2025</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ind w:left="11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0"/>
        </w:trPr>
        <w:tc>
          <w:tcPr>
            <w:tcW w:w="456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Total Senior Secured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2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CEEFF"/>
          </w:tcPr>
          <w:p>
            <w:pPr>
              <w:ind w:left="11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the three months ended April 30, 2020, goodwill and long-lived assets, including certain property and equipment and purchased intangibles subject to amortization, were impaired as a result of the first quarter 2020 interim goodwill and long-lived asset impairment tests. The goodwill Level 3 fair value was determined using the average of the guideline public company analysis and the discounted cash flow analysis, both of which were unobservable. The long-lived asset Level 3 fair value was determined using the discounted cash flow analysis using the market and income approaches, both of which were unobservable.</w:t>
      </w: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Fair value is measured as of the impairment date. The carrying value and fair values of the impaired assets as of April 30, 2020 was $194.0 and $52.8 for property and equipment, net, $28.3 and nil for goodwill, and $39.2 and nil for intangible assets, net, respectively. See Note 7 for a discussion of the changes in goodwill and long-lived asset values due to impairment charges recorded during the three months ended April 30, 2020.</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Contingencies and Off-Balance-Sheet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July 31, 2021, future minimum lease payments under these arrangements approximated $66.6 of which $25.7 is related to long-term real estate leases and $25.6 is related to long-term coiled tubing unit leases.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 &amp; Liabilities</w:t>
      </w:r>
    </w:p>
    <w:p>
      <w:pPr>
        <w:spacing w:after="0" w:line="26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is subject to various federal, state and local environmental laws and regulations that establish standards and requirements for the protection of the environment. The Company continues to monitor the status of these laws and regulations. However, the Company cannot predict the future impact of such laws and regulations, as well as standards and requirements, on its business, which are subject to change and can have retroactive effectiveness. Currently, the Company has not been fined, cited or notified of any environmental violations or liabilities that would have a material adverse effect on its condensed consolidated financial statement position, results of operations, liquidity or capital resources. However, management does recognize that by the very nature of its business, material costs could be incurred in the future to maintain compliance. The amount of such future expenditures is not determinable due to several factors, including the unknown magnitude of possible regulation or liabilities, the unknown timing and extent of the corrective actions that may be required, the determination of the Company’s liability in proportion to other responsible parties and the extent to which such expenditures are recoverable from insurance or indemnification.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6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condensed consolidated financial statements.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 and certain underwriters at Lloyd's ("Underwriters") to recover $4.6 owed on invoices duly issued by the Company for services rendered on behalf of defendants in response to an offshore well blowout near Bob Hall Pier in Corpus Christi, Texas. Magellan did not dispute the invoices or the charges therein but alleged an inability to pay prior to obtaining funding from Underwriters under Magellan's Owner's Extra Expense ("OEE") policy. An OEE policy is an industry norm to provide insurance coverage in the event of a blowout. Magellan's OEE policy has a limit of $20.0. We believe that total invoices issued to Magellan by its blowout vendors total $14.3 and are within policy limits. The Company's Texas court action includes claims against Magellan and as an additional insured under the OEE policy and also against Redmon-Keys as Magellan's broker who issued the additional insured certificate to the Company.</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19, 2021, Underwriters filed a declaratory judgment action in the United States District Court for the Southern District of Texas seeking a declaration that approximately $7.4 of the total $14.3 in blowout related expenses fall outside of policy coverage referencing a date on which they believe coverage ceased to apply. The Company disputes Underwriters' allegations on coverage and will likely litigate the issue in one or more court actions. Nonetheless, we note here that approximately $2.3 or half of the Company's total $4.6 in invoice to Magellan relate to services rendered and materials provided prior to the coverage dispute date alleged by Underwriters. In its declaratory judgment action, Underwriters further alleged that it had made some payments to Magellan. As Magellan had not made onward payments to the Company, the Company filed a request for a Temporary Restraining Order ("TRO") against Magellan in its Texas state court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On March 30, 2021, hours before the TRO hearing, Magellan filed for bankruptcy pursuant to Chapter 7 of the U.S. bankruptcy code.</w:t>
      </w:r>
    </w:p>
    <w:p>
      <w:pPr>
        <w:spacing w:after="0" w:line="23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 believes that the OEE policy is now an asset of the Chapter 7 estate. Since the Chapter 7 filing by Magellan, the U.S. Trustee has begun to advance claims against the Underwriter syndicate. Underwriters will now pay an additional $1.2 of insured expense while continuing to dispute an additional $7.4 of expenses claimed by Magellan. We expect that the Trustee will continue to pursue the remaining $7.4 from Underwriters as well as preference claims for monies paid by Magellan in the months leading up to its bankruptcy for which the Company has no exposure. Additionally, the Trustee will evaluate claims against Magellan’s former directors and officers.</w:t>
      </w:r>
    </w:p>
    <w:p>
      <w:pPr>
        <w:spacing w:after="0" w:line="21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Separately, KLXE is continuing to discuss its alleged claims against Redmon based on the representations made by Redmon relative to the certificate of insurance it issued to KLXE as an ‘additional insured’.</w:t>
      </w:r>
    </w:p>
    <w:p>
      <w:pPr>
        <w:spacing w:after="0" w:line="22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bankruptcy proceedings are in their initial stages. During the year ended January 31, 2021, the Company reserved the full amount of its invoices totaling $4.6 as a prudent action in light of the Chapter 7 filing. These invoices remain fully reserved as of July 31, 2021. However, we believe that the proceeds from the OEE policy will ultimately be allocated to the blowout creditors and KLXE will be offering our support to the U.S. Trustee in its pursuit of full recovery under the OEE policy from Underwriters.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During its ordinary course of business, the Company has made certain indemnities, commitments and guarantees under which it may be required to make payments in relation to certain transactions. These indemnities include indemnities to various lessors in connection with facility leases for certain claims arising from such facility or lease, as well as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the Company could be obligated to make. However, the Company is unable to estimate the maximum amount of liability related to its indemnities, commitments and guarantees because such liabilities are contingent upon the occurrence of events that are not reasonably determinable. Management believes that any liability for these indemnities, commitments and guarantees would not be material to the accompanying condensed consolidated financial statements. Accordingly, no significant amounts have been accrued for indemnities, commitments and guarantees.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Stockholders' Equity (Deficit)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6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“Offering”) the Company’s common stock, par value $0.01 per share, having an aggregate offering price of up to $50.0 (the “Common Stock”).</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Offering will be issued pursuant to the Company’s shelf registration statement on Form S-3 (Registration No. 333-256149) filed with the SEC on May 14, 2021 and declared effective on June 11, 2021 (the “Registration Statement”), the prospectus supplement relating to the Offering filed with the SEC on June 14, 2021 and any applicable additional prospectus supplements related to the Offering that form a part of the Registration Statement. Sales of Common Stock under the Equity Distribution Agreement may be made in any transactions that are deemed to be “at the market offerings” as defined in Rule 415 under the Securities Act of 1933, as amended (the “Securities Act”).</w:t>
      </w:r>
    </w:p>
    <w:p>
      <w:pPr>
        <w:spacing w:after="0" w:line="23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Securities Act, other obligations of the parties and termination provisions. Under the terms of the Equity Distribution Agreement, the Company will pay the Agent a commission equal to 3.0% of the gross sales price of the Common Stock sold.</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three and six months ended July 31, 2021, the Company sold 60,216 shares of Common Stock in exchange for gross proceeds of approximately $0.6 through its at-the-market offering and paid fees to the sales agent and other legal and accounting fees to establish the Offering of $0.6. Going forward, we expect the legal and accounting costs to maintain the Offering will be lower than what we incurred to establish the Offering in the second fiscal quarter.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31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Company has a Long-Term Incentive Plan (“LTIP”) under which the compensation committee of the Board (the “Compensation Committee”) has the authority to grant stock options, stock appreciation rights, restricted stock, restricted stock units or other forms of equity-based or equity-related awards. Compensation cost for the LTIP grants is generally recorded on a straight-line basis over the vesting term of the shares based on the grant date value using the closing trading price.</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February 12, 2021, the stockholders of KLXE approved the KLX Energy Services Holdings, Inc. Long-Term Incentive Plan (Amended and Restated as of December 2, 2020) (the “Amended and Restated LTIP”), which, among other things, increased the total number of shares of Company Common Stock, par value $0.01 per share, and reserved for issuance under the Amended and Restated LTIP by 632,051 shares. A description of the Amended and Restated LTIP is included in the Company’s proxy statement, filed with the SEC on January 11, 2021.</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Compensation cost recognized during the three and six months ended July 31, 2021 and 2020 was related to grants of restricted stock as approved by the Compensation Committee. Certain grants of restricted stock to directors and management accelerated in connection with the Merger on July 28, 2020, resulting in approximately $15.1 of stock based compensation expense during the three months ended July 31, 2020. Stock-based compensation was $1.0 and $17.4 for the three months ended July 31, 2021 and 2020, respectively and $1.8 and $16.7 for the six months ended July 31, 2021 and 2020, respectively. Unrecognized compensation cost related to restricted stock awards made by the Company was $7.8 at July 31, 2021.</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of the date of the QES acquisition, each unvested QES restricted stock unit award was converted into a replacement 0.0969 KLXE restricted stock unit award. Approximately 2.0 million shares of QES common stock subject to awards outstanding were converted to 0.2 million shares of common stock assumed by KLXE.</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Income tax expense was $0.1 and $0.2 for the three and six months ended July 31, 2021, respectively, and was comprised primarily of state and local taxes, compared to nil and $0.1 for the three and six months ended July 31, 2020, respectively. The Company has a valuation allowance against its deferred tax balances, and as a result, it was unable to recognize a tax benefit on its year to date losses.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response to the COVID-19 pandemic, many governments have enacted or are contemplating measures to provide aid and economic stimulus. These measures may include deferring the due dates of tax payments or other changes to their income and non-income-based tax laws. The Coronavirus Aid, Relief, and Economic Security Act (“CARES Act”), which was enacted on March 27, 2020 in the United States, includes measures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assist companies. Under the CARES Act, the Company has deferred the employer portion of FICA tax payments of $3.8 as of July 31, 2021. This deferral is included on the condensed consolidated balance sheet. Accrued and other non-current liabilities each had a balance of $1.9 as of July 31, 2021. These payments are due in two installments: half on December 31, 2021; and half on December 31, 2022.</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American Rescue Plan Act of 2021 (the "ARP”) enacted on March 11, 2021, in the United States, responds to the continued economic and health impacts of the COVID-19 pandemic. The ARP includes a wide variety of tax and non-tax provisions. The Company does not anticipate any material impacts from this legislation.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monitor additional guidance issued by the U.S. Treasury Department, the Internal Revenue Service and others.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Reporting</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is organized on a geographic basis. The Company’s reportable segments, which are also its operating segments, are comprised of the Southwest Region (the Permian Basin and the Eagle Ford Shale), the Rocky Mountains Region (the Bakken, Williston, DJ, Uinta, Powder River, Piceance and Niobrara basins) and the Northeast/Mid-Con Region (the Marcellus and Utica Shale as well as the Mid-Continent STACK and SCOOP and Haynesville Shale). The segments regularly report their results of operations and make requests for capital expenditures and acquisition funding to the CODM. As a result, the Company has three reportable segments.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and operating loss by reportable segment:</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r>
      <w:tr>
        <w:trPr>
          <w:trHeight w:val="194"/>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r>
      <w:tr>
        <w:trPr>
          <w:trHeight w:val="211"/>
        </w:trPr>
        <w:tc>
          <w:tcPr>
            <w:tcW w:w="4920" w:type="dxa"/>
            <w:vAlign w:val="bottom"/>
          </w:tcPr>
          <w:p>
            <w:pPr>
              <w:ind w:left="140"/>
              <w:spacing w:after="0"/>
              <w:rPr>
                <w:sz w:val="20"/>
                <w:szCs w:val="20"/>
                <w:color w:val="auto"/>
              </w:rPr>
            </w:pPr>
            <w:r>
              <w:rPr>
                <w:rFonts w:ascii="Arial" w:cs="Arial" w:eastAsia="Arial" w:hAnsi="Arial"/>
                <w:sz w:val="16"/>
                <w:szCs w:val="16"/>
                <w:color w:val="auto"/>
              </w:rPr>
              <w:t>Rocky Mountains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57.9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17"/>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Southwest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11"/>
        </w:trPr>
        <w:tc>
          <w:tcPr>
            <w:tcW w:w="4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Northeast/Mid-Con</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r>
      <w:tr>
        <w:trPr>
          <w:trHeight w:val="210"/>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14"/>
        </w:trPr>
        <w:tc>
          <w:tcPr>
            <w:tcW w:w="4920" w:type="dxa"/>
            <w:vAlign w:val="bottom"/>
          </w:tcPr>
          <w:p>
            <w:pPr>
              <w:ind w:left="20"/>
              <w:spacing w:after="0" w:line="214" w:lineRule="exact"/>
              <w:rPr>
                <w:sz w:val="20"/>
                <w:szCs w:val="20"/>
                <w:color w:val="auto"/>
              </w:rPr>
            </w:pPr>
            <w:r>
              <w:rPr>
                <w:rFonts w:ascii="Arial" w:cs="Arial" w:eastAsia="Arial" w:hAnsi="Arial"/>
                <w:sz w:val="16"/>
                <w:szCs w:val="16"/>
                <w:color w:val="auto"/>
              </w:rPr>
              <w:t xml:space="preserve">Operating loss </w:t>
            </w:r>
            <w:r>
              <w:rPr>
                <w:rFonts w:ascii="Arial" w:cs="Arial" w:eastAsia="Arial" w:hAnsi="Arial"/>
                <w:sz w:val="20"/>
                <w:szCs w:val="20"/>
                <w:color w:val="auto"/>
                <w:vertAlign w:val="superscript"/>
              </w:rPr>
              <w:t>(1)</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4"/>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Rocky Mountains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11"/>
        </w:trPr>
        <w:tc>
          <w:tcPr>
            <w:tcW w:w="4920" w:type="dxa"/>
            <w:vAlign w:val="bottom"/>
          </w:tcPr>
          <w:p>
            <w:pPr>
              <w:ind w:left="140"/>
              <w:spacing w:after="0"/>
              <w:rPr>
                <w:sz w:val="20"/>
                <w:szCs w:val="20"/>
                <w:color w:val="auto"/>
              </w:rPr>
            </w:pPr>
            <w:r>
              <w:rPr>
                <w:rFonts w:ascii="Arial" w:cs="Arial" w:eastAsia="Arial" w:hAnsi="Arial"/>
                <w:sz w:val="16"/>
                <w:szCs w:val="16"/>
                <w:color w:val="auto"/>
              </w:rPr>
              <w:t>Southwest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(105.3)</w:t>
            </w:r>
          </w:p>
        </w:tc>
      </w:tr>
      <w:tr>
        <w:trPr>
          <w:trHeight w:val="217"/>
        </w:trPr>
        <w:tc>
          <w:tcPr>
            <w:tcW w:w="4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Northeast/Mid-Con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(100.1)</w:t>
            </w:r>
          </w:p>
        </w:tc>
      </w:tr>
      <w:tr>
        <w:trPr>
          <w:trHeight w:val="214"/>
        </w:trPr>
        <w:tc>
          <w:tcPr>
            <w:tcW w:w="4920" w:type="dxa"/>
            <w:vAlign w:val="bottom"/>
            <w:tcBorders>
              <w:bottom w:val="single" w:sz="8" w:color="CCEEFF"/>
            </w:tcBorders>
          </w:tcPr>
          <w:p>
            <w:pPr>
              <w:ind w:left="140"/>
              <w:spacing w:after="0" w:line="214"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0"/>
                <w:szCs w:val="20"/>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11"/>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32"/>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(61.6)</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(263.4)</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firstLine="7"/>
        <w:spacing w:after="0" w:line="261" w:lineRule="auto"/>
        <w:tabs>
          <w:tab w:leader="none" w:pos="242" w:val="left"/>
        </w:tabs>
        <w:numPr>
          <w:ilvl w:val="0"/>
          <w:numId w:val="4"/>
        </w:numPr>
        <w:rPr>
          <w:rFonts w:ascii="Arial" w:cs="Arial" w:eastAsia="Arial" w:hAnsi="Arial"/>
          <w:sz w:val="16"/>
          <w:szCs w:val="16"/>
          <w:color w:val="auto"/>
        </w:rPr>
      </w:pPr>
      <w:r>
        <w:rPr>
          <w:rFonts w:ascii="Arial" w:cs="Arial" w:eastAsia="Arial" w:hAnsi="Arial"/>
          <w:sz w:val="16"/>
          <w:szCs w:val="16"/>
          <w:color w:val="auto"/>
        </w:rPr>
        <w:t>Historically, and through July 31, 2020, the Company</w:t>
      </w:r>
      <w:r>
        <w:rPr>
          <w:rFonts w:ascii="Arial" w:cs="Arial" w:eastAsia="Arial" w:hAnsi="Arial"/>
          <w:sz w:val="17"/>
          <w:szCs w:val="17"/>
          <w:color w:val="auto"/>
        </w:rPr>
        <w:t>’</w:t>
      </w:r>
      <w:r>
        <w:rPr>
          <w:rFonts w:ascii="Arial" w:cs="Arial" w:eastAsia="Arial" w:hAnsi="Arial"/>
          <w:sz w:val="16"/>
          <w:szCs w:val="16"/>
          <w:color w:val="auto"/>
        </w:rPr>
        <w:t>s total corporate overhead costs were allocated and reported within each reportable segment. During the third quarter of 2020, the Company changed the corporate overhead allocation methodology to include corporate costs incurred on behalf of its operating segments, which includes accounts payable, accounts receivable, insurance, audit, supply chain, health, safety and environmental and others. The remaining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unallocated corporate costs are reported as a reconciling item. The change will better reflect the CODM’s philosophy on assessing performance and allocating resources, as well as improve comparability to the Company</w:t>
      </w:r>
      <w:r>
        <w:rPr>
          <w:rFonts w:ascii="Arial" w:cs="Arial" w:eastAsia="Arial" w:hAnsi="Arial"/>
          <w:sz w:val="17"/>
          <w:szCs w:val="17"/>
          <w:color w:val="auto"/>
        </w:rPr>
        <w:t>’</w:t>
      </w:r>
      <w:r>
        <w:rPr>
          <w:rFonts w:ascii="Arial" w:cs="Arial" w:eastAsia="Arial" w:hAnsi="Arial"/>
          <w:sz w:val="16"/>
          <w:szCs w:val="16"/>
          <w:color w:val="auto"/>
        </w:rPr>
        <w:t>s peer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revenues by service offering by reportable segment:</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420"/>
              <w:spacing w:after="0"/>
              <w:rPr>
                <w:sz w:val="20"/>
                <w:szCs w:val="20"/>
                <w:color w:val="auto"/>
              </w:rPr>
            </w:pPr>
            <w:r>
              <w:rPr>
                <w:rFonts w:ascii="Arial" w:cs="Arial" w:eastAsia="Arial" w:hAnsi="Arial"/>
                <w:sz w:val="16"/>
                <w:szCs w:val="16"/>
                <w:b w:val="1"/>
                <w:bCs w:val="1"/>
                <w:color w:val="auto"/>
              </w:rPr>
              <w:t>July 31, 2020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69"/>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180"/>
              <w:spacing w:after="0" w:line="170" w:lineRule="exact"/>
              <w:rPr>
                <w:sz w:val="20"/>
                <w:szCs w:val="20"/>
                <w:color w:val="auto"/>
              </w:rPr>
            </w:pPr>
            <w:r>
              <w:rPr>
                <w:rFonts w:ascii="Arial" w:cs="Arial" w:eastAsia="Arial" w:hAnsi="Arial"/>
                <w:sz w:val="16"/>
                <w:szCs w:val="16"/>
                <w:color w:val="auto"/>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70" w:lineRule="exact"/>
              <w:rPr>
                <w:sz w:val="20"/>
                <w:szCs w:val="20"/>
                <w:color w:val="auto"/>
              </w:rPr>
            </w:pPr>
            <w:r>
              <w:rPr>
                <w:rFonts w:ascii="Arial" w:cs="Arial" w:eastAsia="Arial" w:hAnsi="Arial"/>
                <w:sz w:val="16"/>
                <w:szCs w:val="16"/>
                <w:color w:val="auto"/>
              </w:rPr>
              <w:t>Northeast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0"/>
              <w:spacing w:after="0" w:line="170" w:lineRule="exact"/>
              <w:rPr>
                <w:sz w:val="20"/>
                <w:szCs w:val="20"/>
                <w:color w:val="auto"/>
              </w:rPr>
            </w:pPr>
            <w:r>
              <w:rPr>
                <w:rFonts w:ascii="Arial" w:cs="Arial" w:eastAsia="Arial" w:hAnsi="Arial"/>
                <w:sz w:val="16"/>
                <w:szCs w:val="16"/>
                <w:color w:val="auto"/>
              </w:rPr>
              <w:t>Rocky</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line="170"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9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Mountains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Southwest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/Mid-Con</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Mountains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Southwest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/Mid-Con</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19.3</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10"/>
        </w:trPr>
        <w:tc>
          <w:tcPr>
            <w:tcW w:w="19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ind w:left="40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ind w:left="440"/>
              <w:spacing w:after="0"/>
              <w:rPr>
                <w:sz w:val="20"/>
                <w:szCs w:val="20"/>
                <w:color w:val="auto"/>
              </w:rPr>
            </w:pPr>
            <w:r>
              <w:rPr>
                <w:rFonts w:ascii="Arial" w:cs="Arial" w:eastAsia="Arial" w:hAnsi="Arial"/>
                <w:sz w:val="16"/>
                <w:szCs w:val="16"/>
                <w:b w:val="1"/>
                <w:bCs w:val="1"/>
                <w:color w:val="auto"/>
                <w:w w:val="98"/>
              </w:rPr>
              <w:t>July 31,</w:t>
            </w: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169"/>
        </w:trPr>
        <w:tc>
          <w:tcPr>
            <w:tcW w:w="1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w w:val="97"/>
              </w:rPr>
              <w:t>Northeast</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70" w:lineRule="exact"/>
              <w:rPr>
                <w:sz w:val="20"/>
                <w:szCs w:val="20"/>
                <w:color w:val="auto"/>
              </w:rPr>
            </w:pPr>
            <w:r>
              <w:rPr>
                <w:rFonts w:ascii="Arial" w:cs="Arial" w:eastAsia="Arial" w:hAnsi="Arial"/>
                <w:sz w:val="16"/>
                <w:szCs w:val="16"/>
                <w:color w:val="auto"/>
                <w:w w:val="98"/>
              </w:rPr>
              <w:t>Rocky</w:t>
            </w: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280"/>
              <w:spacing w:after="0" w:line="170" w:lineRule="exact"/>
              <w:rPr>
                <w:sz w:val="20"/>
                <w:szCs w:val="20"/>
                <w:color w:val="auto"/>
              </w:rPr>
            </w:pPr>
            <w:r>
              <w:rPr>
                <w:rFonts w:ascii="Arial" w:cs="Arial" w:eastAsia="Arial" w:hAnsi="Arial"/>
                <w:sz w:val="16"/>
                <w:szCs w:val="16"/>
                <w:color w:val="auto"/>
              </w:rPr>
              <w:t>Northeast</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1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20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color w:val="auto"/>
              </w:rPr>
              <w:t>Total</w:t>
            </w:r>
          </w:p>
        </w:tc>
        <w:tc>
          <w:tcPr>
            <w:tcW w:w="14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color w:val="auto"/>
              </w:rPr>
              <w:t>Mountains</w:t>
            </w:r>
          </w:p>
        </w:tc>
        <w:tc>
          <w:tcPr>
            <w:tcW w:w="140" w:type="dxa"/>
            <w:vAlign w:val="bottom"/>
          </w:tcPr>
          <w:p>
            <w:pPr>
              <w:spacing w:after="0"/>
              <w:rPr>
                <w:sz w:val="17"/>
                <w:szCs w:val="17"/>
                <w:color w:val="auto"/>
              </w:rPr>
            </w:pPr>
          </w:p>
        </w:tc>
        <w:tc>
          <w:tcPr>
            <w:tcW w:w="1040" w:type="dxa"/>
            <w:vAlign w:val="bottom"/>
            <w:gridSpan w:val="2"/>
          </w:tcPr>
          <w:p>
            <w:pPr>
              <w:ind w:left="40"/>
              <w:spacing w:after="0"/>
              <w:rPr>
                <w:sz w:val="20"/>
                <w:szCs w:val="20"/>
                <w:color w:val="auto"/>
              </w:rPr>
            </w:pPr>
            <w:r>
              <w:rPr>
                <w:rFonts w:ascii="Arial" w:cs="Arial" w:eastAsia="Arial" w:hAnsi="Arial"/>
                <w:sz w:val="16"/>
                <w:szCs w:val="16"/>
                <w:color w:val="auto"/>
              </w:rPr>
              <w:t>Southwest</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/Mid-Con</w:t>
            </w:r>
          </w:p>
        </w:tc>
        <w:tc>
          <w:tcPr>
            <w:tcW w:w="220" w:type="dxa"/>
            <w:vAlign w:val="bottom"/>
          </w:tcPr>
          <w:p>
            <w:pPr>
              <w:spacing w:after="0"/>
              <w:rPr>
                <w:sz w:val="17"/>
                <w:szCs w:val="17"/>
                <w:color w:val="auto"/>
              </w:rPr>
            </w:pPr>
          </w:p>
        </w:tc>
        <w:tc>
          <w:tcPr>
            <w:tcW w:w="800" w:type="dxa"/>
            <w:vAlign w:val="bottom"/>
          </w:tcPr>
          <w:p>
            <w:pPr>
              <w:jc w:val="right"/>
              <w:ind w:right="260"/>
              <w:spacing w:after="0"/>
              <w:rPr>
                <w:sz w:val="20"/>
                <w:szCs w:val="20"/>
                <w:color w:val="auto"/>
              </w:rPr>
            </w:pPr>
            <w:r>
              <w:rPr>
                <w:rFonts w:ascii="Arial" w:cs="Arial" w:eastAsia="Arial" w:hAnsi="Arial"/>
                <w:sz w:val="16"/>
                <w:szCs w:val="16"/>
                <w:color w:val="auto"/>
              </w:rPr>
              <w:t>Total</w:t>
            </w:r>
          </w:p>
        </w:tc>
      </w:tr>
      <w:tr>
        <w:trPr>
          <w:trHeight w:val="210"/>
        </w:trPr>
        <w:tc>
          <w:tcPr>
            <w:tcW w:w="1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Drilling</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1"/>
        </w:trPr>
        <w:tc>
          <w:tcPr>
            <w:tcW w:w="1960" w:type="dxa"/>
            <w:vAlign w:val="bottom"/>
          </w:tcPr>
          <w:p>
            <w:pPr>
              <w:ind w:left="20"/>
              <w:spacing w:after="0"/>
              <w:rPr>
                <w:sz w:val="20"/>
                <w:szCs w:val="20"/>
                <w:color w:val="auto"/>
              </w:rPr>
            </w:pPr>
            <w:r>
              <w:rPr>
                <w:rFonts w:ascii="Arial" w:cs="Arial" w:eastAsia="Arial" w:hAnsi="Arial"/>
                <w:sz w:val="16"/>
                <w:szCs w:val="16"/>
                <w:color w:val="auto"/>
              </w:rPr>
              <w:t>Completion</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66.9</w:t>
            </w:r>
          </w:p>
        </w:tc>
      </w:tr>
      <w:tr>
        <w:trPr>
          <w:trHeight w:val="217"/>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Production</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w:t>
            </w:r>
          </w:p>
        </w:tc>
      </w:tr>
      <w:tr>
        <w:trPr>
          <w:trHeight w:val="211"/>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Intervention</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r>
      <w:tr>
        <w:trPr>
          <w:trHeight w:val="235"/>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capital expenditures by reportable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r>
      <w:tr>
        <w:trPr>
          <w:trHeight w:val="208"/>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1"/>
        </w:trPr>
        <w:tc>
          <w:tcPr>
            <w:tcW w:w="49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11"/>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and other</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235"/>
        </w:trPr>
        <w:tc>
          <w:tcPr>
            <w:tcW w:w="49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capital expenditures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total assets by segment: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January 31, 2021</w:t>
            </w:r>
          </w:p>
        </w:tc>
      </w:tr>
      <w:tr>
        <w:trPr>
          <w:trHeight w:val="210"/>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Rocky Mountains</w:t>
            </w: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134.9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121.1</w:t>
            </w:r>
          </w:p>
        </w:tc>
      </w:tr>
      <w:tr>
        <w:trPr>
          <w:trHeight w:val="211"/>
        </w:trPr>
        <w:tc>
          <w:tcPr>
            <w:tcW w:w="7120" w:type="dxa"/>
            <w:vAlign w:val="bottom"/>
          </w:tcPr>
          <w:p>
            <w:pPr>
              <w:ind w:left="20"/>
              <w:spacing w:after="0"/>
              <w:rPr>
                <w:sz w:val="20"/>
                <w:szCs w:val="20"/>
                <w:color w:val="auto"/>
              </w:rPr>
            </w:pPr>
            <w:r>
              <w:rPr>
                <w:rFonts w:ascii="Arial" w:cs="Arial" w:eastAsia="Arial" w:hAnsi="Arial"/>
                <w:sz w:val="16"/>
                <w:szCs w:val="16"/>
                <w:color w:val="auto"/>
              </w:rPr>
              <w:t>Southwest</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89.0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91.6</w:t>
            </w: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Northeast/Mid-Con</w:t>
            </w: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w:t>
            </w:r>
          </w:p>
        </w:tc>
      </w:tr>
      <w:tr>
        <w:trPr>
          <w:trHeight w:val="207"/>
        </w:trPr>
        <w:tc>
          <w:tcPr>
            <w:tcW w:w="7120" w:type="dxa"/>
            <w:vAlign w:val="bottom"/>
          </w:tcPr>
          <w:p>
            <w:pPr>
              <w:ind w:left="160"/>
              <w:spacing w:after="0"/>
              <w:rPr>
                <w:sz w:val="20"/>
                <w:szCs w:val="20"/>
                <w:color w:val="auto"/>
              </w:rPr>
            </w:pPr>
            <w:r>
              <w:rPr>
                <w:rFonts w:ascii="Arial" w:cs="Arial" w:eastAsia="Arial" w:hAnsi="Arial"/>
                <w:sz w:val="16"/>
                <w:szCs w:val="16"/>
                <w:color w:val="auto"/>
              </w:rPr>
              <w:t>Total segment assets</w:t>
            </w: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292.0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310.8</w:t>
            </w:r>
          </w:p>
        </w:tc>
      </w:tr>
      <w:tr>
        <w:trPr>
          <w:trHeight w:val="214"/>
        </w:trPr>
        <w:tc>
          <w:tcPr>
            <w:tcW w:w="7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and other</w:t>
            </w: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w:t>
            </w:r>
          </w:p>
        </w:tc>
      </w:tr>
      <w:tr>
        <w:trPr>
          <w:trHeight w:val="210"/>
        </w:trPr>
        <w:tc>
          <w:tcPr>
            <w:tcW w:w="7120" w:type="dxa"/>
            <w:vAlign w:val="bottom"/>
          </w:tcPr>
          <w:p>
            <w:pPr>
              <w:ind w:left="160"/>
              <w:spacing w:after="0"/>
              <w:rPr>
                <w:sz w:val="20"/>
                <w:szCs w:val="20"/>
                <w:color w:val="auto"/>
              </w:rPr>
            </w:pPr>
            <w:r>
              <w:rPr>
                <w:rFonts w:ascii="Arial" w:cs="Arial" w:eastAsia="Arial" w:hAnsi="Arial"/>
                <w:sz w:val="16"/>
                <w:szCs w:val="16"/>
                <w:color w:val="auto"/>
              </w:rPr>
              <w:t>Total assets</w:t>
            </w:r>
          </w:p>
        </w:tc>
        <w:tc>
          <w:tcPr>
            <w:tcW w:w="1520" w:type="dxa"/>
            <w:vAlign w:val="bottom"/>
            <w:tcBorders>
              <w:bottom w:val="single" w:sz="8" w:color="auto"/>
            </w:tcBorders>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334.6</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362.7</w:t>
            </w:r>
          </w:p>
        </w:tc>
      </w:tr>
      <w:tr>
        <w:trPr>
          <w:trHeight w:val="20"/>
        </w:trPr>
        <w:tc>
          <w:tcPr>
            <w:tcW w:w="7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Net Loss Per Common Share</w:t>
      </w:r>
    </w:p>
    <w:p>
      <w:pPr>
        <w:spacing w:after="0" w:line="27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Basic net loss per common share is computed using the weighted average common shares outstanding during the period. Diluted net loss per common share is computed by using the weighted average common shares outstanding, including the dilutive effect of restricted shares based on an average share price during the period. For the three months ended July 31, 2021 and 2020, 0.5 and 0.7 million shares of the Company’s common stock, respectively, and for the six months ended July 31, 2021 and 2020, 0.4 and 0.7 million shares of the Company’s common stock, respectively, were excluded from the determination of diluted net loss per common share because their effect would have been anti-dilutive. The computations of basic and diluted net loss per share for the three and six months ended July 31, 2021 and 2020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20" w:type="dxa"/>
            <w:vAlign w:val="bottom"/>
            <w:gridSpan w:val="5"/>
          </w:tcPr>
          <w:p>
            <w:pPr>
              <w:ind w:left="58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2940" w:type="dxa"/>
            <w:vAlign w:val="bottom"/>
            <w:gridSpan w:val="4"/>
          </w:tcPr>
          <w:p>
            <w:pPr>
              <w:jc w:val="right"/>
              <w:ind w:right="78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80"/>
              <w:spacing w:after="0"/>
              <w:rPr>
                <w:sz w:val="20"/>
                <w:szCs w:val="20"/>
                <w:color w:val="auto"/>
              </w:rPr>
            </w:pPr>
            <w:r>
              <w:rPr>
                <w:rFonts w:ascii="Arial" w:cs="Arial" w:eastAsia="Arial" w:hAnsi="Arial"/>
                <w:sz w:val="16"/>
                <w:szCs w:val="16"/>
                <w:b w:val="1"/>
                <w:bCs w:val="1"/>
                <w:color w:val="auto"/>
              </w:rPr>
              <w:t>July 31, 2020</w:t>
            </w:r>
          </w:p>
        </w:tc>
        <w:tc>
          <w:tcPr>
            <w:tcW w:w="0" w:type="dxa"/>
            <w:vAlign w:val="bottom"/>
          </w:tcPr>
          <w:p>
            <w:pPr>
              <w:spacing w:after="0"/>
              <w:rPr>
                <w:sz w:val="1"/>
                <w:szCs w:val="1"/>
                <w:color w:val="auto"/>
              </w:rPr>
            </w:pPr>
          </w:p>
        </w:tc>
      </w:tr>
      <w:tr>
        <w:trPr>
          <w:trHeight w:val="230"/>
        </w:trPr>
        <w:tc>
          <w:tcPr>
            <w:tcW w:w="4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in millions)</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49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weighted average common shares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5"/>
        </w:trPr>
        <w:tc>
          <w:tcPr>
            <w:tcW w:w="4920" w:type="dxa"/>
            <w:vAlign w:val="bottom"/>
          </w:tcPr>
          <w:p>
            <w:pPr>
              <w:ind w:left="20"/>
              <w:spacing w:after="0"/>
              <w:rPr>
                <w:sz w:val="20"/>
                <w:szCs w:val="20"/>
                <w:color w:val="auto"/>
              </w:rPr>
            </w:pPr>
            <w:r>
              <w:rPr>
                <w:rFonts w:ascii="Arial" w:cs="Arial" w:eastAsia="Arial" w:hAnsi="Arial"/>
                <w:sz w:val="16"/>
                <w:szCs w:val="16"/>
                <w:color w:val="auto"/>
              </w:rPr>
              <w:t>Diluted weighted average common shares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Arial" w:cs="Arial" w:eastAsia="Arial" w:hAnsi="Arial"/>
                <w:sz w:val="16"/>
                <w:szCs w:val="16"/>
                <w:color w:val="auto"/>
              </w:rPr>
              <w:t>Basic net loss per common share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(2.98)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(7.39)</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net loss per common share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to encourage companies to provide prospective information to investors. This Quarterly Report on Form 10-Q (this “Quarterly Report”) includes forward-looking statements that reflect our current expectations and projections about our future results, performance and prospects. Forward-looking statements include all statements that are not historical in nature or are not current facts. When used in this Quarterly Report, the words “believe,” “expect,” “plan,” “intend,” “anticipate,” “estimate,” “predict,” “potential,” “continue,” “may,” “might,” “should,” “could,” “will” or the negative of these terms or similar expressions are intended to identify forward-looking statements, although not all forward-looking statements contain such identifying words. These forward-looking statements are based on our current expectations and assumptions about future events and are based on currently available information as to the outcome and timing of future events.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forward-looking statements are subject to a number of risks, uncertainties, assumptions and other factors that could cause our actual results, performance and prospects to differ materially from those expressed in, or implied by, these forward-looking statements. Factors that might cause such a difference include those discussed in our filings with the SEC, in particular those discussed under the headings “Risk Factors” in our Annual Report on Form 10-K for the fiscal year ended January 31, 2021 and in this Quarterly Report, including the following factors:</w:t>
      </w:r>
    </w:p>
    <w:p>
      <w:pPr>
        <w:spacing w:after="0" w:line="237" w:lineRule="exact"/>
        <w:rPr>
          <w:sz w:val="20"/>
          <w:szCs w:val="20"/>
          <w:color w:val="auto"/>
        </w:rPr>
      </w:pPr>
    </w:p>
    <w:p>
      <w:pPr>
        <w:ind w:left="800" w:hanging="151"/>
        <w:spacing w:after="0" w:line="24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extraordinary market environment and impacts resulting from the COVID-19 pandemic and related swift and material decline, as well as increased volatility, in national and global crude oil demand and crude oil prices;</w:t>
      </w:r>
    </w:p>
    <w:p>
      <w:pPr>
        <w:ind w:left="800" w:right="20" w:hanging="151"/>
        <w:spacing w:after="0" w:line="24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inefficiencies, curtailments or shutdowns in our customers’ operations, whether due to COVID-19 repercussions in the workforce or in response to reductions in demand;</w:t>
      </w: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uncertainty regarding our future operating results;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regulation of and dependence upon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cyclical nature of the energy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fluctuations in market prices for fuel, oil and natural gas;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acceptable pricing for our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competitive conditions within the industry;</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legislative or regulatory changes and potential liability under federal and state laws and regulations;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decreases in the rate at which oil and/or natural gas reserves are discovered and/or developed;</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technological advances on the demand for our products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customers' delays in obtaining permits for their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hazards and operational risks that may not be fully covered by insurance;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write-off of a significant portion of intangible assets;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need to obtain additional capital or financing, and the availability and/or cost of obtaining such capital or financing;</w:t>
      </w:r>
    </w:p>
    <w:p>
      <w:pPr>
        <w:spacing w:after="0" w:line="6" w:lineRule="exact"/>
        <w:rPr>
          <w:rFonts w:ascii="Arial" w:cs="Arial" w:eastAsia="Arial" w:hAnsi="Arial"/>
          <w:sz w:val="18"/>
          <w:szCs w:val="18"/>
          <w:color w:val="auto"/>
        </w:rPr>
      </w:pPr>
    </w:p>
    <w:p>
      <w:pPr>
        <w:jc w:val="both"/>
        <w:ind w:left="800" w:hanging="151"/>
        <w:spacing w:after="0" w:line="24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originating from our organizational documents, debt instruments and U.S. federal income tax obligations may have on our financial flexibility, our ability to engage in strategic transactions or our ability to declare and pay cash dividends on our common stock;</w:t>
      </w: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credit profile;</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supply, demand and costs of equipment;</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oilfield anti-indemnity provisions;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seasonal and adverse weather conditions that can affect oil and natural gas operations;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information technology resources and the inability to implement new technology and services;</w:t>
      </w:r>
    </w:p>
    <w:p>
      <w:pPr>
        <w:spacing w:after="0" w:line="6" w:lineRule="exact"/>
        <w:rPr>
          <w:rFonts w:ascii="Arial" w:cs="Arial" w:eastAsia="Arial" w:hAnsi="Arial"/>
          <w:sz w:val="18"/>
          <w:szCs w:val="18"/>
          <w:color w:val="auto"/>
        </w:rPr>
      </w:pP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terrorist or cyberattacks and the consequences of any such attacks;</w:t>
      </w:r>
    </w:p>
    <w:p>
      <w:pPr>
        <w:spacing w:after="0" w:line="6" w:lineRule="exact"/>
        <w:rPr>
          <w:rFonts w:ascii="Arial" w:cs="Arial" w:eastAsia="Arial" w:hAnsi="Arial"/>
          <w:sz w:val="18"/>
          <w:szCs w:val="18"/>
          <w:color w:val="auto"/>
        </w:rPr>
      </w:pPr>
    </w:p>
    <w:p>
      <w:pPr>
        <w:ind w:left="800" w:hanging="151"/>
        <w:spacing w:after="0" w:line="248"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labor costs or our ability to employ, or maintain the employment of, a sufficient number of key employees, technical personnel, and other skilled and qualified workers;</w:t>
      </w:r>
    </w:p>
    <w:p>
      <w:pPr>
        <w:ind w:left="800" w:hanging="15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inability to successfully consummate acquisitions or inability to manage potential growth; and</w:t>
      </w:r>
    </w:p>
    <w:p>
      <w:pPr>
        <w:spacing w:after="0" w:line="6" w:lineRule="exact"/>
        <w:rPr>
          <w:rFonts w:ascii="Arial" w:cs="Arial" w:eastAsia="Arial" w:hAnsi="Arial"/>
          <w:sz w:val="18"/>
          <w:szCs w:val="18"/>
          <w:color w:val="auto"/>
        </w:rPr>
      </w:pPr>
    </w:p>
    <w:p>
      <w:pPr>
        <w:ind w:left="800" w:hanging="151"/>
        <w:spacing w:after="0" w:line="239" w:lineRule="auto"/>
        <w:tabs>
          <w:tab w:leader="none" w:pos="79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remediate any material weakness in, or to maintain effective, internal controls over financial reporting and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light of these risks and uncertainties, you are cautioned not to put undue reliance on any forward-looking statements in this Quarterly Report. These statements should be considered only after carefully reading this entire Quarterly Report. Except as required under the federal securities laws and rules and regulations of the SEC, we undertake no obligation to publicly update or revise any forward-looking statements, whether as a result of new information, future events or otherwise. Additional risks that we may currently deem immaterial or that are not presently known to us could also cause the forward-looking events discussed in this Quarterly Report not to occur.</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All forward-looking statements, expressed or implied, included in this Quarterly Report are expressly qualified in their entirety by this cautionary statement. This cautionary statement should also be considered in connection with any subsequent written or oral forward-looking statement that we or persons acting on our behalf may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80"/>
        <w:spacing w:after="0" w:line="28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(In millions of U.S. dollars and shares)</w:t>
      </w:r>
    </w:p>
    <w:p>
      <w:pPr>
        <w:spacing w:after="0" w:line="176" w:lineRule="exact"/>
        <w:rPr>
          <w:sz w:val="20"/>
          <w:szCs w:val="20"/>
          <w:color w:val="auto"/>
        </w:rPr>
      </w:pPr>
    </w:p>
    <w:p>
      <w:pPr>
        <w:jc w:val="both"/>
        <w:spacing w:after="0" w:line="224" w:lineRule="auto"/>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The following discussion and analysis should be read in conjunction with the historical condensed consolidated financial statements and related notes included elsewhere in this Quarterly Report on Form 10-Q (“Quarterly Report”) as well as our </w:t>
      </w:r>
      <w:hyperlink r:id="rId34">
        <w:r>
          <w:rPr>
            <w:rFonts w:ascii="Arial" w:cs="Arial" w:eastAsia="Arial" w:hAnsi="Arial"/>
            <w:sz w:val="18"/>
            <w:szCs w:val="18"/>
            <w:i w:val="1"/>
            <w:iCs w:val="1"/>
            <w:color w:val="auto"/>
          </w:rPr>
          <w:t xml:space="preserve">Annual Report on Form 10-K </w:t>
        </w:r>
      </w:hyperlink>
      <w:r>
        <w:rPr>
          <w:rFonts w:ascii="Arial" w:cs="Arial" w:eastAsia="Arial" w:hAnsi="Arial"/>
          <w:sz w:val="18"/>
          <w:szCs w:val="18"/>
          <w:i w:val="1"/>
          <w:iCs w:val="1"/>
          <w:color w:val="auto"/>
        </w:rPr>
        <w:t>for the fiscal year ended January 31, 2021</w:t>
      </w:r>
      <w:r>
        <w:rPr>
          <w:rFonts w:ascii="Arial" w:cs="Arial" w:eastAsia="Arial" w:hAnsi="Arial"/>
          <w:sz w:val="18"/>
          <w:szCs w:val="18"/>
          <w:color w:val="auto"/>
        </w:rPr>
        <w:t>.</w:t>
      </w:r>
      <w:r>
        <w:rPr>
          <w:rFonts w:ascii="Arial" w:cs="Arial" w:eastAsia="Arial" w:hAnsi="Arial"/>
          <w:sz w:val="18"/>
          <w:szCs w:val="18"/>
          <w:i w:val="1"/>
          <w:iCs w:val="1"/>
          <w:color w:val="auto"/>
        </w:rPr>
        <w:t xml:space="preserve"> This discussion contains forward-looking statements reflecting our current expectations and estimates and assumptions concerning events and financial trends that may affect our future operating results or financial position. Actual results and the timing of events may differ materially from those contained in these forward-looking statements due to a number of factors, including those discussed in the sections entitled “Risk Factors” and “Cautionary Statement Regarding Forward-Looking Statements” appearing elsewhere in this Quarterly Report.</w:t>
      </w:r>
    </w:p>
    <w:p>
      <w:pPr>
        <w:spacing w:after="0" w:line="23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following discussion and analysis addresses the results of our operations for the three and six months ended July 31, 2021, as compared to our results of operations for the three and six months ended July 31, 2020. In addition, the discussion and analysis addresses our liquidity, financial condition and other matters for these periods. The previously announced merger of Krypton Merger Sub, Inc., an indirect wholly owned subsidiary of KLXE ("Merger Sub"), with and into QES, with QES surviving the merger as a subsidiary of KLXE (the "Merger") closed on July 28, 2020. Unless otherwise noted or the context requires otherwise, references herein to KLX Energy Services with respect to time periods prior to July 28, 2020 include KLX Energy Services and its consolidated subsidiaries and do not include QES and its consolidated subsidiaries, while references herein to KLX Energy Services with respect to time periods from and after July 28, 2020 include QES and its consolidated subsidiaries.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KLX Energy Services was initially formed from the combination of seven private oilfield service companies acquired during 2013 and 2014. Each of the acquired businesses was regional in nature and brought one or two specific service capabilities to KLX Energy Services. Once the acquisitions were completed, we undertook a comprehensive integration of these businesses to align our services, our people and our assets across all the geographic regions where we maintain a presence. In November 2018, we expanded our completion and intervention service offerings through the acquisition of Motley Services, LLC (“Motley”), a premier provider of large diameter coiled tubing services, further enhancing our completions business. We successfully completed the integration of the Motley business during fiscal 2018. On March 15, 2019, the Company acquired Tecton Energy Services (“Tecton”), a leading provider of flowback, drill-out and production testing services, operating primarily in the greater Rocky Mountains. In March 2019, the Company acquired Red Bone Services LLC (“Red Bone”), a premier provider of oilfield services primarily in the Mid-Continent region, providing fishing, non-hydraulic fracturing high pressure pumping, thru-tubing and certain other services. We successfully completed the integration of the Tecton and Red Bone businesses during fiscal 2019. We acquired QES during the second quarter of 2020 and, by doing so, helped establish KLXE as an industry leading provider of diversified oilfield solutions across the full well lifecycle to the major onshore oil and gas producing regions of the United States.</w:t>
      </w:r>
    </w:p>
    <w:p>
      <w:pPr>
        <w:spacing w:after="0" w:line="24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On July 26, 2020, the Company’s Board approved a 1-for-5 Reverse Stock Split. On July 28, 2020, we successfully completed the all-stock Merger with QES. At the time of the closing, the holders of QES common stock received 0.0969 shares of KLXE common stock in exchange for each share of QES common stock held. KLXE and QES stockholders owned approximately 59% and 41%, respectively, of the equity of the combined company on a fully-diluted basis.</w:t>
      </w:r>
    </w:p>
    <w:p>
      <w:pPr>
        <w:spacing w:after="0" w:line="2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Merger of KLXE and QES provides increased scale to serve a blue-chip customer base across the onshore oil and gas basins in the United States. The Merger combines two strong company cultures comprised of highly talented teams with shared commitments to safety, performance, customer service and profitability. The combination leverages two of the largest fleets of coiled tubing and wireline assets, with KLXE becoming a leading provider of large diameter coiled tubing and wireline services and one of the largest independent providers of directional drilling to the U.S.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closing the Merger, the Company has been focused on integrating personnel, facilities, processes and systems across all functional areas of the organization.</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By the end of first quarter of 2021, the Company implemented approximately $46.0 of annualized cost savings. We are diligently focused on generating additional cost savings from the Merger and to date have realized such savings through eliminating KLXE's legacy corporate headquarters in Wellington, Florida, rationalizing associated corporate functions to Houston, and capturing operational synergies in the areas of personnel, facilities and rolling stock.</w:t>
      </w:r>
    </w:p>
    <w:p>
      <w:pPr>
        <w:spacing w:after="0" w:line="23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During the first quarter of 2021, we consolidated corporate offices in Houston, Texas and identified $4.4 million of additional annualized fixed cost savings associated with headcount, facilities, changes to management processes and reduction in the size of the board from nine directors to seven directors. These cost savings were fully implemented by the end of the second quarter and we expect to realize the full benefit beginning in the third quarter.</w:t>
      </w:r>
    </w:p>
    <w:p>
      <w:pPr>
        <w:spacing w:after="0" w:line="234" w:lineRule="exact"/>
        <w:rPr>
          <w:sz w:val="20"/>
          <w:szCs w:val="20"/>
          <w:color w:val="auto"/>
        </w:rPr>
      </w:pPr>
    </w:p>
    <w:p>
      <w:pPr>
        <w:jc w:val="both"/>
        <w:spacing w:after="0" w:line="214" w:lineRule="exact"/>
        <w:rPr>
          <w:sz w:val="20"/>
          <w:szCs w:val="20"/>
          <w:color w:val="auto"/>
        </w:rPr>
      </w:pPr>
      <w:r>
        <w:rPr>
          <w:rFonts w:ascii="Arial" w:cs="Arial" w:eastAsia="Arial" w:hAnsi="Arial"/>
          <w:sz w:val="18"/>
          <w:szCs w:val="18"/>
          <w:color w:val="auto"/>
        </w:rPr>
        <w:t>Additional synergies may be realized as management continues to rationalize operational facilities and align common roles, processes and systems throughout each function and region. The Merger also enhances the Company’s ability to effect further industry consolidation. Looking ahead, the Company expects to pursue strategic, accretive consolidation opportunities that further strengthen the Company’s competitive positioning and capital structure and drive efficiencies, accelerate growth and create long</w:t>
      </w:r>
      <w:r>
        <w:rPr>
          <w:rFonts w:ascii="MS PGothic" w:cs="MS PGothic" w:eastAsia="MS PGothic" w:hAnsi="MS PGothic"/>
          <w:sz w:val="18"/>
          <w:szCs w:val="18"/>
          <w:color w:val="auto"/>
        </w:rPr>
        <w:t>‑</w:t>
      </w:r>
      <w:r>
        <w:rPr>
          <w:rFonts w:ascii="Arial" w:cs="Arial" w:eastAsia="Arial" w:hAnsi="Arial"/>
          <w:sz w:val="18"/>
          <w:szCs w:val="18"/>
          <w:color w:val="auto"/>
        </w:rPr>
        <w:t>term stockholder value.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serve many of the leading companies engaged in the exploration and development of onshore conventional and unconventional oil and natural gas reserves in the United States. Our customers are primarily large independent and major oil and gas companies. We currently support these customer operations from over 50 service facilities located in the key major basins. We operate in three segments on a geographic basis, including the Southwest Region (the Permian Basin, Eagle Ford Shale and the Gulf Coast including industrial and petrochemical facilities), the Rocky Mountains Region (the Bakken, Williston, DJ, Uinta, Powder River, Piceance and Niobrara basins) and the Northeast/Mid-Con Region (the Marcellus and Utica Shale as well as the Mid-Continent STACK and SCOOP and Haynesville Shale). Our revenues, operating earnings and identifiable assets are primarily attributable to these three reportable geographic segments. While we manage our business based upon these geographic groupings, our assets and our technical personnel are deployed on a dynamic basis across all of our service facilities to optimize utilization and profitability.</w:t>
      </w:r>
    </w:p>
    <w:p>
      <w:pPr>
        <w:spacing w:after="0" w:line="234"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These expansive operating areas provide us with access to a number of nearby unconventional crude oil and natural gas basins, both with existing customers expanding their production footprint and third parties acquiring new acreage. Our proximity to existing and prospective customer activities allows us to anticipate or respond quickly to such customers’ needs and efficiently deploy our assets. We believe that our strategic geographic positioning will benefit us as activity increases in our core operating areas. Our broad geographic footprint provides us with exposure to the ongoing recovery in drilling, completion, production and intervention related service activity and will allow us to opportunistically pursue new business in basins with the most active drilling environments.</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work with our customers to provide engineered solutions across the lifecycle of the well by streamlining operations, reducing non-productive time and developing cost effective solutions and customized tools for our customers’ most challenging service needs, including their most technically complex extended reach horizontal wells. We believe future revenue growth opportunities will continue to be driven by increases in the number of new customers served and the breadth of services we offer to existing and prospective customers.</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offer a variety of targeted services that are differentiated by the technical competence and experience of our field service engineers and their deployment of a broad portfolio of specialized tools and proprietary equipment. Our innovative and adaptive approach to proprietary tool design has been employed by our in-house research and development organization and, in selected instances, by our technology partners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develop tools covered by 28 patents and 7 pending patent applications, which we believe differentiates us from our regional competitors and also allows us to deliver more focused service and better outcomes in our specialized services than larger national competitors that do not discretely dedicate their resources to the services we provide.</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utilize contract manufacturers to produce our products, which, in many cases, our engineers have developed from input and requests from our customers and customer-facing managers, thereby maintaining the integrity of our intellectual property while avoiding manufacturing startup and maintenance costs. This approach leverages our technical strengths, as well as those of our technology partners. These services and related products are modest in cost to the customer relative to other well construction expenditures but have a high cost of failure and are, therefore, mission critical to our customers’ outcomes. We believe our customers have come to depend on our decades of field experience to execute on some of the most challenging problems they face. We believe we are well positioned as a company to service customers when they are drilling and completing complex wells, and remediating both newer and older legacy wells.</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invest in innovative technology and equipment designed for modern production techniques that increase efficiencies and production for our customers. North American unconventional onshore wells are increasingly characterized by extended lateral lengths, tighter spacing between hydraulic fracturing stages, increased cluster density and heightened proppant loads. Drilling and completion activities for wells in unconventional resource plays are extremely complex, and downhole challenges and operating costs increase as the complexity and lateral length of these wells increase. For these reasons, E&amp;P companies with complex wells increasingly prefer service providers with the scale and resources to deliver best-in-class solutions that evolve in real-time with the technology used for extraction. We believe we offer best-in-class service execution at the wellsite and innovative downhole technologies, positioning us to benefit from our ability to service the most technically complex wells where the potential for increased operating leverage is high due to the large number of stages per well.</w:t>
      </w:r>
    </w:p>
    <w:p>
      <w:pPr>
        <w:spacing w:after="0" w:line="23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We endeavor to create a next generation oilfield services company in terms of management controls, processes and operating metrics, and have driven these processes down through the operating management structure in every region, which we believe differentiates us from many of our competitors. This allows us to offer our customers in all of our geographic regions discrete, comprehensive and differentiated services that leverage both the technical expertise of our skilled engineers and our in-house research and development team.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changed its presentation of depreciation and amortization expense in the first quarter of 2021. Depreciation and amortization expense is presented separately from cost of sales and selling, general, and administrative expenses. Prior period results have been reclassified to conform with current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7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During the third quarter of 2020, the Company changed its presentation of reportable segments related to the allocation of corporate overhead costs to reflect the presentation used by the Company's chief operational decision-making group ("CODM") to make decisions about resources to be allocated to the Company’s reportable segments and to assess segment performance. Historically, and through July 31, 2020, the Company’s total corporate overhead costs were allocated and reported within each reportable segment. Starting in the third quarter of 2020, the Company changed the corporate overhead allocation methodology to only include corporate costs incurred on behalf of its operating segments, which includes accounts payable, accounts receivable, insurance, audit, supply chain, health, safety and environmental and others. The remaining unallocated corporate costs are reported as a reconciling item in the Company’s segment reporting disclosures. See Note 14 to the condensed consolidated financial statements for additional information. As a result of the change in presentation, the total corporate overhead costs allocated for the three and six months ended July 31, 2020 to the Company’s three reportable segments increased by $6.5 and decreased by $2.3,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Company also changed its presentation of service offering revenues. Historically, and through January 31, 2020, the Company’s service offering revenues included revenues from the completion, production and intervention market types within segment reporting. During the third quarter of 2020, the Company changed the presentation of its service offering revenues by separately reporting a drilling market type revenue, which includes directional drilling, drilling accommodation units and related drilling support services. The reclassifications are retroactively reported in the Company’s segment reporting disclosures to reflect the drilling revenue change and use of the information by the Company’s CODM. For the three and six months ended July 31, 2020, the total drilling revenues reported within segment reporting was $3.7 and $10.6, respectively.</w:t>
      </w:r>
    </w:p>
    <w:p>
      <w:pPr>
        <w:spacing w:after="0" w:line="235"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These changes in the Company’s corporate allocation method and service offering revenue disclosures have no net impact to the condensed consolidated financial statements. The change better reflects the CODM’s philosophy on assessing performance and allocating resources as well as improves the Company’s comparability to its peer group.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and Outlook</w:t>
      </w:r>
    </w:p>
    <w:p>
      <w:pPr>
        <w:spacing w:after="0" w:line="27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Market demand for our services during 2020 was challenged due to the COVID-19 pandemic and macro supply and demand concerns. While the extent and duration of the continued global impact of the COVID-19 pandemic is unknown, economic activity has increased from the April 2020 lows, and signs of a potential global economic recovery in fiscal 2021 have emerged, driven by the rollout of COVID-19 vaccines, fiscal and monetary stimulus policies, and pent-up demand for goods and services.</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Despite the market headwinds experienced in 2020, the Company remained focused on building a leaner and more profitable set of service offerings, which allowed us to make meaningful positive impacts to our revenue, operating margins, cash flows and Adjusted EBITDA. We have taken, and are continuing to take, steps to reduce costs, including reductions in capital expenditures, as well as other workforce rightsizing and ongoing streamlining initiatives.</w:t>
      </w:r>
    </w:p>
    <w:p>
      <w:pPr>
        <w:spacing w:after="0" w:line="22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February of 2021, we experienced a material slow down due to the unprecedented Winter Storm Uri, the costliest winter storm in U.S. history. As a result of the storm conditions, our customers shut-in wells and delayed work, causing us at least seven days of lost revenue, primarily in the Permian and the Mid-continent regions.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So far in fiscal 2021, West Texas Intermediate ("WTI") prices have increased an incremental 21.7% from February 1 to April 30, and another 16.4% from April 30, to July 31. In response, the United States has continued to increase drilling and completion activity levels relative to where the market exited 2020. As of July 31, 2021, U.S. rig count was up to 488, an increase of 10.9% since April 30, 2021. However, we have continued to see U.S. shale operators consolidate within certain basins, particularly the Permian and Rocky Mountains, and many public operators have announced that they are targeting oil and gas production at the end of 2021 to be consistent with production levels at year end 2020.</w:t>
      </w:r>
    </w:p>
    <w:p>
      <w:pPr>
        <w:spacing w:after="0" w:line="23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Excluding the period impacted by Winter Storm Uri, we saw a meaningful increase in overall activity throughout the first and second quarters of 2021, as commodity prices remained constructive. Looking ahead to the remainder of fiscal 2021, provided that the impact of the COVID-19 pandemic lessens, economic activity continues to increase, and commodity prices remain strong, we expect to experience further increases in activity and corresponding improvements in the price of our product and services.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our diverse product and service offerings uniquely positions KLXE to respond to a rapidly evolving marketplace where we can provide a comprehensive suite of engineered solutions for our customers with one call and one master services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 and the Costs of Conducting Our Business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business strategy seeks to generate attractive returns on capital by providing differentiated services and prudently applying our cash flow to select targeted opportunities, with the potential to deliver high returns that we believe offer superior margins over the long-term and short payback periods. Our services generally require equipment that is less expensive to maintain and is operated by a smaller staff than many other oilfield service providers. As part of our returns-focused approach to capital spending, we are focused on efficiently utilizing capital to develop new products. We support our existing asset base with targeted investments in research and development, which we believe allows us to maintain a technical advantage over our competitors providing similar services using standard equipment.</w:t>
      </w:r>
    </w:p>
    <w:p>
      <w:pPr>
        <w:spacing w:after="0" w:line="2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Demand for services in the oil and natural gas industry is cyclical and subject to sudden and significant volatility. We remain focused on serving the needs of our customers by providing a broad portfolio of product service lines across all major basins, while preserving a solid balance sheet, maintaining sufficient operating liquidity and prudently managing our capital expenditures.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our operating cost structure is now materially lower than during historical financial reporting periods and the realization of the $46.0 of expected cost synergies associated with the Merger has further reduced our cost structure and afforded us greater flexibility to respond to changing industry conditions. The implementation of integrated, company-wide management information systems and processes provides more transparency to current operating performance and trends within each market where we compete and helps us more acutely scale our cost structure and pricing strategies on a market-by-market basis. The potential for further cost savings remains as we continue to refine and optimize the business moving forward. We believe our ability to differentiate ourselves on the basis of quality provides an opportunity for us to gain market share and increase our share of business with existing customers.</w:t>
      </w:r>
    </w:p>
    <w:p>
      <w:pPr>
        <w:spacing w:after="0" w:line="23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we have strong management systems in place which will allow us to manage our operating resources and associated expenses relative to market conditions. Historically, we believe our services generated margins superior to our competitors based upon the differential quality of our performance, and that these margins would contribute to future cash flow generation. The required investment in our business includes both working capital (principally for accounts receivable, inventory and accounts payable growth tied to increasing activity) and capital expenditures for both maintenance of existing assets and ultimately growth when economic returns justify the spending. Our required maintenance capital expenditures tend to be lower than other oilfield service providers due to the generally asset-light nature of our services, the younger average age of our assets and our ability to charge back a portion of asset maintenance to customers for a number of our assets.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Our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Financial Performance Indicators</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recognize the highly cyclical nature of our business and the need for metrics to (1) best measure the trends in our operations and (2) provide baselines and targets to assess the performance of our managers.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measures we believe most effective to achieve the above stated goals include:</w:t>
      </w:r>
    </w:p>
    <w:p>
      <w:pPr>
        <w:spacing w:after="0" w:line="230" w:lineRule="exact"/>
        <w:rPr>
          <w:sz w:val="20"/>
          <w:szCs w:val="20"/>
          <w:color w:val="auto"/>
        </w:rPr>
      </w:pPr>
    </w:p>
    <w:p>
      <w:pPr>
        <w:ind w:left="960" w:hanging="311"/>
        <w:spacing w:after="0"/>
        <w:tabs>
          <w:tab w:leader="none" w:pos="9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Revenue</w:t>
      </w:r>
    </w:p>
    <w:p>
      <w:pPr>
        <w:spacing w:after="0" w:line="113" w:lineRule="exact"/>
        <w:rPr>
          <w:rFonts w:ascii="Arial" w:cs="Arial" w:eastAsia="Arial" w:hAnsi="Arial"/>
          <w:sz w:val="18"/>
          <w:szCs w:val="18"/>
          <w:i w:val="1"/>
          <w:iCs w:val="1"/>
          <w:color w:val="auto"/>
        </w:rPr>
      </w:pPr>
    </w:p>
    <w:p>
      <w:pPr>
        <w:jc w:val="both"/>
        <w:ind w:left="980" w:hanging="331"/>
        <w:spacing w:after="0" w:line="271" w:lineRule="auto"/>
        <w:tabs>
          <w:tab w:leader="none" w:pos="975"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Adjusted Earnings before interest, taxes, depreciation and amortization ("Adjusted EBITDA")</w:t>
      </w:r>
      <w:r>
        <w:rPr>
          <w:rFonts w:ascii="Arial" w:cs="Arial" w:eastAsia="Arial" w:hAnsi="Arial"/>
          <w:sz w:val="17"/>
          <w:szCs w:val="17"/>
          <w:color w:val="auto"/>
        </w:rPr>
        <w:t>: Adjusted EBITDA is a supplemental</w:t>
      </w:r>
      <w:r>
        <w:rPr>
          <w:rFonts w:ascii="Arial" w:cs="Arial" w:eastAsia="Arial" w:hAnsi="Arial"/>
          <w:sz w:val="17"/>
          <w:szCs w:val="17"/>
          <w:i w:val="1"/>
          <w:iCs w:val="1"/>
          <w:color w:val="auto"/>
        </w:rPr>
        <w:t xml:space="preserve"> </w:t>
      </w:r>
      <w:r>
        <w:rPr>
          <w:rFonts w:ascii="Arial" w:cs="Arial" w:eastAsia="Arial" w:hAnsi="Arial"/>
          <w:sz w:val="17"/>
          <w:szCs w:val="17"/>
          <w:color w:val="auto"/>
        </w:rPr>
        <w:t>non-Generally Accepted Accounting Principles ("GAAP") financial measure that is used by management and external users of our financial statements, such as industry analysts, investors, lenders and rating agencies. Adjusted EBITDA is not a measure of net earnings or cash flows as determined by GAAP. We define Adjusted EBITDA as net earnings (loss) before interest, taxes, depreciation and amortization, further adjusted for (i) goodwill and/or long-lived asset impairment charges, (ii) stock-based compensation expense, (iii) restructuring charges, (iv) transaction and integration costs related to acquisitions and (v)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expenses or charges to exclude certain items that we believe are not reflective of ongoing performance of our business.</w:t>
      </w:r>
    </w:p>
    <w:p>
      <w:pPr>
        <w:spacing w:after="0" w:line="96" w:lineRule="exact"/>
        <w:rPr>
          <w:sz w:val="20"/>
          <w:szCs w:val="20"/>
          <w:color w:val="auto"/>
        </w:rPr>
      </w:pPr>
    </w:p>
    <w:p>
      <w:pPr>
        <w:ind w:left="980" w:right="20" w:hanging="331"/>
        <w:spacing w:after="0" w:line="276" w:lineRule="auto"/>
        <w:tabs>
          <w:tab w:leader="none" w:pos="975"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Adjusted EBITDA Margin: </w:t>
      </w:r>
      <w:r>
        <w:rPr>
          <w:rFonts w:ascii="Arial" w:cs="Arial" w:eastAsia="Arial" w:hAnsi="Arial"/>
          <w:sz w:val="18"/>
          <w:szCs w:val="18"/>
          <w:color w:val="auto"/>
        </w:rPr>
        <w:t>Adjusted EBITDA Margin is defined as Adjusted EBITDA, as defined above,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p>
    <w:p>
      <w:pPr>
        <w:spacing w:after="0" w:line="7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believe Adjusted EBITDA is useful because it allows us to supplement the GAAP measures in order to evaluate our operating performance and compare the results of our operations from period to period without regard to our financing methods or capital structure. We exclude the items listed above in arriving at Adjusted EBITDA (Loss) because these amounts can vary substantially from company to company within our industry depending upon accounting methods, book values of assets, capital structures and the method by which the assets were acquired. Adjusted EBITDA should not be considered as an alternative to, or more meaningful than, net (loss) earnings as determined in accordance with GAAP, or as an indicator of our operating performance or liquidity. Certain items excluded from Adjusted EBITDA are significant components in understanding and assessing a company’s financial performance, such as a company’s cost of capital and tax structure, as well as the historic costs of depreciable assets, none of which are components of Adjusted EBITDA. Our computations of Adjusted EBITDA may not be comparable to other similarly titled measures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July 31, 2021 Compared to Three Months Ended July 31, 2020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2021</w:t>
            </w:r>
          </w:p>
        </w:tc>
        <w:tc>
          <w:tcPr>
            <w:tcW w:w="140" w:type="dxa"/>
            <w:vAlign w:val="bottom"/>
          </w:tcPr>
          <w:p>
            <w:pPr>
              <w:spacing w:after="0"/>
              <w:rPr>
                <w:sz w:val="18"/>
                <w:szCs w:val="18"/>
                <w:color w:val="auto"/>
              </w:rPr>
            </w:pPr>
          </w:p>
        </w:tc>
        <w:tc>
          <w:tcPr>
            <w:tcW w:w="1660" w:type="dxa"/>
            <w:vAlign w:val="bottom"/>
          </w:tcPr>
          <w:p>
            <w:pPr>
              <w:jc w:val="right"/>
              <w:ind w:right="320"/>
              <w:spacing w:after="0"/>
              <w:rPr>
                <w:sz w:val="20"/>
                <w:szCs w:val="20"/>
                <w:color w:val="auto"/>
              </w:rPr>
            </w:pPr>
            <w:r>
              <w:rPr>
                <w:rFonts w:ascii="Arial" w:cs="Arial" w:eastAsia="Arial" w:hAnsi="Arial"/>
                <w:sz w:val="16"/>
                <w:szCs w:val="16"/>
                <w:b w:val="1"/>
                <w:bCs w:val="1"/>
                <w:color w:val="auto"/>
              </w:rPr>
              <w:t>July 31, 2020</w:t>
            </w:r>
          </w:p>
        </w:tc>
        <w:tc>
          <w:tcPr>
            <w:tcW w:w="12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18.0</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86.7 %</w:t>
            </w: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923.8 %</w:t>
            </w:r>
          </w:p>
        </w:tc>
      </w:tr>
      <w:tr>
        <w:trPr>
          <w:trHeight w:val="211"/>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Northeast/Mid-Con</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w:t>
            </w:r>
          </w:p>
        </w:tc>
        <w:tc>
          <w:tcPr>
            <w:tcW w:w="2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152.1 %</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209.1 %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For the quarter ended July 31, 2021, revenues were $111.9, an increase of $75.7, or 209.1%, as compared with the prior year period. Rocky Mountains segment revenue increased by $15.6, or 86.7%, Southwest segment revenue increased $38.8, or 923.8%, and Northeast/Mid-Con segment revenues increased by $21.3, or 152.1%. The increase in Rocky Mountains revenue was largely driven by an increase in completion and production activity. The increase in Southwest revenue was primarily driven by an increase in drilling and completion activity, largely attributable to the Merger. The increase in Northeast/Mid-Con revenue was driven by increased completion and drilling activity, largely attributable to the Merger.</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28.6%, 45.8%, 14.9% and 10.7%, respectively, to revenue for the three months ended July 31, 2021 and 10.2%, 53.3%, 22.7% and 13.8%, respectively, for the three months ended July 31, 2020. On a product line basis, drilling revenues increased by $28.3, or 764.9%, due to the directional drilling service revenues acquired in the Merger with QES. Completion, intervention and production services revenues increased by approximately $31.9 or 165.3%, $7.0 or 140.0% and $8.5 or 103.7%, respectively, as compared to the same period in the prior year.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quarter ended July 31, 2021, cost of sales were $99.2, or 88.7% of revenues, as compared to the prior year period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$37.9, or 104.7% of revenues. Cost of sales as a percentage of revenues decreased primarily due to synergies implemented related to consolidating operating facilities and improved utilization of assets and personnel.</w:t>
      </w:r>
    </w:p>
    <w:p>
      <w:pPr>
        <w:spacing w:after="0" w:line="18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quarter ended July 31, 2021, selling, general and administrative (“SG&amp;A”) expenses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$14.3, or 12.8% of revenues, as compared with $39.1, or 108.0% of revenues, in the prior year period. Decrease in SG&amp;A expense driven by operating leverage associated with the successful integration of the Merger and associated synergy implementation resulting in lower headcount and fixed costs, as compared to the prior year period. Additionally, SG&amp;A expenses for the quarter ended July 31, 2020, included $26.2 of Merger and integration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r>
        <w:rPr>
          <w:rFonts w:ascii="Arial" w:cs="Arial" w:eastAsia="Arial" w:hAnsi="Arial"/>
          <w:sz w:val="18"/>
          <w:szCs w:val="18"/>
          <w:color w:val="auto"/>
        </w:rPr>
        <w:t>. The following is a summary of operating loss by segment:</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2021</w:t>
            </w:r>
          </w:p>
        </w:tc>
        <w:tc>
          <w:tcPr>
            <w:tcW w:w="140" w:type="dxa"/>
            <w:vAlign w:val="bottom"/>
          </w:tcPr>
          <w:p>
            <w:pPr>
              <w:spacing w:after="0"/>
              <w:rPr>
                <w:sz w:val="18"/>
                <w:szCs w:val="18"/>
                <w:color w:val="auto"/>
              </w:rPr>
            </w:pPr>
          </w:p>
        </w:tc>
        <w:tc>
          <w:tcPr>
            <w:tcW w:w="1660" w:type="dxa"/>
            <w:vAlign w:val="bottom"/>
          </w:tcPr>
          <w:p>
            <w:pPr>
              <w:jc w:val="right"/>
              <w:ind w:right="320"/>
              <w:spacing w:after="0"/>
              <w:rPr>
                <w:sz w:val="20"/>
                <w:szCs w:val="20"/>
                <w:color w:val="auto"/>
              </w:rPr>
            </w:pPr>
            <w:r>
              <w:rPr>
                <w:rFonts w:ascii="Arial" w:cs="Arial" w:eastAsia="Arial" w:hAnsi="Arial"/>
                <w:sz w:val="16"/>
                <w:szCs w:val="16"/>
                <w:b w:val="1"/>
                <w:bCs w:val="1"/>
                <w:color w:val="auto"/>
              </w:rPr>
              <w:t>July 31, 2020</w:t>
            </w:r>
          </w:p>
        </w:tc>
        <w:tc>
          <w:tcPr>
            <w:tcW w:w="12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(6.7)</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67.2 %</w:t>
            </w: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48.6 %</w:t>
            </w: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Northeast/Mid-Con</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29.6 %</w:t>
            </w:r>
          </w:p>
        </w:tc>
      </w:tr>
      <w:tr>
        <w:trPr>
          <w:trHeight w:val="217"/>
        </w:trPr>
        <w:tc>
          <w:tcPr>
            <w:tcW w:w="550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0"/>
                <w:szCs w:val="20"/>
                <w:color w:val="auto"/>
                <w:vertAlign w:val="superscript"/>
              </w:rPr>
              <w:t>(1)</w:t>
            </w:r>
          </w:p>
        </w:tc>
        <w:tc>
          <w:tcPr>
            <w:tcW w:w="2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(210.8)%</w:t>
            </w:r>
          </w:p>
        </w:tc>
      </w:tr>
      <w:tr>
        <w:trPr>
          <w:trHeight w:val="207"/>
        </w:trPr>
        <w:tc>
          <w:tcPr>
            <w:tcW w:w="5500" w:type="dxa"/>
            <w:vAlign w:val="bottom"/>
          </w:tcPr>
          <w:p>
            <w:pPr>
              <w:ind w:left="20"/>
              <w:spacing w:after="0" w:line="207" w:lineRule="exact"/>
              <w:rPr>
                <w:sz w:val="20"/>
                <w:szCs w:val="20"/>
                <w:color w:val="auto"/>
              </w:rPr>
            </w:pPr>
            <w:r>
              <w:rPr>
                <w:rFonts w:ascii="Arial" w:cs="Arial" w:eastAsia="Arial" w:hAnsi="Arial"/>
                <w:sz w:val="16"/>
                <w:szCs w:val="16"/>
                <w:color w:val="auto"/>
              </w:rPr>
              <w:t>Total operating loss</w:t>
            </w:r>
            <w:r>
              <w:rPr>
                <w:rFonts w:ascii="Arial" w:cs="Arial" w:eastAsia="Arial" w:hAnsi="Arial"/>
                <w:sz w:val="20"/>
                <w:szCs w:val="20"/>
                <w:color w:val="auto"/>
                <w:vertAlign w:val="superscript"/>
              </w:rPr>
              <w:t>(1)</w:t>
            </w: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(32.0)%</w:t>
            </w:r>
          </w:p>
        </w:tc>
      </w:tr>
      <w:tr>
        <w:trPr>
          <w:trHeight w:val="20"/>
        </w:trPr>
        <w:tc>
          <w:tcPr>
            <w:tcW w:w="5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93" w:lineRule="exact"/>
        <w:rPr>
          <w:sz w:val="20"/>
          <w:szCs w:val="20"/>
          <w:color w:val="auto"/>
        </w:rPr>
      </w:pPr>
    </w:p>
    <w:p>
      <w:pPr>
        <w:ind w:left="280" w:hanging="273"/>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bargain purchase gain of $41.1 during the three months ended July 31, 2020.</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6"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quarter ended July 31, 2021, operating loss was $16.9 compared to operating loss of $12.8 in the prior year period, due to a non-recurring bargain purchase gain in the quarter end July 31, 2020 of $41.1 offset by synergies implemented related to integration of the Merger and consolidating operating facilities and headcount.</w:t>
      </w:r>
    </w:p>
    <w:p>
      <w:pPr>
        <w:spacing w:after="0" w:line="2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Rocky Mountains segment operating loss was $2.2, Southwest segment operating loss was $3.7, and Northeast/Mid-Con segment operating loss was $3.8 for the three months ended July 31, 2021, in each case primarily driven by synergies implemented related to consolidating operating facilities.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quarter ended July 31, 2021, income tax expense was $0.1, as compared to income tax expense of nil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17"/>
          <w:szCs w:val="17"/>
          <w:b w:val="1"/>
          <w:bCs w:val="1"/>
          <w:i w:val="1"/>
          <w:iCs w:val="1"/>
          <w:color w:val="auto"/>
        </w:rPr>
        <w:t>Net loss</w:t>
      </w:r>
      <w:r>
        <w:rPr>
          <w:rFonts w:ascii="Arial" w:cs="Arial" w:eastAsia="Arial" w:hAnsi="Arial"/>
          <w:sz w:val="17"/>
          <w:szCs w:val="17"/>
          <w:color w:val="auto"/>
        </w:rPr>
        <w:t>. For the quarter ended July 31, 2021, net loss was $25.0, as compared to $20.4 in the prior year period, due to a non-recurring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bargain purchase gain in the quarter ended July 31, 2020 of $41.1 offset by synergies implemented related to consolidating operating facilities.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July 31, 2021 Compared to Six Months Ended July 31, 2020</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The following is a summary of revenue by segment:</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July 31, 2021</w:t>
            </w:r>
          </w:p>
        </w:tc>
        <w:tc>
          <w:tcPr>
            <w:tcW w:w="200" w:type="dxa"/>
            <w:vAlign w:val="bottom"/>
          </w:tcPr>
          <w:p>
            <w:pPr>
              <w:spacing w:after="0"/>
              <w:rPr>
                <w:sz w:val="18"/>
                <w:szCs w:val="18"/>
                <w:color w:val="auto"/>
              </w:rPr>
            </w:pPr>
          </w:p>
        </w:tc>
        <w:tc>
          <w:tcPr>
            <w:tcW w:w="1600" w:type="dxa"/>
            <w:vAlign w:val="bottom"/>
          </w:tcPr>
          <w:p>
            <w:pPr>
              <w:jc w:val="right"/>
              <w:ind w:right="320"/>
              <w:spacing w:after="0"/>
              <w:rPr>
                <w:sz w:val="20"/>
                <w:szCs w:val="20"/>
                <w:color w:val="auto"/>
              </w:rPr>
            </w:pPr>
            <w:r>
              <w:rPr>
                <w:rFonts w:ascii="Arial" w:cs="Arial" w:eastAsia="Arial" w:hAnsi="Arial"/>
                <w:sz w:val="16"/>
                <w:szCs w:val="16"/>
                <w:b w:val="1"/>
                <w:bCs w:val="1"/>
                <w:color w:val="auto"/>
              </w:rPr>
              <w:t>July 31, 2020</w:t>
            </w:r>
          </w:p>
        </w:tc>
        <w:tc>
          <w:tcPr>
            <w:tcW w:w="12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40" w:type="dxa"/>
            <w:vAlign w:val="bottom"/>
            <w:tcBorders>
              <w:top w:val="single" w:sz="8" w:color="auto"/>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0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57.9</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51.8</w:t>
            </w:r>
          </w:p>
        </w:tc>
        <w:tc>
          <w:tcPr>
            <w:tcW w:w="2040" w:type="dxa"/>
            <w:vAlign w:val="bottom"/>
            <w:gridSpan w:val="2"/>
          </w:tcPr>
          <w:p>
            <w:pPr>
              <w:jc w:val="right"/>
              <w:spacing w:after="0"/>
              <w:rPr>
                <w:sz w:val="20"/>
                <w:szCs w:val="20"/>
                <w:color w:val="auto"/>
              </w:rPr>
            </w:pPr>
            <w:r>
              <w:rPr>
                <w:rFonts w:ascii="Arial" w:cs="Arial" w:eastAsia="Arial" w:hAnsi="Arial"/>
                <w:sz w:val="16"/>
                <w:szCs w:val="16"/>
                <w:color w:val="auto"/>
              </w:rPr>
              <w:t>11.8 %</w:t>
            </w:r>
          </w:p>
        </w:tc>
      </w:tr>
      <w:tr>
        <w:trPr>
          <w:trHeight w:val="217"/>
        </w:trPr>
        <w:tc>
          <w:tcPr>
            <w:tcW w:w="55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183.2 %</w:t>
            </w:r>
          </w:p>
        </w:tc>
      </w:tr>
      <w:tr>
        <w:trPr>
          <w:trHeight w:val="211"/>
        </w:trPr>
        <w:tc>
          <w:tcPr>
            <w:tcW w:w="55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Northeast/Mid-Con</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20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64.4 %</w:t>
            </w:r>
          </w:p>
        </w:tc>
      </w:tr>
      <w:tr>
        <w:trPr>
          <w:trHeight w:val="235"/>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70.1 %</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bl>
    <w:p>
      <w:pPr>
        <w:spacing w:after="0" w:line="320"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For the six months ended July 31, 2021, revenues were $ 202.7, an increase of $ 83.5, or 70.1%, as compared with the prior year period. Rocky Mountains segment revenue increased by $6.1, or 11.8%, Southwest segment revenue increased $52.4, or 183.2%, and Northeast/Mid-Con segment revenues increased by $25.0, or 64.4%. The increase in Rocky Mountains revenue was largely driven by an increase in completion and production activity. The increase in Southwest revenue was primarily driven by an increase in drilling and completion activity, largely attributable to the Merger. The increase in Northeast/Mid-Con revenue was driven by increased completion and drilling activity, largely attributable to the Merger.</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a product line basis, drilling, completion, production and intervention services contributed approximately 28.0%, 47.4%, 14.1% and 10.5%, respectively, to revenue for the six months ended July 31, 2021 and 8.9%, 56.1%, 20.1% and 14.9%, respectively, for the six months ended July 31, 2020. On a product line basis, drilling revenues increased by $46.1, or 434.9%, due to the directional drilling service revenues acquired in the Merger with QES. Completion, production, and intervention services revenues increased by approximately $29.2 or 43.6%, $4.7 or 19.7% and $3.5 or 19.7%, respectively, as compared to the same period in the prior year.</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Cost of sales</w:t>
      </w:r>
      <w:r>
        <w:rPr>
          <w:rFonts w:ascii="Arial" w:cs="Arial" w:eastAsia="Arial" w:hAnsi="Arial"/>
          <w:sz w:val="18"/>
          <w:szCs w:val="18"/>
          <w:color w:val="auto"/>
        </w:rPr>
        <w:t>. For the six months ended July 31, 2021, cost of sales were $187.8, or 92.6% of revenues, as compared to the prior year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$114.9, or 96.4% of revenues. Cost of sales as a percentage of revenues decreased primarily due to synergies implemented related to consolidating operating facilities and improved utilization of assets and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For the six months ended July 31, 2021, SG&amp;A expenses were $29.3, or 14.5% of revenues,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compared with $55.5, or 46.6% of revenues, in the prior year period. Decrease in SG&amp;A expense driven by operating leverage associated with the successful integration of the Merger and associated synergy implementation resulting in lower headcount and fixed costs, as compared to the prior year period. Additionally, SG&amp;A expenses for the six months ended July 31, 2020, included $26.2 of Merger and integration costs.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loss</w:t>
      </w:r>
      <w:r>
        <w:rPr>
          <w:rFonts w:ascii="Arial" w:cs="Arial" w:eastAsia="Arial" w:hAnsi="Arial"/>
          <w:sz w:val="18"/>
          <w:szCs w:val="18"/>
          <w:color w:val="auto"/>
        </w:rPr>
        <w:t>. The following is a summary of operating loss by segment:</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spacing w:after="0"/>
              <w:rPr>
                <w:sz w:val="18"/>
                <w:szCs w:val="18"/>
                <w:color w:val="auto"/>
              </w:rPr>
            </w:pPr>
          </w:p>
        </w:tc>
      </w:tr>
      <w:tr>
        <w:trPr>
          <w:trHeight w:val="210"/>
        </w:trPr>
        <w:tc>
          <w:tcPr>
            <w:tcW w:w="5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2021</w:t>
            </w:r>
          </w:p>
        </w:tc>
        <w:tc>
          <w:tcPr>
            <w:tcW w:w="180" w:type="dxa"/>
            <w:vAlign w:val="bottom"/>
          </w:tcPr>
          <w:p>
            <w:pPr>
              <w:spacing w:after="0"/>
              <w:rPr>
                <w:sz w:val="18"/>
                <w:szCs w:val="18"/>
                <w:color w:val="auto"/>
              </w:rPr>
            </w:pPr>
          </w:p>
        </w:tc>
        <w:tc>
          <w:tcPr>
            <w:tcW w:w="1620" w:type="dxa"/>
            <w:vAlign w:val="bottom"/>
          </w:tcPr>
          <w:p>
            <w:pPr>
              <w:jc w:val="right"/>
              <w:ind w:right="320"/>
              <w:spacing w:after="0"/>
              <w:rPr>
                <w:sz w:val="20"/>
                <w:szCs w:val="20"/>
                <w:color w:val="auto"/>
              </w:rPr>
            </w:pPr>
            <w:r>
              <w:rPr>
                <w:rFonts w:ascii="Arial" w:cs="Arial" w:eastAsia="Arial" w:hAnsi="Arial"/>
                <w:sz w:val="16"/>
                <w:szCs w:val="16"/>
                <w:b w:val="1"/>
                <w:bCs w:val="1"/>
                <w:color w:val="auto"/>
              </w:rPr>
              <w:t>July 31, 2020</w:t>
            </w:r>
          </w:p>
        </w:tc>
        <w:tc>
          <w:tcPr>
            <w:tcW w:w="100" w:type="dxa"/>
            <w:vAlign w:val="bottom"/>
          </w:tcPr>
          <w:p>
            <w:pPr>
              <w:spacing w:after="0"/>
              <w:rPr>
                <w:sz w:val="18"/>
                <w:szCs w:val="18"/>
                <w:color w:val="auto"/>
              </w:rPr>
            </w:pPr>
          </w:p>
        </w:tc>
        <w:tc>
          <w:tcPr>
            <w:tcW w:w="1920" w:type="dxa"/>
            <w:vAlign w:val="bottom"/>
          </w:tcPr>
          <w:p>
            <w:pPr>
              <w:jc w:val="right"/>
              <w:ind w:right="500"/>
              <w:spacing w:after="0"/>
              <w:rPr>
                <w:sz w:val="20"/>
                <w:szCs w:val="20"/>
                <w:color w:val="auto"/>
              </w:rPr>
            </w:pPr>
            <w:r>
              <w:rPr>
                <w:rFonts w:ascii="Arial" w:cs="Arial" w:eastAsia="Arial" w:hAnsi="Arial"/>
                <w:sz w:val="16"/>
                <w:szCs w:val="16"/>
                <w:b w:val="1"/>
                <w:bCs w:val="1"/>
                <w:color w:val="auto"/>
              </w:rPr>
              <w:t>% Change</w:t>
            </w:r>
          </w:p>
        </w:tc>
      </w:tr>
      <w:tr>
        <w:trPr>
          <w:trHeight w:val="194"/>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loss:</w:t>
            </w:r>
          </w:p>
        </w:tc>
        <w:tc>
          <w:tcPr>
            <w:tcW w:w="260" w:type="dxa"/>
            <w:vAlign w:val="bottom"/>
            <w:tcBorders>
              <w:top w:val="single" w:sz="8" w:color="auto"/>
            </w:tcBorders>
            <w:shd w:val="clear" w:color="auto" w:fill="CCEEFF"/>
          </w:tcPr>
          <w:p>
            <w:pPr>
              <w:spacing w:after="0"/>
              <w:rPr>
                <w:sz w:val="16"/>
                <w:szCs w:val="16"/>
                <w:color w:val="auto"/>
              </w:rPr>
            </w:pPr>
          </w:p>
        </w:tc>
        <w:tc>
          <w:tcPr>
            <w:tcW w:w="15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20" w:type="dxa"/>
            <w:vAlign w:val="bottom"/>
            <w:tcBorders>
              <w:top w:val="single" w:sz="8" w:color="auto"/>
            </w:tcBorders>
            <w:shd w:val="clear" w:color="auto" w:fill="CCEEFF"/>
          </w:tcPr>
          <w:p>
            <w:pPr>
              <w:spacing w:after="0"/>
              <w:rPr>
                <w:sz w:val="16"/>
                <w:szCs w:val="16"/>
                <w:color w:val="auto"/>
              </w:rPr>
            </w:pPr>
          </w:p>
        </w:tc>
      </w:tr>
      <w:tr>
        <w:trPr>
          <w:trHeight w:val="211"/>
        </w:trPr>
        <w:tc>
          <w:tcPr>
            <w:tcW w:w="5520" w:type="dxa"/>
            <w:vAlign w:val="bottom"/>
          </w:tcPr>
          <w:p>
            <w:pPr>
              <w:ind w:left="240"/>
              <w:spacing w:after="0"/>
              <w:rPr>
                <w:sz w:val="20"/>
                <w:szCs w:val="20"/>
                <w:color w:val="auto"/>
              </w:rPr>
            </w:pPr>
            <w:r>
              <w:rPr>
                <w:rFonts w:ascii="Arial" w:cs="Arial" w:eastAsia="Arial" w:hAnsi="Arial"/>
                <w:sz w:val="16"/>
                <w:szCs w:val="16"/>
                <w:color w:val="auto"/>
              </w:rPr>
              <w:t>Rocky Mountains</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(40.7)</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76.9 %</w:t>
            </w:r>
          </w:p>
        </w:tc>
      </w:tr>
      <w:tr>
        <w:trPr>
          <w:trHeight w:val="217"/>
        </w:trPr>
        <w:tc>
          <w:tcPr>
            <w:tcW w:w="55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Southwest</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89.4 %</w:t>
            </w:r>
          </w:p>
        </w:tc>
      </w:tr>
      <w:tr>
        <w:trPr>
          <w:trHeight w:val="211"/>
        </w:trPr>
        <w:tc>
          <w:tcPr>
            <w:tcW w:w="5520" w:type="dxa"/>
            <w:vAlign w:val="bottom"/>
          </w:tcPr>
          <w:p>
            <w:pPr>
              <w:ind w:left="240"/>
              <w:spacing w:after="0"/>
              <w:rPr>
                <w:sz w:val="20"/>
                <w:szCs w:val="20"/>
                <w:color w:val="auto"/>
              </w:rPr>
            </w:pPr>
            <w:r>
              <w:rPr>
                <w:rFonts w:ascii="Arial" w:cs="Arial" w:eastAsia="Arial" w:hAnsi="Arial"/>
                <w:sz w:val="16"/>
                <w:szCs w:val="16"/>
                <w:color w:val="auto"/>
              </w:rPr>
              <w:t>Northeast/Mid-Con</w:t>
            </w:r>
          </w:p>
        </w:tc>
        <w:tc>
          <w:tcPr>
            <w:tcW w:w="2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(100.1)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89.4 %</w:t>
            </w:r>
          </w:p>
        </w:tc>
      </w:tr>
      <w:tr>
        <w:trPr>
          <w:trHeight w:val="217"/>
        </w:trPr>
        <w:tc>
          <w:tcPr>
            <w:tcW w:w="5520" w:type="dxa"/>
            <w:vAlign w:val="bottom"/>
            <w:shd w:val="clear" w:color="auto" w:fill="CCEEFF"/>
          </w:tcPr>
          <w:p>
            <w:pPr>
              <w:ind w:left="240"/>
              <w:spacing w:after="0" w:line="217" w:lineRule="exact"/>
              <w:rPr>
                <w:sz w:val="20"/>
                <w:szCs w:val="20"/>
                <w:color w:val="auto"/>
              </w:rPr>
            </w:pPr>
            <w:r>
              <w:rPr>
                <w:rFonts w:ascii="Arial" w:cs="Arial" w:eastAsia="Arial" w:hAnsi="Arial"/>
                <w:sz w:val="16"/>
                <w:szCs w:val="16"/>
                <w:color w:val="auto"/>
              </w:rPr>
              <w:t>Corporate and other</w:t>
            </w:r>
            <w:r>
              <w:rPr>
                <w:rFonts w:ascii="Arial" w:cs="Arial" w:eastAsia="Arial" w:hAnsi="Arial"/>
                <w:sz w:val="20"/>
                <w:szCs w:val="20"/>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(534.8)%</w:t>
            </w:r>
          </w:p>
        </w:tc>
      </w:tr>
      <w:tr>
        <w:trPr>
          <w:trHeight w:val="207"/>
        </w:trPr>
        <w:tc>
          <w:tcPr>
            <w:tcW w:w="5520" w:type="dxa"/>
            <w:vAlign w:val="bottom"/>
          </w:tcPr>
          <w:p>
            <w:pPr>
              <w:ind w:left="20"/>
              <w:spacing w:after="0" w:line="207" w:lineRule="exact"/>
              <w:rPr>
                <w:sz w:val="20"/>
                <w:szCs w:val="20"/>
                <w:color w:val="auto"/>
              </w:rPr>
            </w:pPr>
            <w:r>
              <w:rPr>
                <w:rFonts w:ascii="Arial" w:cs="Arial" w:eastAsia="Arial" w:hAnsi="Arial"/>
                <w:sz w:val="16"/>
                <w:szCs w:val="16"/>
                <w:color w:val="auto"/>
              </w:rPr>
              <w:t>Total operating loss</w:t>
            </w:r>
            <w:r>
              <w:rPr>
                <w:rFonts w:ascii="Arial" w:cs="Arial" w:eastAsia="Arial" w:hAnsi="Arial"/>
                <w:sz w:val="20"/>
                <w:szCs w:val="20"/>
                <w:color w:val="auto"/>
                <w:vertAlign w:val="superscript"/>
              </w:rPr>
              <w:t>(1)</w:t>
            </w:r>
          </w:p>
        </w:tc>
        <w:tc>
          <w:tcPr>
            <w:tcW w:w="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81.6 %</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(1) Includes bargain purchase gain of $41.1 during the six months ended July 31, 2020.</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six months ended July 31, 2021, operating loss was $45.8 compared to operating loss of $248.4 in the prior year period, due to a decrease in impairment and other charges of $207.9 and synergies implemented related to integration of the Merger and consolidating operating facilities and headcount.</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Rocky Mountains segment operating loss was $9.4, Southwest segment operating loss was $11.2, and Northeast/Mid-Con segment operating loss was $10.6 for the six months ended July 31, 2021, in each case primarily driven by lower impairment and other charges.</w:t>
      </w: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Income tax expense</w:t>
      </w:r>
      <w:r>
        <w:rPr>
          <w:rFonts w:ascii="Arial" w:cs="Arial" w:eastAsia="Arial" w:hAnsi="Arial"/>
          <w:sz w:val="18"/>
          <w:szCs w:val="18"/>
          <w:color w:val="auto"/>
        </w:rPr>
        <w:t>. For the six months ended July 31, 2021, income tax expense was $0.2, as compared to income tax expense of $0.1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prior year period, and was comprised primarily of state and local taxes. The Company did not recognize a tax benefit on its year-to-date losses because it has a valuation allowance against its deferred tax balances.</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Net loss</w:t>
      </w:r>
      <w:r>
        <w:rPr>
          <w:rFonts w:ascii="Arial" w:cs="Arial" w:eastAsia="Arial" w:hAnsi="Arial"/>
          <w:sz w:val="18"/>
          <w:szCs w:val="18"/>
          <w:color w:val="auto"/>
        </w:rPr>
        <w:t>. For the six months ended July 31, 2021, net loss was $61.8, as compared to $263.5 in the prior year period, primarily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impairment and other charges of $207.9.</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require capital to fund ongoing operations, including maintenance expenditures on our existing fleet and equipment, organic growth initiatives, investments and acquisitions. Our primary sources of liquidity to date have been capital contributions from our equity and note holders and borrowings under the Company’s ABL Facility and cash flows from operations. At July 31, 2021, we had $39.4 of cash and cash equivalents and $17.8 available on the July 31, 2021 ABL Facility Borrowing Base Certificate, net of $10.0 FCCR holdback, which resulted in a total liquidity position of $57.2.</w:t>
      </w:r>
    </w:p>
    <w:p>
      <w:pPr>
        <w:spacing w:after="0" w:line="23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Our cash flow used in operations for the six months ended July 31, 2021 was approximately $37.4 as compared to approximately $15.5 used in operations for the same period in 2020. In response to declining customer activity and commodity price instability, in the third quarter of 2020 we implemented actions to achieve our previously announced annualized run-rate cost synergies. By the end of first quarter of 2021, the Company implemented approximately $46.0 of annualized cost savings and also identified and actioned an additional $4.4 of annualized cost savings. However, there is no certainty that cash flow will improve or that we will have positive operating cash flow for a sustained period of time. Our operating cash flow is sensitive to many variables, the most significant of which are utilization and profitability, the timing of billing and customer collections, payments to our vendors, repair and maintenance costs and personnel, any of which may affect our available cash. The COVID-19 pandemic and the related significant decrease in the price of oil resulted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 decrease in demand for our services in the last part of the first quarter through the third quarter of 2020. We started to see a moderate increase in overall activity throughout the first and second quarters of 2021, which we expect to continue into the remainder of the fiscal year. Additionally, should our customers experience financial distress due to the current market conditions, they could default on their payments owed to us, which would affect our cash flows and liquidity. As of July 31, 2021, we have $4.6 of trade accounts receivable reserved for customers in bankruptcy, primarily related to Magellan. See Part II, Item 1 "Legal Proceedings" for more information regarding the amount due from Magellan.</w:t>
      </w:r>
    </w:p>
    <w:p>
      <w:pPr>
        <w:spacing w:after="0" w:line="23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primary use of capital resources has been for funding working capital and investing in property and equipment used to provide our services. We actively manage our capital spending and are focused on required maintenance spending. In addition, we regularly monitor potential sources of capital, including equity and debt financings, in an effort to meet our planned capital expenditure and liquidity requirements and reduce cost. The COVID-19 pandemic, coupled with the global crude oil supply and demand imbalance and the resulting volatility in U.S. onshore oil and gas activity, has significantly affected the value of our common stock, which, without a viable recovery and uptick in the demand for our services, may reduce our ability to access capital in the bank and capital markets, including through equity or debt offerings.</w:t>
      </w:r>
    </w:p>
    <w:p>
      <w:pPr>
        <w:spacing w:after="0" w:line="22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July 31, 2021, we had $39.4 of cash and cash equivalents. Cash on hand at July 31, 2021 decreased by $7.7, as compared with $47.1 cash on hand at January 31, 2021 as a result of $37.4 of cash used in operating activities offset by $2.9 of cash provided by investing activities and $26.8 of cash provided by financing activities. Our liquidity requirements consist of working capital needs, debt service obligations and ongoing capital expenditure requirements. Our primary requirements for working capital are directly related to the activity level of our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flows for the periods presented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tcPr>
          <w:p>
            <w:pPr>
              <w:spacing w:after="0"/>
              <w:rPr>
                <w:sz w:val="18"/>
                <w:szCs w:val="18"/>
                <w:color w:val="auto"/>
              </w:rPr>
            </w:pPr>
          </w:p>
        </w:tc>
        <w:tc>
          <w:tcPr>
            <w:tcW w:w="3620" w:type="dxa"/>
            <w:vAlign w:val="bottom"/>
            <w:tcBorders>
              <w:bottom w:val="single" w:sz="8" w:color="auto"/>
            </w:tcBorders>
            <w:gridSpan w:val="4"/>
          </w:tcPr>
          <w:p>
            <w:pPr>
              <w:jc w:val="right"/>
              <w:ind w:right="800"/>
              <w:spacing w:after="0"/>
              <w:rPr>
                <w:sz w:val="20"/>
                <w:szCs w:val="20"/>
                <w:color w:val="auto"/>
              </w:rPr>
            </w:pPr>
            <w:r>
              <w:rPr>
                <w:rFonts w:ascii="Arial" w:cs="Arial" w:eastAsia="Arial" w:hAnsi="Arial"/>
                <w:sz w:val="16"/>
                <w:szCs w:val="16"/>
                <w:b w:val="1"/>
                <w:bCs w:val="1"/>
                <w:color w:val="auto"/>
              </w:rPr>
              <w:t>Six Months Ended</w:t>
            </w:r>
          </w:p>
        </w:tc>
        <w:tc>
          <w:tcPr>
            <w:tcW w:w="48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2021</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July 31, 2020</w:t>
            </w:r>
          </w:p>
        </w:tc>
        <w:tc>
          <w:tcPr>
            <w:tcW w:w="480" w:type="dxa"/>
            <w:vAlign w:val="bottom"/>
            <w:tcBorders>
              <w:bottom w:val="single" w:sz="8" w:color="auto"/>
            </w:tcBorders>
          </w:tcPr>
          <w:p>
            <w:pPr>
              <w:spacing w:after="0"/>
              <w:rPr>
                <w:sz w:val="18"/>
                <w:szCs w:val="18"/>
                <w:color w:val="auto"/>
              </w:rPr>
            </w:pPr>
          </w:p>
        </w:tc>
      </w:tr>
      <w:tr>
        <w:trPr>
          <w:trHeight w:val="208"/>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r>
      <w:tr>
        <w:trPr>
          <w:trHeight w:val="211"/>
        </w:trPr>
        <w:tc>
          <w:tcPr>
            <w:tcW w:w="7140" w:type="dxa"/>
            <w:vAlign w:val="bottom"/>
          </w:tcPr>
          <w:p>
            <w:pPr>
              <w:ind w:left="20"/>
              <w:spacing w:after="0"/>
              <w:rPr>
                <w:sz w:val="20"/>
                <w:szCs w:val="20"/>
                <w:color w:val="auto"/>
              </w:rPr>
            </w:pPr>
            <w:r>
              <w:rPr>
                <w:rFonts w:ascii="Arial" w:cs="Arial" w:eastAsia="Arial" w:hAnsi="Arial"/>
                <w:sz w:val="16"/>
                <w:szCs w:val="16"/>
                <w:color w:val="auto"/>
              </w:rPr>
              <w:t>Net cash provided by (used in) investing activities</w:t>
            </w: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 financing activities</w:t>
            </w: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2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r>
      <w:tr>
        <w:trPr>
          <w:trHeight w:val="20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change in cash</w:t>
            </w:r>
          </w:p>
        </w:tc>
        <w:tc>
          <w:tcPr>
            <w:tcW w:w="15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r>
      <w:tr>
        <w:trPr>
          <w:trHeight w:val="23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balance end of period</w:t>
            </w:r>
          </w:p>
        </w:tc>
        <w:tc>
          <w:tcPr>
            <w:tcW w:w="1520" w:type="dxa"/>
            <w:vAlign w:val="bottom"/>
            <w:tcBorders>
              <w:bottom w:val="single" w:sz="8" w:color="auto"/>
            </w:tcBorders>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0"/>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cash used in operating activities was $37.4 for the six months ended July 31, 2021, as compared to net cash used in operating activities of $15.5 for the six months ended July 31, 2020. The decrease in operating cash flows was primarily attributable to working capital investments associated with increased accounts receivable from associated increased revenue and utilization.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Net cash provided by investing activities was $2.9 for the six months ended July 31, 2021, as compared to net cash used in investing activities of $9.1 for the six months ended July 31, 2020. The cash flow provided by investing activities for the six months ended July 31, 2021 was primarily driven by sales of facilities, trucks and other idle assets resulting from the cost reduction initiatives, offset by critical maintenance capital spending tied to the operation of our existing asset base.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p>
      <w:pPr>
        <w:spacing w:after="0" w:line="2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Net cash provided by financing activities was $26.8 for the six months ended July 31, 2021, compared to net cash used in financing activities of $0.4 for the six months ended July 31, 2020. During the six months ended July 31, 2021, borrowings under the ABL facility were $30.0 offset by $1.8 paid on financed payables, $1.1</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3" w:name="page34"/>
    <w:bookmarkEnd w:id="33"/>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paid on capital lease obligations, and $0.3 paid for treasury shares in connection with the settlement of income tax and related benefit withholding obligations arising from vesting of restricted stock grants under the Company’s long-term incentive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Arrangements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entered into a $100.0 ABL Facility on August 10, 2018. The ABL Facility became effective on September 14, 2018 and is scheduled to mature in September 2023. Borrowings under the ABL Facility bear interest at a rate equal to the London Interbank Offered Rate (“LIBOR”) (as defined in the ABL Facility) plus the applicable margin (as defined). Availability under the ABL Facility is tied to a borrowing base formula and the ABL Facility has no maintenance financial covenants as long as we maintain a minimum level of borrowing availability. The ABL Facility is secured by, among other things, a first priority lien on our accounts receivable and inventory and contains customary conditions precedent to borrowing and affirmative and negative covenants. There was $30.0 outstanding under the ABL Facility as of July 31, 2021. Total letters of credit outstanding under the ABL Facility were $6.6 at July 31, 2021. The effective interest rate under the ABL Facility was approximately 4.75% on July 31, 2021. Accrued interest as of July 31, 2021 was $0.2.</w:t>
      </w:r>
    </w:p>
    <w:p>
      <w:pPr>
        <w:spacing w:after="0" w:line="23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ABL Facility includes a springing financial covenant which requires the Company’s consolidated FCCR to be at least 1.0 to 1.0 if availability falls below the greater of $10.0 or 15% of the borrowing base. At all times during the six months ended July 31, 2021, availability exceeded this threshold, and the Company was not subject to this financial covenant. As of July 31, 2021, the FCCR was below 1.0 to 1.0. The Company was in full compliance with its credit facility as of July 31, 2021.</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conjunction with the acquisition of Motley in 2018, we issued $250.0 principal amount of 11.5% senior secured notes due 2025 (the "Notes") offered pursuant to Rule 144A under the Securities Act of 1933 (as amended, the "Securities Act") and to certain non-U.S. persons outside the United States in compliance with Regulation S under the Securities Act. On a net basis, after taking into consideration the debt issuance costs for the Notes, total debt as of July 31, 2021 was $244.4. The Notes bear interest at an annual rate of 11.5%, payable semi-annually in arrears on May 1 and November 1. Accrued interest as of July 31, 2021 was $7.2.</w:t>
      </w:r>
    </w:p>
    <w:p>
      <w:pPr>
        <w:spacing w:after="0" w:line="23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believe our cash on hand, along with $17.8 of availability based on our July 31, 2021 borrowing base certificate under our $100.0 ABL Facility, net of $10.0 FCCR holdback, provides us with the ability to fund our operations, make planned capital expenditures, repurchase our debt or equity securities, meet our debt service obligations and provide funding for potential future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Requirements and Sources of Liquidity</w:t>
      </w:r>
    </w:p>
    <w:p>
      <w:pPr>
        <w:spacing w:after="0" w:line="2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Our capital expenditures were $5.7 during the six months ended July 31, 2021, compared to $8.5 in the six months ended July 31, 2020. We expect to incur a total between $14.0 to $16.0 in capital expenditures for the year ending January 31, 2022, based on current industry conditions. The nature of our capital expenditures is comprised of a base level of investment required to support our current operations and amounts related to growth and Company initiatives. Capital expenditures for growth and Company initiatives are discretionary. We continually evaluate our capital expenditures, and the amount we ultimately spend will depend on a number of factors, including expected industry activity levels and Company initiatives. We expect to fund future capital expenditures from cash on hand, the ABL Facility availability, Equity Distribution Agreement (defined below) and cash flow from operations. We have funds available of $17.8, net of $10.0 FCCR holdback, as of July 31, 2021, from our $100.0 ABL Facility (under which the amount of availability depends in part on a borrowing base tied to the aggregate amount of our accounts receivable and inventory satisfying specified criteria and our compliance with a minimum fixed charge coverage ratio).</w:t>
      </w:r>
    </w:p>
    <w:p>
      <w:pPr>
        <w:spacing w:after="0" w:line="224"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ability to satisfy our liquidity requirements depends on our future operating performance, which is affected by prevailing economic and political conditions, the level of drilling, completion, production and intervention services activity for North American onshore oil and natural gas resources, the continuation of the COVID-19 pandemic, and financial and business and other factors, many of which are beyond our control. We believe based on our current forecasts, our cash on hand, the ABL Facility availability, the Equity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Agreement (defined below), together with our cash flows, will provide us with the ability to fund our operations and make planned capital expenditures for at least the next 12 months.</w:t>
      </w:r>
    </w:p>
    <w:p>
      <w:pPr>
        <w:spacing w:after="0" w:line="22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The Company also continues to assess various sources and options including public and private financings to bolster its liquidity and believes that, given current market conditions, it has opportunities to do so.</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June 14, 2021, the Company entered into an Equity Distribution Agreement (the “Equity Distribution Agreement”) with Piper Sandler &amp; Co. as sales agent (the “Agent”). Pursuant to the terms of the Equity Distribution Agreement, the Company may sell from time to time through the Agent (the “Offering”) the Company’s common stock, par value $0.01 per share, having an aggregate offering price of up to $50.0 (the “Common Stock”).</w:t>
      </w:r>
    </w:p>
    <w:p>
      <w:pPr>
        <w:spacing w:after="0" w:line="229"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Any Common Stock offered and sold in the Offering will be issued pursuant to the Company’s shelf registration statement on Form S-3 (Registration No. 333-256149) filed with the SEC on May 14, 2021 and declared effective on June 11, 2021 (the “Registration Statement”), the prospectus supplement relating to the Offering filed with the SEC on June 14, 2021 and any applicable additional prospectus supplements related to the Offering that form a part of the Registration Statement. Sales of Common Stock under the Equity Distribution Agreement may be made in any transactions that are deemed to be “at the market offerings” as defined in Rule 415 under the Securities Act of 1933, as amended (the “Securities Act”).</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Equity Distribution Agreement contains customary representations, warranties and agreements by the Company, indemnification obligations of the Company and the Agent, including for liabilities under the Securities Act, other obligations of the parties and termination provisions. Under the terms of the Equity Distribution Agreement, the Company will pay the Agent a commission equal to 3% of the gross sales price of the Common Stock sold.</w:t>
      </w:r>
    </w:p>
    <w:p>
      <w:pPr>
        <w:spacing w:after="0" w:line="23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plans to use the net proceeds from the Offering, after deducting the Agent’s commissions and the Company’s offering expenses, for general corporate purposes, which may include, among other things, paying or refinancing all or a portion of the Company’s then-outstanding indebtedness, and funding acquisitions, capital expenditures and working capital.</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three and six months ended July 31, 2021, the Company sold 60,216 shares of Common Stock in exchange for gross proceeds of approximately $0.6 through its at-the-market offering and paid fees to the sales agent and other fees of $0.6.</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disclosure required by Item 303(a)(5)(i) of Regulation S-K.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Indemnities, Commitments and Guarantees</w:t>
      </w:r>
    </w:p>
    <w:p>
      <w:pPr>
        <w:spacing w:after="0" w:line="26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In the normal course of our business, we make certain indemnities, commitments and guarantees under which we may be required to make payments in relation to certain transactions. These indemnities include indemnities to various lessors in connection with facility leases for certain claims arising from such facility or lease and indemnities to other parties to certain acquisition agreements. The duration of these indemnities, commitments and guarantees varies and, in certain cases, is indefinite. Many of these indemnities, commitments and guarantees provide for limitations on the maximum potential future payments we could be obligated to make. However, we are unable to estimate the maximum amount of liability related to our indemnities, commitments and guarantees because such liabilities are contingent upon the occurrence of events that are not reasonably determinable. Our management believes that any liability for these indemnities, commitments and guarantees would not be material to our financial statements. Accordingly, no significant amounts have been accrued for indemnities, commitments and guarantees.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have employment agreements with certain key members of management expiring on various dates. Our employment agreements generally provide for certain protections in the event of a change of control. These protections generally include the payment of severance and related benefits under certain circumstances in the event of a change in control.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Commitments</w:t>
      </w:r>
    </w:p>
    <w:p>
      <w:pPr>
        <w:spacing w:after="0" w:line="2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finances its use of certain facilities and equipment under committed lease arrangements provided by various institutions. Since the terms of these arrangements meet the accounting definition of operating lease arrangements, the aggregate sum of future minimum lease payments is not reflected on the consolidated balance sheets. At July 31, 2021, future minimum lease payments under these arrangements approximated $66.6 of which $25.7 is related to long-term real estate leases and $25.6 is related to long-term coiled tubing unit leases.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Critical accounting policies are defined as those that are reflective of significant judgments and uncertainties, and potentially result in materially different results under different assumptions and conditions. We believe that our critical accounting policies are limited to those described in the Critical Accounting Policies section of Management’s Discussion and Analysis of Financial Condition and Results of Operations included in our 2020 Annual Report on Form 10-K filed with the SEC on April 28,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See Note 2 “Recent Accounting Pronouncements” to our condensed consolidated financial statements for a discussion of recently issued accounting pronouncements. As an “emerging growth company” under the Jumpstart Our Business Startups Act (the “JOBS Act”), we are offered an opportunity to use an extended transition period for the adoption of new or revised financial accounting standards. We operate under the reduced reporting requirements and exemptions, including the longer phase-in periods for the adoption of new or revised financial accounting standards, until we are no longer an emerging growth company. Our election to use the phase-in periods permitted by this election may make it difficult to compare our financial statements to those of non-emerging growth companies and other emerging growth companies that have opted out of the longer phase-in periods under Section 107 of the JOBS Act and who will comply with new or revised financial accounting standards. If we were to subsequently elect instead to comply with these public company effective dates, such election would be irrevocable pursuant to Section 107 of the JOBS Act.</w:t>
      </w:r>
    </w:p>
    <w:p>
      <w:pPr>
        <w:spacing w:after="0" w:line="225"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we are not required to provide the information required by Item 305 of Regulation S-K.</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0"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established disclosure controls and procedures that are designed to ensure that the information required to be disclosed by the Company in the reports that it files or submits under the Securities Exchange Act of 1934, as amended (the “Exchange Act”), is recorded, processed, summarized and reported within the time periods specified in the Commission’s rules and forms. Disclosure controls and procedures include, without limitation, controls and procedures designed to provide reasonable assurance that information required to be disclosed by the Company in the reports that it files or submits under the Exchange Act is accumulated and communicated to the Company’s management, including its principal executive and principal financial officers (who are our Chief Executive Officer and Chief Financial Officer, respectively), or persons performing similar functions,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designing and evaluating our disclosure controls and procedures, management recognized that disclosure controls and procedures can provide only reasonable, not absolute, assurance that the objectives of the disclosure controls and procedures are met.</w:t>
      </w:r>
    </w:p>
    <w:p>
      <w:pPr>
        <w:spacing w:after="0" w:line="22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connection with the preparation of this Quarterly Report for the quarter ended July 31, 2021, an evaluation was performed under the supervision of and with the participation of management, including the Chief Executive Officer and Chief Financial Officer, of the effectiveness of the Company’s disclosure controls and procedures. Based on that evaluation, the Chief Executive Officer and Chief Financial Officer have concluded that its disclosure controls and procedures were effective as of July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There have been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61"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is at times either a plaintiff or a defendant in various legal actions arising in the normal course of business, the outcomes of which, in the opinion of management, neither individually nor in the aggregate are likely to result in a material adverse effect on the Company’s financial condition, cash flows and results of operations.</w:t>
      </w:r>
    </w:p>
    <w:p>
      <w:pPr>
        <w:spacing w:after="0" w:line="23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9, 2021, the Company filed claims in the District Court of Harris, County Texas against Magellan E&amp;P Holdings, Inc. ("Magellan"), Redmon-Keys Insurance Group, Inc. ("Redmon") and certain underwriters at Lloyd's ("Underwriters") to recover $4.6 owed on invoices duly issued by the Company for services rendered on behalf of defendants in response to an offshore well blowout near Bob Hall Pier in Corpus Christi, Texas. Magellan did not dispute the invoices or the charges therein but alleged an inability to pay prior to obtaining funding from Underwriters under Magellan's Owner's Extra Expense ("OEE") policy. An OEE policy is an industry norm to provide insurance coverage in the event of a blowout. Magellan's OEE policy has a limit of $20.0. We believe that total invoices issued to Magellan by its blowout vendors total $14.3 and are within policy limits. The Company's Texas court action includes claims against Magellan and as an additional insured under the OEE policy and also against Redmon-Keys as Magellan's broker who issued the additional insured certificate to the Company.</w:t>
      </w:r>
    </w:p>
    <w:p>
      <w:pPr>
        <w:spacing w:after="0" w:line="23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On March 19, 2021, Underwriters filed a declaratory judgment action in the United States District Court for the Southern District of Texas seeking a declaration that approximately $7.4 of the total $14.3 in blowout related expenses fall outside of policy coverage referencing a date on which they believe coverage ceased to apply. The Company disputes Underwriters allegations on coverage and will likely litigate the issue in one or more court actions. Nonetheless, we note here that approximately $2.3 or half of the Company's total $4.6 in invoice to Magellan relate to services rendered and materials provided prior to the coverage dispute date alleged by Underwriters. In its declaratory judgment action, Underwriters further alleged that it had made some payments to Magellan. As Magellan had not made onward payments to the Company, the Company filed a request for a Temporary Restraining Order ("TRO") against Magellan in its Texas state court lawsuit. On March 30, 2021, hours before the TRO hearing, Magellan filed for bankruptcy pursuant to Chapter 7 of the U.S. bankruptcy code.</w:t>
      </w:r>
    </w:p>
    <w:p>
      <w:pPr>
        <w:spacing w:after="0" w:line="22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Company believes that the OEE policy is now an asset of the Chapter 7 estate. Since the Chapter 7 filing by Magellan, the U.S. Trustee has begun to advance claims against the Underwriter syndicate. Underwriters will now pay an additional $1.2 of insured expense while continuing to dispute an additional $7.4 of expenses claimed by Magellan. We expect that the Trustee will continue to pursue the remaining $7.4 from Underwriters as well as preference claims for monies paid by Magellan in the months leading up to its bankruptcy for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exposure. Additionally, the Trustee will evaluate claims against Magellan’s former directors and officers.</w:t>
      </w:r>
    </w:p>
    <w:p>
      <w:pPr>
        <w:spacing w:after="0" w:line="22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Separately, KLXE is continuing to discuss its alleged claims against Redmon based on the representations made by Redmon relative to the certificate of insurance it issued to KLXE as an ‘additional insured’.</w:t>
      </w:r>
    </w:p>
    <w:p>
      <w:pPr>
        <w:spacing w:after="0" w:line="215"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bankruptcy proceedings are in their initial stages. At this time, the Company has reserved the full amount of its invoices totaling $4.6 as a prudent action in light of the Chapter 7 filing. However, we believe that the proceeds from the OEE policy will ultimately be allocated to the blowout creditors and will be offering our support to the U.S. Trustee in its pursuit of full recovery under the OEE policy from Underwriters.</w:t>
      </w: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ind w:right="140"/>
        <w:spacing w:after="0" w:line="232" w:lineRule="auto"/>
        <w:rPr>
          <w:sz w:val="20"/>
          <w:szCs w:val="20"/>
          <w:color w:val="auto"/>
        </w:rPr>
      </w:pPr>
      <w:r>
        <w:rPr>
          <w:rFonts w:ascii="Arial" w:cs="Arial" w:eastAsia="Arial" w:hAnsi="Arial"/>
          <w:sz w:val="18"/>
          <w:szCs w:val="18"/>
          <w:color w:val="auto"/>
        </w:rPr>
        <w:t>In addition to the information set forth in this report, you should carefully consider the risk factors previously described in Part I, Item IA. “Risk Factors” in our Annual Report on Form 10-K for the fiscal year ended January 31, 2021.</w:t>
      </w:r>
    </w:p>
    <w:p>
      <w:pPr>
        <w:spacing w:after="0" w:line="220"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70"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following table presents the total number of shares of our common stock that we repurchased during the three months ended July 31, 2021:</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0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Total number of</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Approximate dollar</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760" w:type="dxa"/>
            <w:vAlign w:val="bottom"/>
            <w:shd w:val="clear" w:color="auto" w:fill="CCEEFF"/>
          </w:tcPr>
          <w:p>
            <w:pPr>
              <w:jc w:val="right"/>
              <w:spacing w:after="0" w:line="161" w:lineRule="exact"/>
              <w:rPr>
                <w:sz w:val="20"/>
                <w:szCs w:val="20"/>
                <w:color w:val="auto"/>
              </w:rPr>
            </w:pPr>
            <w:r>
              <w:rPr>
                <w:rFonts w:ascii="Arial" w:cs="Arial" w:eastAsia="Arial" w:hAnsi="Arial"/>
                <w:sz w:val="16"/>
                <w:szCs w:val="16"/>
                <w:b w:val="1"/>
                <w:bCs w:val="1"/>
                <w:color w:val="auto"/>
              </w:rPr>
              <w:t>shares purchased as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20"/>
              <w:spacing w:after="0" w:line="161" w:lineRule="exact"/>
              <w:rPr>
                <w:sz w:val="20"/>
                <w:szCs w:val="20"/>
                <w:color w:val="auto"/>
              </w:rPr>
            </w:pPr>
            <w:r>
              <w:rPr>
                <w:rFonts w:ascii="Arial" w:cs="Arial" w:eastAsia="Arial" w:hAnsi="Arial"/>
                <w:sz w:val="16"/>
                <w:szCs w:val="16"/>
                <w:b w:val="1"/>
                <w:bCs w:val="1"/>
                <w:color w:val="auto"/>
                <w:w w:val="99"/>
              </w:rPr>
              <w:t>value of shares that</w:t>
            </w:r>
          </w:p>
        </w:tc>
        <w:tc>
          <w:tcPr>
            <w:tcW w:w="0" w:type="dxa"/>
            <w:vAlign w:val="bottom"/>
          </w:tcPr>
          <w:p>
            <w:pPr>
              <w:spacing w:after="0"/>
              <w:rPr>
                <w:sz w:val="1"/>
                <w:szCs w:val="1"/>
                <w:color w:val="auto"/>
              </w:rPr>
            </w:pPr>
          </w:p>
        </w:tc>
      </w:tr>
      <w:tr>
        <w:trPr>
          <w:trHeight w:val="160"/>
        </w:trPr>
        <w:tc>
          <w:tcPr>
            <w:tcW w:w="3800" w:type="dxa"/>
            <w:vAlign w:val="bottom"/>
            <w:shd w:val="clear" w:color="auto" w:fill="CCEEFF"/>
          </w:tcPr>
          <w:p>
            <w:pPr>
              <w:spacing w:after="0"/>
              <w:rPr>
                <w:sz w:val="13"/>
                <w:szCs w:val="13"/>
                <w:color w:val="auto"/>
              </w:rPr>
            </w:pPr>
          </w:p>
        </w:tc>
        <w:tc>
          <w:tcPr>
            <w:tcW w:w="202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Total number of shares</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restart"/>
            <w:shd w:val="clear" w:color="auto" w:fill="CCEEFF"/>
          </w:tcPr>
          <w:p>
            <w:pPr>
              <w:spacing w:after="0"/>
              <w:rPr>
                <w:sz w:val="20"/>
                <w:szCs w:val="20"/>
                <w:color w:val="auto"/>
              </w:rPr>
            </w:pPr>
            <w:r>
              <w:rPr>
                <w:rFonts w:ascii="Arial" w:cs="Arial" w:eastAsia="Arial" w:hAnsi="Arial"/>
                <w:sz w:val="16"/>
                <w:szCs w:val="16"/>
                <w:b w:val="1"/>
                <w:bCs w:val="1"/>
                <w:color w:val="auto"/>
              </w:rPr>
              <w:t>Average price paid</w:t>
            </w: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rPr>
              <w:t>part of publicly</w:t>
            </w:r>
          </w:p>
        </w:tc>
        <w:tc>
          <w:tcPr>
            <w:tcW w:w="8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may yet be purchased</w:t>
            </w:r>
          </w:p>
        </w:tc>
        <w:tc>
          <w:tcPr>
            <w:tcW w:w="0" w:type="dxa"/>
            <w:vAlign w:val="bottom"/>
          </w:tcPr>
          <w:p>
            <w:pPr>
              <w:spacing w:after="0"/>
              <w:rPr>
                <w:sz w:val="1"/>
                <w:szCs w:val="1"/>
                <w:color w:val="auto"/>
              </w:rPr>
            </w:pPr>
          </w:p>
        </w:tc>
      </w:tr>
      <w:tr>
        <w:trPr>
          <w:trHeight w:val="160"/>
        </w:trPr>
        <w:tc>
          <w:tcPr>
            <w:tcW w:w="380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Period</w:t>
            </w:r>
          </w:p>
        </w:tc>
        <w:tc>
          <w:tcPr>
            <w:tcW w:w="2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20" w:type="dxa"/>
            <w:vAlign w:val="bottom"/>
            <w:gridSpan w:val="2"/>
            <w:vMerge w:val="continue"/>
            <w:shd w:val="clear" w:color="auto" w:fill="CCEEFF"/>
          </w:tcPr>
          <w:p>
            <w:pPr>
              <w:spacing w:after="0"/>
              <w:rPr>
                <w:sz w:val="13"/>
                <w:szCs w:val="13"/>
                <w:color w:val="auto"/>
              </w:rPr>
            </w:pPr>
          </w:p>
        </w:tc>
        <w:tc>
          <w:tcPr>
            <w:tcW w:w="1760" w:type="dxa"/>
            <w:vAlign w:val="bottom"/>
            <w:shd w:val="clear" w:color="auto" w:fill="CCEEFF"/>
          </w:tcPr>
          <w:p>
            <w:pPr>
              <w:jc w:val="center"/>
              <w:spacing w:after="0" w:line="161" w:lineRule="exact"/>
              <w:rPr>
                <w:sz w:val="20"/>
                <w:szCs w:val="20"/>
                <w:color w:val="auto"/>
              </w:rPr>
            </w:pPr>
            <w:r>
              <w:rPr>
                <w:rFonts w:ascii="Arial" w:cs="Arial" w:eastAsia="Arial" w:hAnsi="Arial"/>
                <w:sz w:val="16"/>
                <w:szCs w:val="16"/>
                <w:b w:val="1"/>
                <w:bCs w:val="1"/>
                <w:color w:val="auto"/>
                <w:w w:val="99"/>
              </w:rPr>
              <w:t>announced plans or</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jc w:val="center"/>
              <w:ind w:right="40"/>
              <w:spacing w:after="0" w:line="161" w:lineRule="exact"/>
              <w:rPr>
                <w:sz w:val="20"/>
                <w:szCs w:val="20"/>
                <w:color w:val="auto"/>
              </w:rPr>
            </w:pPr>
            <w:r>
              <w:rPr>
                <w:rFonts w:ascii="Arial" w:cs="Arial" w:eastAsia="Arial" w:hAnsi="Arial"/>
                <w:sz w:val="16"/>
                <w:szCs w:val="16"/>
                <w:b w:val="1"/>
                <w:bCs w:val="1"/>
                <w:color w:val="auto"/>
              </w:rPr>
              <w:t>under the plans or</w:t>
            </w:r>
          </w:p>
        </w:tc>
        <w:tc>
          <w:tcPr>
            <w:tcW w:w="0" w:type="dxa"/>
            <w:vAlign w:val="bottom"/>
          </w:tcPr>
          <w:p>
            <w:pPr>
              <w:spacing w:after="0"/>
              <w:rPr>
                <w:sz w:val="1"/>
                <w:szCs w:val="1"/>
                <w:color w:val="auto"/>
              </w:rPr>
            </w:pPr>
          </w:p>
        </w:tc>
      </w:tr>
      <w:tr>
        <w:trPr>
          <w:trHeight w:val="214"/>
        </w:trPr>
        <w:tc>
          <w:tcPr>
            <w:tcW w:w="3800" w:type="dxa"/>
            <w:vAlign w:val="bottom"/>
            <w:vMerge w:val="continue"/>
            <w:shd w:val="clear" w:color="auto" w:fill="CCEEFF"/>
          </w:tcPr>
          <w:p>
            <w:pPr>
              <w:spacing w:after="0"/>
              <w:rPr>
                <w:sz w:val="18"/>
                <w:szCs w:val="18"/>
                <w:color w:val="auto"/>
              </w:rPr>
            </w:pPr>
          </w:p>
        </w:tc>
        <w:tc>
          <w:tcPr>
            <w:tcW w:w="2020" w:type="dxa"/>
            <w:vAlign w:val="bottom"/>
            <w:tcBorders>
              <w:bottom w:val="single" w:sz="8" w:color="auto"/>
            </w:tcBorders>
            <w:shd w:val="clear" w:color="auto" w:fill="CCEEFF"/>
          </w:tcPr>
          <w:p>
            <w:pPr>
              <w:jc w:val="right"/>
              <w:ind w:right="460"/>
              <w:spacing w:after="0" w:line="214" w:lineRule="exact"/>
              <w:rPr>
                <w:sz w:val="20"/>
                <w:szCs w:val="20"/>
                <w:color w:val="auto"/>
              </w:rPr>
            </w:pPr>
            <w:r>
              <w:rPr>
                <w:rFonts w:ascii="Arial" w:cs="Arial" w:eastAsia="Arial" w:hAnsi="Arial"/>
                <w:sz w:val="16"/>
                <w:szCs w:val="16"/>
                <w:b w:val="1"/>
                <w:bCs w:val="1"/>
                <w:color w:val="auto"/>
              </w:rPr>
              <w:t>purchased</w:t>
            </w:r>
            <w:r>
              <w:rPr>
                <w:rFonts w:ascii="Arial" w:cs="Arial" w:eastAsia="Arial" w:hAnsi="Arial"/>
                <w:sz w:val="20"/>
                <w:szCs w:val="20"/>
                <w:b w:val="1"/>
                <w:bCs w:val="1"/>
                <w:color w:val="auto"/>
                <w:vertAlign w:val="superscript"/>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00"/>
              <w:spacing w:after="0" w:line="214" w:lineRule="exact"/>
              <w:rPr>
                <w:sz w:val="20"/>
                <w:szCs w:val="20"/>
                <w:color w:val="auto"/>
              </w:rPr>
            </w:pPr>
            <w:r>
              <w:rPr>
                <w:rFonts w:ascii="Arial" w:cs="Arial" w:eastAsia="Arial" w:hAnsi="Arial"/>
                <w:sz w:val="16"/>
                <w:szCs w:val="16"/>
                <w:b w:val="1"/>
                <w:bCs w:val="1"/>
                <w:color w:val="auto"/>
              </w:rPr>
              <w:t>per share</w:t>
            </w:r>
            <w:r>
              <w:rPr>
                <w:rFonts w:ascii="Arial" w:cs="Arial" w:eastAsia="Arial" w:hAnsi="Arial"/>
                <w:sz w:val="20"/>
                <w:szCs w:val="20"/>
                <w:b w:val="1"/>
                <w:bCs w:val="1"/>
                <w:color w:val="auto"/>
                <w:vertAlign w:val="superscript"/>
              </w:rPr>
              <w:t>(2)</w:t>
            </w:r>
          </w:p>
        </w:tc>
        <w:tc>
          <w:tcPr>
            <w:tcW w:w="100" w:type="dxa"/>
            <w:vAlign w:val="bottom"/>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spacing w:after="0" w:line="214" w:lineRule="exact"/>
              <w:rPr>
                <w:sz w:val="20"/>
                <w:szCs w:val="20"/>
                <w:color w:val="auto"/>
              </w:rPr>
            </w:pPr>
            <w:r>
              <w:rPr>
                <w:rFonts w:ascii="Arial" w:cs="Arial" w:eastAsia="Arial" w:hAnsi="Arial"/>
                <w:sz w:val="16"/>
                <w:szCs w:val="16"/>
                <w:b w:val="1"/>
                <w:bCs w:val="1"/>
                <w:color w:val="auto"/>
                <w:w w:val="97"/>
              </w:rPr>
              <w:t>programs</w:t>
            </w:r>
            <w:r>
              <w:rPr>
                <w:rFonts w:ascii="Arial" w:cs="Arial" w:eastAsia="Arial" w:hAnsi="Arial"/>
                <w:sz w:val="20"/>
                <w:szCs w:val="20"/>
                <w:b w:val="1"/>
                <w:bCs w:val="1"/>
                <w:color w:val="auto"/>
                <w:w w:val="97"/>
                <w:vertAlign w:val="superscript"/>
              </w:rPr>
              <w:t>(3)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center"/>
              <w:ind w:right="20"/>
              <w:spacing w:after="0"/>
              <w:rPr>
                <w:sz w:val="20"/>
                <w:szCs w:val="20"/>
                <w:color w:val="auto"/>
              </w:rPr>
            </w:pPr>
            <w:r>
              <w:rPr>
                <w:rFonts w:ascii="Arial" w:cs="Arial" w:eastAsia="Arial" w:hAnsi="Arial"/>
                <w:sz w:val="16"/>
                <w:szCs w:val="16"/>
                <w:b w:val="1"/>
                <w:bCs w:val="1"/>
                <w:color w:val="auto"/>
              </w:rPr>
              <w:t>programs</w:t>
            </w:r>
          </w:p>
        </w:tc>
        <w:tc>
          <w:tcPr>
            <w:tcW w:w="0" w:type="dxa"/>
            <w:vAlign w:val="bottom"/>
          </w:tcPr>
          <w:p>
            <w:pPr>
              <w:spacing w:after="0"/>
              <w:rPr>
                <w:sz w:val="1"/>
                <w:szCs w:val="1"/>
                <w:color w:val="auto"/>
              </w:rPr>
            </w:pP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May 1, 2021 - May 31, 2021</w:t>
            </w:r>
          </w:p>
        </w:tc>
        <w:tc>
          <w:tcPr>
            <w:tcW w:w="2020" w:type="dxa"/>
            <w:vAlign w:val="bottom"/>
          </w:tcPr>
          <w:p>
            <w:pPr>
              <w:jc w:val="right"/>
              <w:spacing w:after="0"/>
              <w:rPr>
                <w:sz w:val="20"/>
                <w:szCs w:val="20"/>
                <w:color w:val="auto"/>
              </w:rPr>
            </w:pPr>
            <w:r>
              <w:rPr>
                <w:rFonts w:ascii="Arial" w:cs="Arial" w:eastAsia="Arial" w:hAnsi="Arial"/>
                <w:sz w:val="16"/>
                <w:szCs w:val="16"/>
                <w:color w:val="auto"/>
              </w:rPr>
              <w:t>277.0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June 1, 2021 - June 30, 2021</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11"/>
        </w:trPr>
        <w:tc>
          <w:tcPr>
            <w:tcW w:w="3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July 1, 2021 - July 31, 2021</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48,859,603</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5" w:lineRule="exact"/>
        <w:rPr>
          <w:sz w:val="20"/>
          <w:szCs w:val="20"/>
          <w:color w:val="auto"/>
        </w:rPr>
      </w:pPr>
    </w:p>
    <w:p>
      <w:pPr>
        <w:ind w:right="40" w:firstLine="7"/>
        <w:spacing w:after="0" w:line="256" w:lineRule="auto"/>
        <w:tabs>
          <w:tab w:leader="none" w:pos="241"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shares purchased from employees in connection with the settlement of income tax and related benefit withholding obligations arising from vesting of restricted stock grants under the Company’s Long-Term Incentive Plan.</w:t>
      </w:r>
    </w:p>
    <w:p>
      <w:pPr>
        <w:spacing w:after="0" w:line="88" w:lineRule="exact"/>
        <w:rPr>
          <w:rFonts w:ascii="Arial" w:cs="Arial" w:eastAsia="Arial" w:hAnsi="Arial"/>
          <w:sz w:val="16"/>
          <w:szCs w:val="16"/>
          <w:color w:val="auto"/>
        </w:rPr>
      </w:pPr>
    </w:p>
    <w:p>
      <w:pPr>
        <w:ind w:left="240" w:hanging="233"/>
        <w:spacing w:after="0"/>
        <w:tabs>
          <w:tab w:leader="none" w:pos="2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average price paid per share of common stock repurchased under the share repurchase program includes commissions paid to the brokers.</w:t>
      </w:r>
    </w:p>
    <w:p>
      <w:pPr>
        <w:spacing w:after="0" w:line="110" w:lineRule="exact"/>
        <w:rPr>
          <w:rFonts w:ascii="Arial" w:cs="Arial" w:eastAsia="Arial" w:hAnsi="Arial"/>
          <w:sz w:val="16"/>
          <w:szCs w:val="16"/>
          <w:color w:val="auto"/>
        </w:rPr>
      </w:pPr>
    </w:p>
    <w:p>
      <w:pPr>
        <w:ind w:firstLine="7"/>
        <w:spacing w:after="0" w:line="256" w:lineRule="auto"/>
        <w:tabs>
          <w:tab w:leader="none" w:pos="25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August 2019, our Board authorized a share repurchase program for the repurchase of outstanding shares of the Company’s common stock having an aggregate purchase price up to $50.</w:t>
      </w:r>
    </w:p>
    <w:p>
      <w:pPr>
        <w:spacing w:after="0" w:line="211"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20"/>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33590" cy="144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13"/>
            <w:shd w:val="clear" w:color="auto" w:fill="CCEEFF"/>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08"/>
        </w:trPr>
        <w:tc>
          <w:tcPr>
            <w:tcW w:w="1040" w:type="dxa"/>
            <w:vAlign w:val="bottom"/>
          </w:tcPr>
          <w:p>
            <w:pPr>
              <w:ind w:left="20"/>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24"/>
                <w:szCs w:val="24"/>
                <w:color w:val="auto"/>
              </w:rPr>
            </w:pPr>
          </w:p>
        </w:tc>
        <w:tc>
          <w:tcPr>
            <w:tcW w:w="9920" w:type="dxa"/>
            <w:vAlign w:val="bottom"/>
            <w:gridSpan w:val="12"/>
          </w:tcPr>
          <w:p>
            <w:pPr>
              <w:spacing w:after="0"/>
              <w:rPr>
                <w:rFonts w:ascii="Arial" w:cs="Arial" w:eastAsia="Arial" w:hAnsi="Arial"/>
                <w:sz w:val="18"/>
                <w:szCs w:val="18"/>
                <w:color w:val="0000FF"/>
              </w:rPr>
            </w:pPr>
            <w:hyperlink r:id="rId58">
              <w:r>
                <w:rPr>
                  <w:rFonts w:ascii="Arial" w:cs="Arial" w:eastAsia="Arial" w:hAnsi="Arial"/>
                  <w:sz w:val="18"/>
                  <w:szCs w:val="18"/>
                  <w:color w:val="0000FF"/>
                </w:rPr>
                <w:t>Equity Distribution Agreement, dated June 14, 2021, by and between the Company and Piper Sandler &amp; Co. (incorporated</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7"/>
          </w:tcPr>
          <w:p>
            <w:pPr>
              <w:spacing w:after="0" w:line="154" w:lineRule="exact"/>
              <w:rPr>
                <w:rFonts w:ascii="Arial" w:cs="Arial" w:eastAsia="Arial" w:hAnsi="Arial"/>
                <w:sz w:val="17"/>
                <w:szCs w:val="17"/>
                <w:color w:val="0000FF"/>
              </w:rPr>
            </w:pPr>
            <w:hyperlink r:id="rId58">
              <w:r>
                <w:rPr>
                  <w:rFonts w:ascii="Arial" w:cs="Arial" w:eastAsia="Arial" w:hAnsi="Arial"/>
                  <w:sz w:val="17"/>
                  <w:szCs w:val="17"/>
                  <w:color w:val="0000FF"/>
                </w:rPr>
                <w:t>by reference to Exhibit 1.1 of KLX Energy Services Holdings, Inc's Current Report on Form 8-K, filed on June 14, 2021, File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00" w:type="dxa"/>
            <w:vAlign w:val="bottom"/>
            <w:tcBorders>
              <w:bottom w:val="single" w:sz="8" w:color="0000FF"/>
            </w:tcBorders>
            <w:gridSpan w:val="2"/>
          </w:tcPr>
          <w:p>
            <w:pPr>
              <w:spacing w:after="0" w:line="154" w:lineRule="exact"/>
              <w:rPr>
                <w:rFonts w:ascii="Arial" w:cs="Arial" w:eastAsia="Arial" w:hAnsi="Arial"/>
                <w:sz w:val="17"/>
                <w:szCs w:val="17"/>
                <w:color w:val="0000FF"/>
              </w:rPr>
            </w:pPr>
            <w:hyperlink r:id="rId58">
              <w:r>
                <w:rPr>
                  <w:rFonts w:ascii="Arial" w:cs="Arial" w:eastAsia="Arial" w:hAnsi="Arial"/>
                  <w:sz w:val="17"/>
                  <w:szCs w:val="17"/>
                  <w:color w:val="0000FF"/>
                </w:rPr>
                <w:t>No. 001-38609).</w:t>
              </w:r>
            </w:hyperlink>
          </w:p>
        </w:tc>
        <w:tc>
          <w:tcPr>
            <w:tcW w:w="860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Amended and Restated Certificate of Incorporation of KLX Energy Services Holdings, Inc. (incorporated by reference to</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60" w:type="dxa"/>
            <w:vAlign w:val="bottom"/>
            <w:tcBorders>
              <w:top w:val="single" w:sz="8" w:color="0000FF"/>
            </w:tcBorders>
            <w:gridSpan w:val="9"/>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Exhibit 3.1 of KLX Energy Services Holdings, Inc’s Quarterly Report on Form 10-Q, filed on September 8, 2020, File No.</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0000FF"/>
              <w:bottom w:val="single" w:sz="8" w:color="0000FF"/>
            </w:tcBorders>
          </w:tcPr>
          <w:p>
            <w:pPr>
              <w:spacing w:after="0" w:line="154" w:lineRule="exact"/>
              <w:rPr>
                <w:rFonts w:ascii="Arial" w:cs="Arial" w:eastAsia="Arial" w:hAnsi="Arial"/>
                <w:sz w:val="17"/>
                <w:szCs w:val="17"/>
                <w:color w:val="0000FF"/>
              </w:rPr>
            </w:pPr>
            <w:hyperlink r:id="rId59">
              <w:r>
                <w:rPr>
                  <w:rFonts w:ascii="Arial" w:cs="Arial" w:eastAsia="Arial" w:hAnsi="Arial"/>
                  <w:sz w:val="17"/>
                  <w:szCs w:val="17"/>
                  <w:color w:val="0000FF"/>
                </w:rPr>
                <w:t>001-38609).</w:t>
              </w:r>
            </w:hyperlink>
          </w:p>
        </w:tc>
        <w:tc>
          <w:tcPr>
            <w:tcW w:w="34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900" w:type="dxa"/>
            <w:vAlign w:val="bottom"/>
            <w:tcBorders>
              <w:top w:val="single" w:sz="8" w:color="0000FF"/>
            </w:tcBorders>
          </w:tcPr>
          <w:p>
            <w:pPr>
              <w:spacing w:after="0"/>
              <w:rPr>
                <w:sz w:val="13"/>
                <w:szCs w:val="13"/>
                <w:color w:val="auto"/>
              </w:rPr>
            </w:pPr>
          </w:p>
        </w:tc>
        <w:tc>
          <w:tcPr>
            <w:tcW w:w="294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r:id="rId60">
              <w:r>
                <w:rPr>
                  <w:rFonts w:ascii="Arial" w:cs="Arial" w:eastAsia="Arial" w:hAnsi="Arial"/>
                  <w:sz w:val="18"/>
                  <w:szCs w:val="18"/>
                  <w:color w:val="0000FF"/>
                </w:rPr>
                <w:t>Fourth Amended and Restated Bylaws of KLX Energy Services Holdings, Inc. (incorporated by reference to Exhibit 3.1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540" w:type="dxa"/>
            <w:vAlign w:val="bottom"/>
            <w:tcBorders>
              <w:top w:val="single" w:sz="8" w:color="0000FF"/>
            </w:tcBorders>
            <w:gridSpan w:val="6"/>
          </w:tcPr>
          <w:p>
            <w:pPr>
              <w:spacing w:after="0" w:line="154" w:lineRule="exact"/>
              <w:rPr>
                <w:rFonts w:ascii="Arial" w:cs="Arial" w:eastAsia="Arial" w:hAnsi="Arial"/>
                <w:sz w:val="17"/>
                <w:szCs w:val="17"/>
                <w:color w:val="0000FF"/>
              </w:rPr>
            </w:pPr>
            <w:hyperlink r:id="rId60">
              <w:r>
                <w:rPr>
                  <w:rFonts w:ascii="Arial" w:cs="Arial" w:eastAsia="Arial" w:hAnsi="Arial"/>
                  <w:sz w:val="17"/>
                  <w:szCs w:val="17"/>
                  <w:color w:val="0000FF"/>
                </w:rPr>
                <w:t>KLX Energy Services Holdings, Inc.'s Current Report on Form 8-K, filed on September 9, 2021 File No. 001-38609).</w:t>
              </w:r>
            </w:hyperlink>
          </w:p>
        </w:tc>
        <w:tc>
          <w:tcPr>
            <w:tcW w:w="30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3900" w:type="dxa"/>
            <w:vAlign w:val="bottom"/>
            <w:shd w:val="clear" w:color="auto" w:fill="0000FF"/>
          </w:tcPr>
          <w:p>
            <w:pPr>
              <w:spacing w:after="0" w:line="20" w:lineRule="exact"/>
              <w:rPr>
                <w:sz w:val="1"/>
                <w:szCs w:val="1"/>
                <w:color w:val="auto"/>
              </w:rPr>
            </w:pPr>
          </w:p>
        </w:tc>
        <w:tc>
          <w:tcPr>
            <w:tcW w:w="2940" w:type="dxa"/>
            <w:vAlign w:val="bottom"/>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Principal Executive Officer Pursuant to Rules 13a-14(a) and 15d-14(a) under the Securities Exchange Act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rPr>
            </w:pPr>
            <w:hyperlink w:anchor="page41">
              <w:r>
                <w:rPr>
                  <w:rFonts w:ascii="Arial" w:cs="Arial" w:eastAsia="Arial" w:hAnsi="Arial"/>
                  <w:sz w:val="17"/>
                  <w:szCs w:val="17"/>
                  <w:color w:val="0000FF"/>
                </w:rPr>
                <w:t>1934, as Adopted Pursuant to Section 302 of the Sarbanes-Oxley Act of 2002.</w:t>
              </w:r>
            </w:hyperlink>
          </w:p>
        </w:tc>
        <w:tc>
          <w:tcPr>
            <w:tcW w:w="366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Principal Financial Officer Pursuant to Rules 13a-14(a) and 15d-14(a) under the Securities Exchange Act of</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4"/>
          </w:tcPr>
          <w:p>
            <w:pPr>
              <w:spacing w:after="0" w:line="154" w:lineRule="exact"/>
              <w:rPr>
                <w:rFonts w:ascii="Arial" w:cs="Arial" w:eastAsia="Arial" w:hAnsi="Arial"/>
                <w:sz w:val="17"/>
                <w:szCs w:val="17"/>
                <w:color w:val="0000FF"/>
              </w:rPr>
            </w:pPr>
            <w:hyperlink w:anchor="page42">
              <w:r>
                <w:rPr>
                  <w:rFonts w:ascii="Arial" w:cs="Arial" w:eastAsia="Arial" w:hAnsi="Arial"/>
                  <w:sz w:val="17"/>
                  <w:szCs w:val="17"/>
                  <w:color w:val="0000FF"/>
                </w:rPr>
                <w:t>1934, as Adopted Pursuant to Section 302 of the Sarbanes-Oxley Act of 2002.</w:t>
              </w:r>
            </w:hyperlink>
          </w:p>
        </w:tc>
        <w:tc>
          <w:tcPr>
            <w:tcW w:w="372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w:anchor="page43">
              <w:r>
                <w:rPr>
                  <w:rFonts w:ascii="Arial" w:cs="Arial" w:eastAsia="Arial" w:hAnsi="Arial"/>
                  <w:sz w:val="17"/>
                  <w:szCs w:val="17"/>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18"/>
                <w:szCs w:val="18"/>
                <w:color w:val="auto"/>
              </w:rPr>
            </w:pPr>
          </w:p>
        </w:tc>
        <w:tc>
          <w:tcPr>
            <w:tcW w:w="9920" w:type="dxa"/>
            <w:vAlign w:val="bottom"/>
            <w:gridSpan w:val="1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Principal Executive Officer Pursuant to 18 U.S.C. Section 1350, as Adopted Pursuant to Section 906 of the</w:t>
              </w:r>
            </w:hyperlink>
          </w:p>
        </w:tc>
      </w:tr>
      <w:tr>
        <w:trPr>
          <w:trHeight w:val="154"/>
        </w:trPr>
        <w:tc>
          <w:tcPr>
            <w:tcW w:w="1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80" w:type="dxa"/>
            <w:vAlign w:val="bottom"/>
            <w:tcBorders>
              <w:top w:val="single" w:sz="8" w:color="0000FF"/>
            </w:tcBorders>
            <w:gridSpan w:val="10"/>
          </w:tcPr>
          <w:p>
            <w:pPr>
              <w:spacing w:after="0" w:line="154" w:lineRule="exact"/>
              <w:rPr>
                <w:rFonts w:ascii="Arial" w:cs="Arial" w:eastAsia="Arial" w:hAnsi="Arial"/>
                <w:sz w:val="17"/>
                <w:szCs w:val="17"/>
                <w:color w:val="0000FF"/>
              </w:rPr>
            </w:pPr>
            <w:hyperlink w:anchor="page44">
              <w:r>
                <w:rPr>
                  <w:rFonts w:ascii="Arial" w:cs="Arial" w:eastAsia="Arial" w:hAnsi="Arial"/>
                  <w:sz w:val="17"/>
                  <w:szCs w:val="17"/>
                  <w:color w:val="0000FF"/>
                </w:rPr>
                <w:t>Sarbanes-Oxley Act of 2002.</w:t>
              </w:r>
            </w:hyperlink>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r>
      <w:tr>
        <w:trPr>
          <w:trHeight w:val="246"/>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1"/>
                <w:szCs w:val="21"/>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27"/>
        </w:trPr>
        <w:tc>
          <w:tcPr>
            <w:tcW w:w="1040" w:type="dxa"/>
            <w:vAlign w:val="bottom"/>
          </w:tcPr>
          <w:p>
            <w:pPr>
              <w:ind w:left="2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19"/>
                <w:szCs w:val="19"/>
                <w:color w:val="auto"/>
              </w:rPr>
            </w:pPr>
          </w:p>
        </w:tc>
        <w:tc>
          <w:tcPr>
            <w:tcW w:w="9920" w:type="dxa"/>
            <w:vAlign w:val="bottom"/>
            <w:gridSpan w:val="1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4" w:lineRule="exact"/>
        <w:rPr>
          <w:sz w:val="20"/>
          <w:szCs w:val="20"/>
          <w:color w:val="auto"/>
        </w:rPr>
      </w:pPr>
    </w:p>
    <w:p>
      <w:pPr>
        <w:ind w:right="2820" w:firstLine="25"/>
        <w:spacing w:after="0" w:line="294" w:lineRule="auto"/>
        <w:tabs>
          <w:tab w:leader="none" w:pos="1395"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Filed herewith.</w:t>
      </w:r>
    </w:p>
    <w:p>
      <w:pPr>
        <w:spacing w:after="0" w:line="1" w:lineRule="exact"/>
        <w:rPr>
          <w:rFonts w:ascii="Arial" w:cs="Arial" w:eastAsia="Arial" w:hAnsi="Arial"/>
          <w:sz w:val="18"/>
          <w:szCs w:val="18"/>
          <w:color w:val="auto"/>
        </w:rPr>
      </w:pPr>
    </w:p>
    <w:p>
      <w:pPr>
        <w:ind w:left="340" w:hanging="333"/>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60325</wp:posOffset>
            </wp:positionV>
            <wp:extent cx="71589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1">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KLX ENERGY SERVICES HOLDINGS, INC.</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Christopher J. Baker</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September 10, 2021</w:t>
      </w:r>
    </w:p>
    <w:p>
      <w:pPr>
        <w:spacing w:after="0" w:line="274"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Keefer M. Lehner</w:t>
      </w:r>
    </w:p>
    <w:p>
      <w:pPr>
        <w:ind w:left="7400"/>
        <w:spacing w:after="0" w:line="225" w:lineRule="auto"/>
        <w:rPr>
          <w:sz w:val="20"/>
          <w:szCs w:val="20"/>
          <w:color w:val="auto"/>
        </w:rPr>
      </w:pPr>
      <w:r>
        <w:rPr>
          <w:rFonts w:ascii="Arial" w:cs="Arial" w:eastAsia="Arial" w:hAnsi="Arial"/>
          <w:sz w:val="18"/>
          <w:szCs w:val="18"/>
          <w:i w:val="1"/>
          <w:iCs w:val="1"/>
          <w:color w:val="auto"/>
        </w:rPr>
        <w:t>Executive Vice President and Chief Financial</w:t>
      </w:r>
    </w:p>
    <w:p>
      <w:pPr>
        <w:ind w:left="7400"/>
        <w:spacing w:after="0"/>
        <w:rPr>
          <w:sz w:val="20"/>
          <w:szCs w:val="20"/>
          <w:color w:val="auto"/>
        </w:rPr>
      </w:pPr>
      <w:r>
        <w:rPr>
          <w:rFonts w:ascii="Arial" w:cs="Arial" w:eastAsia="Arial" w:hAnsi="Arial"/>
          <w:sz w:val="18"/>
          <w:szCs w:val="18"/>
          <w:i w:val="1"/>
          <w:iCs w:val="1"/>
          <w:color w:val="auto"/>
        </w:rPr>
        <w:t>Officer</w:t>
      </w:r>
    </w:p>
    <w:p>
      <w:pPr>
        <w:spacing w:after="0" w:line="288"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September 10, 2021</w:t>
      </w:r>
    </w:p>
    <w:p>
      <w:pPr>
        <w:spacing w:after="0" w:line="288" w:lineRule="exact"/>
        <w:rPr>
          <w:sz w:val="20"/>
          <w:szCs w:val="20"/>
          <w:color w:val="auto"/>
        </w:rPr>
      </w:pPr>
    </w:p>
    <w:p>
      <w:pPr>
        <w:ind w:left="698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Geoffrey C. Stanford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4683760</wp:posOffset>
            </wp:positionH>
            <wp:positionV relativeFrom="paragraph">
              <wp:posOffset>5080</wp:posOffset>
            </wp:positionV>
            <wp:extent cx="245427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454275" cy="8255"/>
                    </a:xfrm>
                    <a:prstGeom prst="rect">
                      <a:avLst/>
                    </a:prstGeom>
                    <a:noFill/>
                  </pic:spPr>
                </pic:pic>
              </a:graphicData>
            </a:graphic>
          </wp:anchor>
        </w:drawing>
      </w:r>
    </w:p>
    <w:p>
      <w:pPr>
        <w:spacing w:after="0" w:line="1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Geoffrey C. Stanford</w:t>
      </w:r>
    </w:p>
    <w:p>
      <w:pPr>
        <w:spacing w:after="0" w:line="6" w:lineRule="exact"/>
        <w:rPr>
          <w:sz w:val="20"/>
          <w:szCs w:val="20"/>
          <w:color w:val="auto"/>
        </w:rPr>
      </w:pPr>
    </w:p>
    <w:p>
      <w:pPr>
        <w:ind w:left="7400"/>
        <w:spacing w:after="0"/>
        <w:rPr>
          <w:sz w:val="20"/>
          <w:szCs w:val="20"/>
          <w:color w:val="auto"/>
        </w:rPr>
      </w:pPr>
      <w:r>
        <w:rPr>
          <w:rFonts w:ascii="Arial" w:cs="Arial" w:eastAsia="Arial" w:hAnsi="Arial"/>
          <w:sz w:val="18"/>
          <w:szCs w:val="18"/>
          <w:i w:val="1"/>
          <w:iCs w:val="1"/>
          <w:color w:val="auto"/>
        </w:rPr>
        <w:t>Vice President and Chief Accounting Officer</w:t>
      </w:r>
    </w:p>
    <w:p>
      <w:pPr>
        <w:spacing w:after="0" w:line="30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Date: September 10,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0"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J. Baker, certify that:</w:t>
      </w:r>
    </w:p>
    <w:p>
      <w:pPr>
        <w:spacing w:after="0" w:line="141" w:lineRule="exact"/>
        <w:rPr>
          <w:sz w:val="20"/>
          <w:szCs w:val="20"/>
          <w:color w:val="auto"/>
        </w:rPr>
      </w:pPr>
    </w:p>
    <w:p>
      <w:pPr>
        <w:ind w:left="680" w:hanging="655"/>
        <w:spacing w:after="0"/>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July 31, 2021 of KLX Energy Services Holdings, Inc. (the “registrant”);</w:t>
      </w:r>
    </w:p>
    <w:p>
      <w:pPr>
        <w:spacing w:after="0" w:line="150" w:lineRule="exact"/>
        <w:rPr>
          <w:rFonts w:ascii="Arial" w:cs="Arial" w:eastAsia="Arial" w:hAnsi="Arial"/>
          <w:sz w:val="16"/>
          <w:szCs w:val="16"/>
          <w:color w:val="auto"/>
        </w:rPr>
      </w:pPr>
    </w:p>
    <w:p>
      <w:pPr>
        <w:jc w:val="both"/>
        <w:ind w:left="680" w:right="60" w:hanging="655"/>
        <w:spacing w:after="0" w:line="222"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jc w:val="both"/>
        <w:ind w:left="1340" w:right="60" w:hanging="660"/>
        <w:spacing w:after="0" w:line="222"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0"/>
        <w:spacing w:after="0" w:line="222"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6400" w:val="left"/>
        </w:tabs>
        <w:rPr>
          <w:sz w:val="20"/>
          <w:szCs w:val="20"/>
          <w:color w:val="auto"/>
        </w:rPr>
      </w:pPr>
      <w:r>
        <w:rPr>
          <w:rFonts w:ascii="Arial" w:cs="Arial" w:eastAsia="Arial" w:hAnsi="Arial"/>
          <w:sz w:val="18"/>
          <w:szCs w:val="18"/>
          <w:color w:val="auto"/>
        </w:rPr>
        <w:t>Date: September 10, 2021</w:t>
      </w:r>
      <w:r>
        <w:rPr>
          <w:sz w:val="20"/>
          <w:szCs w:val="20"/>
          <w:color w:val="auto"/>
        </w:rPr>
        <w:tab/>
      </w:r>
      <w:r>
        <w:rPr>
          <w:rFonts w:ascii="Arial" w:cs="Arial" w:eastAsia="Arial" w:hAnsi="Arial"/>
          <w:sz w:val="16"/>
          <w:szCs w:val="16"/>
          <w:color w:val="auto"/>
        </w:rPr>
        <w:t>/s/ Christopher J.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13335</wp:posOffset>
            </wp:positionV>
            <wp:extent cx="30740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074035" cy="8255"/>
                    </a:xfrm>
                    <a:prstGeom prst="rect">
                      <a:avLst/>
                    </a:prstGeom>
                    <a:noFill/>
                  </pic:spPr>
                </pic:pic>
              </a:graphicData>
            </a:graphic>
          </wp:anchor>
        </w:drawing>
      </w:r>
    </w:p>
    <w:p>
      <w:pPr>
        <w:spacing w:after="0" w:line="14"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Christopher J. Baker</w:t>
      </w:r>
    </w:p>
    <w:p>
      <w:pPr>
        <w:spacing w:after="0" w:line="20"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83"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AND RULE 15d-14(a)</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 AS AMENDED,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I, Keefer M. Lehner, certify that:</w:t>
      </w:r>
    </w:p>
    <w:p>
      <w:pPr>
        <w:spacing w:after="0" w:line="261" w:lineRule="exact"/>
        <w:rPr>
          <w:sz w:val="20"/>
          <w:szCs w:val="20"/>
          <w:color w:val="auto"/>
        </w:rPr>
      </w:pPr>
    </w:p>
    <w:p>
      <w:pPr>
        <w:ind w:left="680" w:hanging="655"/>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for the quarter ended July 31, 2021 of KLX Energy Services Holdings, Inc. (the “registrant”);</w:t>
      </w:r>
    </w:p>
    <w:p>
      <w:pPr>
        <w:spacing w:after="0" w:line="150" w:lineRule="exact"/>
        <w:rPr>
          <w:rFonts w:ascii="Arial" w:cs="Arial" w:eastAsia="Arial" w:hAnsi="Arial"/>
          <w:sz w:val="16"/>
          <w:szCs w:val="16"/>
          <w:color w:val="auto"/>
        </w:rPr>
      </w:pPr>
    </w:p>
    <w:p>
      <w:pPr>
        <w:jc w:val="both"/>
        <w:ind w:left="680" w:right="60" w:hanging="655"/>
        <w:spacing w:after="0" w:line="222"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8"/>
          <w:szCs w:val="18"/>
          <w:color w:val="auto"/>
        </w:rPr>
      </w:pPr>
    </w:p>
    <w:p>
      <w:pPr>
        <w:ind w:left="680" w:right="40" w:hanging="655"/>
        <w:spacing w:after="0" w:line="251"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2" w:lineRule="exact"/>
        <w:rPr>
          <w:rFonts w:ascii="Arial" w:cs="Arial" w:eastAsia="Arial" w:hAnsi="Arial"/>
          <w:sz w:val="17"/>
          <w:szCs w:val="17"/>
          <w:color w:val="auto"/>
        </w:rPr>
      </w:pPr>
    </w:p>
    <w:p>
      <w:pPr>
        <w:jc w:val="both"/>
        <w:ind w:left="680" w:right="40" w:hanging="655"/>
        <w:spacing w:after="0" w:line="222"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7" w:lineRule="exact"/>
        <w:rPr>
          <w:rFonts w:ascii="Arial" w:cs="Arial" w:eastAsia="Arial" w:hAnsi="Arial"/>
          <w:sz w:val="18"/>
          <w:szCs w:val="18"/>
          <w:color w:val="auto"/>
        </w:rPr>
      </w:pPr>
    </w:p>
    <w:p>
      <w:pPr>
        <w:jc w:val="both"/>
        <w:ind w:left="1340" w:right="60" w:hanging="660"/>
        <w:spacing w:after="0" w:line="222"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40" w:right="80" w:hanging="660"/>
        <w:spacing w:after="0" w:line="222"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ind w:left="1340" w:right="60" w:hanging="660"/>
        <w:spacing w:after="0" w:line="282" w:lineRule="auto"/>
        <w:tabs>
          <w:tab w:leader="none" w:pos="13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6"/>
          <w:szCs w:val="16"/>
          <w:color w:val="auto"/>
        </w:rPr>
      </w:pPr>
    </w:p>
    <w:p>
      <w:pPr>
        <w:jc w:val="both"/>
        <w:ind w:left="1340" w:right="80" w:hanging="660"/>
        <w:spacing w:after="0" w:line="222"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7" w:lineRule="exact"/>
        <w:rPr>
          <w:rFonts w:ascii="Arial" w:cs="Arial" w:eastAsia="Arial" w:hAnsi="Arial"/>
          <w:sz w:val="18"/>
          <w:szCs w:val="18"/>
          <w:color w:val="auto"/>
        </w:rPr>
      </w:pPr>
    </w:p>
    <w:p>
      <w:pPr>
        <w:ind w:left="680" w:right="40" w:hanging="655"/>
        <w:spacing w:after="0" w:line="282" w:lineRule="auto"/>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rFonts w:ascii="Arial" w:cs="Arial" w:eastAsia="Arial" w:hAnsi="Arial"/>
          <w:sz w:val="16"/>
          <w:szCs w:val="16"/>
          <w:color w:val="auto"/>
        </w:rPr>
      </w:pPr>
    </w:p>
    <w:p>
      <w:pPr>
        <w:ind w:left="1340" w:right="60" w:hanging="660"/>
        <w:spacing w:after="0" w:line="251" w:lineRule="auto"/>
        <w:tabs>
          <w:tab w:leader="none" w:pos="134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2" w:lineRule="exact"/>
        <w:rPr>
          <w:rFonts w:ascii="Arial" w:cs="Arial" w:eastAsia="Arial" w:hAnsi="Arial"/>
          <w:sz w:val="17"/>
          <w:szCs w:val="17"/>
          <w:color w:val="auto"/>
        </w:rPr>
      </w:pPr>
    </w:p>
    <w:p>
      <w:pPr>
        <w:ind w:left="1340" w:right="60" w:hanging="660"/>
        <w:spacing w:after="0" w:line="232" w:lineRule="auto"/>
        <w:tabs>
          <w:tab w:leader="none" w:pos="13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6480" w:val="left"/>
        </w:tabs>
        <w:rPr>
          <w:sz w:val="20"/>
          <w:szCs w:val="20"/>
          <w:color w:val="auto"/>
        </w:rPr>
      </w:pPr>
      <w:r>
        <w:rPr>
          <w:rFonts w:ascii="Arial" w:cs="Arial" w:eastAsia="Arial" w:hAnsi="Arial"/>
          <w:sz w:val="18"/>
          <w:szCs w:val="18"/>
          <w:color w:val="auto"/>
        </w:rPr>
        <w:t>Date: September 10, 2021</w:t>
      </w:r>
      <w:r>
        <w:rPr>
          <w:sz w:val="20"/>
          <w:szCs w:val="20"/>
          <w:color w:val="auto"/>
        </w:rPr>
        <w:tab/>
      </w:r>
      <w:r>
        <w:rPr>
          <w:rFonts w:ascii="Arial" w:cs="Arial" w:eastAsia="Arial" w:hAnsi="Arial"/>
          <w:sz w:val="16"/>
          <w:szCs w:val="16"/>
          <w:color w:val="auto"/>
        </w:rPr>
        <w:t>/s/ Keefer M. Lehner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13335</wp:posOffset>
            </wp:positionV>
            <wp:extent cx="30232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023235" cy="8255"/>
                    </a:xfrm>
                    <a:prstGeom prst="rect">
                      <a:avLst/>
                    </a:prstGeom>
                    <a:noFill/>
                  </pic:spPr>
                </pic:pic>
              </a:graphicData>
            </a:graphic>
          </wp:anchor>
        </w:drawing>
      </w:r>
    </w:p>
    <w:p>
      <w:pPr>
        <w:spacing w:after="0" w:line="14"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Keefer M. Lehner</w:t>
      </w:r>
    </w:p>
    <w:p>
      <w:pPr>
        <w:spacing w:after="0" w:line="20"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83"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in connection with the Quarterly Report of KLX Energy Services Holdings, Inc. (the “Company”) on Form 10-Q for the period ended July 31, 2021, as filed with the Securities and Exchange Commission on the date hereof (the “Periodic Report”), I, Christopher J. Baker, as Chief Executive Officer, President and Director of the Company, hereby certify that:</w:t>
      </w:r>
    </w:p>
    <w:p>
      <w:pPr>
        <w:spacing w:after="0" w:line="56" w:lineRule="exact"/>
        <w:rPr>
          <w:sz w:val="20"/>
          <w:szCs w:val="20"/>
          <w:color w:val="auto"/>
        </w:rPr>
      </w:pPr>
    </w:p>
    <w:p>
      <w:pPr>
        <w:ind w:left="560" w:hanging="312"/>
        <w:spacing w:after="0"/>
        <w:tabs>
          <w:tab w:leader="none" w:pos="5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800" w:type="dxa"/>
            <w:vAlign w:val="bottom"/>
          </w:tcPr>
          <w:p>
            <w:pPr>
              <w:spacing w:after="0"/>
              <w:rPr>
                <w:sz w:val="20"/>
                <w:szCs w:val="20"/>
                <w:color w:val="auto"/>
              </w:rPr>
            </w:pPr>
            <w:r>
              <w:rPr>
                <w:rFonts w:ascii="Arial" w:cs="Arial" w:eastAsia="Arial" w:hAnsi="Arial"/>
                <w:sz w:val="18"/>
                <w:szCs w:val="18"/>
                <w:color w:val="auto"/>
              </w:rPr>
              <w:t>Date: September 10, 2021</w:t>
            </w:r>
          </w:p>
        </w:tc>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Christopher J. Baker</w:t>
            </w:r>
          </w:p>
        </w:tc>
      </w:tr>
      <w:tr>
        <w:trPr>
          <w:trHeight w:val="220"/>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Christopher J. Baker</w:t>
            </w:r>
          </w:p>
        </w:tc>
      </w:tr>
      <w:tr>
        <w:trPr>
          <w:trHeight w:val="227"/>
        </w:trPr>
        <w:tc>
          <w:tcPr>
            <w:tcW w:w="6800" w:type="dxa"/>
            <w:vAlign w:val="bottom"/>
          </w:tcPr>
          <w:p>
            <w:pPr>
              <w:spacing w:after="0"/>
              <w:rPr>
                <w:sz w:val="19"/>
                <w:szCs w:val="19"/>
                <w:color w:val="auto"/>
              </w:rPr>
            </w:pPr>
          </w:p>
        </w:tc>
        <w:tc>
          <w:tcPr>
            <w:tcW w:w="44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88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 OXLEY ACT OF 2002</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in connection with the Quarterly Report of KLX Energy Services Holdings, Inc. (the “Company”) on Form 10-Q for the period ended July 31, 2021, as filed with the Securities and Exchange Commission on the date hereof (the “Periodic Report”), I, Keefer M. Lehner, as Executive Vice President and Chief Financial Officer of the Company, hereby certify that:</w:t>
      </w:r>
    </w:p>
    <w:p>
      <w:pPr>
        <w:spacing w:after="0" w:line="56" w:lineRule="exact"/>
        <w:rPr>
          <w:sz w:val="20"/>
          <w:szCs w:val="20"/>
          <w:color w:val="auto"/>
        </w:rPr>
      </w:pPr>
    </w:p>
    <w:p>
      <w:pPr>
        <w:ind w:left="560" w:hanging="312"/>
        <w:spacing w:after="0"/>
        <w:tabs>
          <w:tab w:leader="none" w:pos="5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Periodic Report fully complies with the requirements of Section 13(a) or 15(d) of the Securities Exchange Act of 1934, as amended; and</w:t>
      </w:r>
    </w:p>
    <w:p>
      <w:pPr>
        <w:spacing w:after="0" w:line="31" w:lineRule="exact"/>
        <w:rPr>
          <w:rFonts w:ascii="Arial" w:cs="Arial" w:eastAsia="Arial" w:hAnsi="Arial"/>
          <w:sz w:val="17"/>
          <w:szCs w:val="17"/>
          <w:color w:val="auto"/>
        </w:rPr>
      </w:pPr>
    </w:p>
    <w:p>
      <w:pPr>
        <w:ind w:left="560" w:hanging="312"/>
        <w:spacing w:after="0" w:line="256" w:lineRule="auto"/>
        <w:tabs>
          <w:tab w:leader="none" w:pos="55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37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6440" w:type="dxa"/>
            <w:vAlign w:val="bottom"/>
          </w:tcPr>
          <w:p>
            <w:pPr>
              <w:spacing w:after="0"/>
              <w:rPr>
                <w:sz w:val="20"/>
                <w:szCs w:val="20"/>
                <w:color w:val="auto"/>
              </w:rPr>
            </w:pPr>
            <w:r>
              <w:rPr>
                <w:rFonts w:ascii="Arial" w:cs="Arial" w:eastAsia="Arial" w:hAnsi="Arial"/>
                <w:sz w:val="18"/>
                <w:szCs w:val="18"/>
                <w:color w:val="auto"/>
              </w:rPr>
              <w:t>Date: September 10, 2021</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Keefer M. Lehner</w:t>
            </w:r>
          </w:p>
        </w:tc>
      </w:tr>
      <w:tr>
        <w:trPr>
          <w:trHeight w:val="220"/>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Keefer M. Lehner</w:t>
            </w:r>
          </w:p>
        </w:tc>
      </w:tr>
      <w:tr>
        <w:trPr>
          <w:trHeight w:val="227"/>
        </w:trPr>
        <w:tc>
          <w:tcPr>
            <w:tcW w:w="644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lvl w:ilvl="1">
      <w:lvlJc w:val="left"/>
      <w:lvlText w:val="%2"/>
      <w:numFmt w:val="decimal"/>
      <w:start w:val="104"/>
    </w:lvl>
  </w:abstractNum>
  <w:abstractNum w:abstractNumId="10">
    <w:nsid w:val="3352255A"/>
    <w:multiLevelType w:val="hybridMultilevel"/>
    <w:lvl w:ilvl="0">
      <w:lvlJc w:val="left"/>
      <w:lvlText w:val="**"/>
      <w:numFmt w:val="bullet"/>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34" Type="http://schemas.openxmlformats.org/officeDocument/2006/relationships/hyperlink" Target="http://www.sec.gov/ix?doc=/Archives/edgar/data/1688476/000168847620000017/a201910-kxdoc.htm" TargetMode="External"/><Relationship Id="rId58" Type="http://schemas.openxmlformats.org/officeDocument/2006/relationships/hyperlink" Target="https://www.sec.gov/Archives/edgar/data/0001738827/000119312521189564/d153843dex11.htm" TargetMode="External"/><Relationship Id="rId59" Type="http://schemas.openxmlformats.org/officeDocument/2006/relationships/hyperlink" Target="http://www.sec.gov/Archives/edgar/data/1738827/000173882720000004/klxenergy-archarter2020.htm" TargetMode="External"/><Relationship Id="rId60" Type="http://schemas.openxmlformats.org/officeDocument/2006/relationships/hyperlink" Target="https://www.sec.gov/Archives/edgar/data/0001738827/000173882721000031/fourthamendedandrestatedb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2021-09-10T15:24:49Z</dcterms:created>
  <dcterms:modified xsi:type="dcterms:W3CDTF">2021-09-10T15:24:49Z</dcterms:modified>
</cp:coreProperties>
</file>