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80645</wp:posOffset>
            </wp:positionV>
            <wp:extent cx="1724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2" w:lineRule="exact"/>
        <w:rPr>
          <w:sz w:val="24"/>
          <w:szCs w:val="24"/>
          <w:color w:val="auto"/>
        </w:rPr>
      </w:pPr>
    </w:p>
    <w:p>
      <w:pPr>
        <w:ind w:left="3940" w:right="2380" w:hanging="3391"/>
        <w:spacing w:after="0" w:line="359" w:lineRule="auto"/>
        <w:tabs>
          <w:tab w:leader="none" w:pos="7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57" w:lineRule="exact"/>
        <w:rPr>
          <w:sz w:val="24"/>
          <w:szCs w:val="24"/>
          <w:color w:val="auto"/>
        </w:rPr>
      </w:pPr>
    </w:p>
    <w:p>
      <w:pPr>
        <w:ind w:left="800" w:hanging="251"/>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5" w:lineRule="exact"/>
        <w:rPr>
          <w:sz w:val="24"/>
          <w:szCs w:val="24"/>
          <w:color w:val="auto"/>
        </w:rPr>
      </w:pPr>
    </w:p>
    <w:p>
      <w:pPr>
        <w:ind w:left="4080"/>
        <w:spacing w:after="0"/>
        <w:tabs>
          <w:tab w:leader="none" w:pos="70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-4445</wp:posOffset>
            </wp:positionV>
            <wp:extent cx="509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36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Commission File No. 001-38609</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6"/>
          <w:szCs w:val="36"/>
          <w:b w:val="1"/>
          <w:bCs w:val="1"/>
          <w:color w:val="auto"/>
        </w:rPr>
        <w:t>KLX Energy Services Holdings, Inc.</w:t>
      </w:r>
    </w:p>
    <w:p>
      <w:pPr>
        <w:spacing w:after="0" w:line="4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340"/>
          </w:cols>
          <w:pgMar w:left="320" w:top="757" w:right="239" w:bottom="1440" w:gutter="0" w:footer="0" w:header="0"/>
        </w:sectPr>
      </w:pPr>
    </w:p>
    <w:p>
      <w:pPr>
        <w:spacing w:after="0" w:line="13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color w:val="auto"/>
        </w:rPr>
        <w:t>Delaware</w:t>
      </w:r>
    </w:p>
    <w:p>
      <w:pPr>
        <w:spacing w:after="0" w:line="3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color w:val="auto"/>
        </w:rPr>
        <w:t>36-4904146</w:t>
      </w: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40" w:space="720"/>
            <w:col w:w="4180"/>
          </w:cols>
          <w:pgMar w:left="320" w:top="757" w:right="239" w:bottom="1440" w:gutter="0" w:footer="0" w:header="0"/>
          <w:type w:val="continuous"/>
        </w:sectPr>
      </w:pPr>
    </w:p>
    <w:p>
      <w:pPr>
        <w:spacing w:after="0" w:line="1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3040 Post Oak Boulevard, 15th Floor</w:t>
      </w:r>
    </w:p>
    <w:p>
      <w:pPr>
        <w:spacing w:after="0" w:line="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Houston, TX 77056</w:t>
      </w:r>
    </w:p>
    <w:p>
      <w:pPr>
        <w:spacing w:after="0" w:line="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(832) 844-1015</w:t>
      </w:r>
    </w:p>
    <w:p>
      <w:pPr>
        <w:spacing w:after="0" w:line="23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principal executive offices of registrant)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77"/>
        </w:trPr>
        <w:tc>
          <w:tcPr>
            <w:tcW w:w="36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5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300" w:type="dxa"/>
            <w:vAlign w:val="bottom"/>
          </w:tcPr>
          <w:p>
            <w:pPr>
              <w:spacing w:after="0"/>
              <w:rPr>
                <w:sz w:val="17"/>
                <w:szCs w:val="17"/>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KLXE</w:t>
            </w:r>
          </w:p>
        </w:tc>
        <w:tc>
          <w:tcPr>
            <w:tcW w:w="300" w:type="dxa"/>
            <w:vAlign w:val="bottom"/>
          </w:tcPr>
          <w:p>
            <w:pPr>
              <w:spacing w:after="0"/>
              <w:rPr>
                <w:sz w:val="17"/>
                <w:szCs w:val="17"/>
                <w:color w:val="auto"/>
              </w:rPr>
            </w:pPr>
          </w:p>
        </w:tc>
        <w:tc>
          <w:tcPr>
            <w:tcW w:w="5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12" w:lineRule="exact"/>
        <w:rPr>
          <w:sz w:val="24"/>
          <w:szCs w:val="24"/>
          <w:color w:val="auto"/>
        </w:rPr>
      </w:pPr>
    </w:p>
    <w:p>
      <w:pPr>
        <w:jc w:val="both"/>
        <w:ind w:right="100"/>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9" w:lineRule="exact"/>
        <w:rPr>
          <w:sz w:val="24"/>
          <w:szCs w:val="24"/>
          <w:color w:val="auto"/>
        </w:rPr>
      </w:pPr>
    </w:p>
    <w:p>
      <w:pPr>
        <w:ind w:right="60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4" w:lineRule="exact"/>
        <w:rPr>
          <w:sz w:val="24"/>
          <w:szCs w:val="24"/>
          <w:color w:val="auto"/>
        </w:rPr>
      </w:pPr>
    </w:p>
    <w:p>
      <w:pPr>
        <w:jc w:val="both"/>
        <w:ind w:right="10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60" w:type="dxa"/>
        <w:tblCellMar>
          <w:top w:w="0" w:type="dxa"/>
          <w:left w:w="0" w:type="dxa"/>
          <w:bottom w:w="0" w:type="dxa"/>
          <w:right w:w="0" w:type="dxa"/>
        </w:tblCellMar>
      </w:tblPr>
      <w:tr>
        <w:trPr>
          <w:trHeight w:val="25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25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00" w:lineRule="exact"/>
        <w:rPr>
          <w:sz w:val="24"/>
          <w:szCs w:val="24"/>
          <w:color w:val="auto"/>
        </w:rPr>
      </w:pPr>
    </w:p>
    <w:p>
      <w:pPr>
        <w:ind w:right="100" w:firstLine="241"/>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7" w:lineRule="exact"/>
        <w:rPr>
          <w:sz w:val="24"/>
          <w:szCs w:val="24"/>
          <w:color w:val="auto"/>
        </w:rPr>
      </w:pPr>
    </w:p>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registrant has one class of common stock, $0.01 par value, of which 19,911,759 shares were outstanding as of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533400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75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960" w:type="dxa"/>
            <w:vAlign w:val="bottom"/>
            <w:gridSpan w:val="23"/>
          </w:tcPr>
          <w:p>
            <w:pPr>
              <w:spacing w:after="0"/>
              <w:rPr>
                <w:sz w:val="20"/>
                <w:szCs w:val="20"/>
                <w:color w:val="auto"/>
              </w:rPr>
            </w:pPr>
            <w:r>
              <w:rPr>
                <w:rFonts w:ascii="Arial" w:cs="Arial" w:eastAsia="Arial" w:hAnsi="Arial"/>
                <w:sz w:val="18"/>
                <w:szCs w:val="18"/>
                <w:b w:val="1"/>
                <w:bCs w:val="1"/>
                <w:color w:val="0000FF"/>
              </w:rPr>
              <w:t>PART I - FINANCIAL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ind w:left="60"/>
              <w:spacing w:after="0"/>
              <w:rPr>
                <w:sz w:val="20"/>
                <w:szCs w:val="20"/>
                <w:color w:val="auto"/>
              </w:rPr>
            </w:pPr>
            <w:r>
              <w:rPr>
                <w:rFonts w:ascii="Arial" w:cs="Arial" w:eastAsia="Arial" w:hAnsi="Arial"/>
                <w:sz w:val="18"/>
                <w:szCs w:val="18"/>
                <w:color w:val="0000FF"/>
              </w:rPr>
              <w:t>Item 1. Condensed Consolidated Financial Statements (Unaudited)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51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Balance Sheets as of March 31, 2026 and December 31, 2025</w:t>
            </w:r>
          </w:p>
        </w:tc>
        <w:tc>
          <w:tcPr>
            <w:tcW w:w="530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Statements of Operations for the Three Months Ended March 31, 2026 and 2025</w:t>
            </w:r>
          </w:p>
        </w:tc>
        <w:tc>
          <w:tcPr>
            <w:tcW w:w="402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8"/>
              </w:rPr>
              <w:t>Statements of Stockholders' Equity for the Three Months Ended March 31, 2026 and 2025</w:t>
            </w:r>
          </w:p>
        </w:tc>
        <w:tc>
          <w:tcPr>
            <w:tcW w:w="3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8"/>
              </w:rPr>
              <w:t>Statements of Cash Flows for the Three Months Ended March 31, 2026 and 2025</w:t>
            </w:r>
          </w:p>
        </w:tc>
        <w:tc>
          <w:tcPr>
            <w:tcW w:w="39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Notes to Condensed Consolidated Financial Statements</w:t>
            </w:r>
          </w:p>
        </w:tc>
        <w:tc>
          <w:tcPr>
            <w:tcW w:w="5960" w:type="dxa"/>
            <w:vAlign w:val="bottom"/>
            <w:gridSpan w:val="9"/>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8"/>
              </w:rPr>
              <w:t>Item 2. Management’s Discussion and Analysis of Financial Condition and Results of Operations</w:t>
            </w:r>
          </w:p>
        </w:tc>
        <w:tc>
          <w:tcPr>
            <w:tcW w:w="30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19</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8"/>
              </w:rPr>
              <w:t>Item 4. Controls and Procedures</w:t>
            </w:r>
          </w:p>
        </w:tc>
        <w:tc>
          <w:tcPr>
            <w:tcW w:w="2680" w:type="dxa"/>
            <w:vAlign w:val="bottom"/>
            <w:tcBorders>
              <w:top w:val="single" w:sz="8" w:color="0000FF"/>
            </w:tcBorders>
            <w:gridSpan w:val="5"/>
          </w:tcPr>
          <w:p>
            <w:pPr>
              <w:spacing w:after="0"/>
              <w:rPr>
                <w:sz w:val="18"/>
                <w:szCs w:val="18"/>
                <w:color w:val="auto"/>
              </w:rPr>
            </w:pPr>
          </w:p>
        </w:tc>
        <w:tc>
          <w:tcPr>
            <w:tcW w:w="5380" w:type="dxa"/>
            <w:vAlign w:val="bottom"/>
            <w:gridSpan w:val="7"/>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r>
      <w:tr>
        <w:trPr>
          <w:trHeight w:val="207"/>
        </w:trPr>
        <w:tc>
          <w:tcPr>
            <w:tcW w:w="11000" w:type="dxa"/>
            <w:vAlign w:val="bottom"/>
            <w:gridSpan w:val="24"/>
          </w:tcPr>
          <w:p>
            <w:pPr>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32</w:t>
            </w:r>
          </w:p>
        </w:tc>
      </w:tr>
      <w:tr>
        <w:trPr>
          <w:trHeight w:val="207"/>
        </w:trPr>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Item 1. Legal Proceedings</w:t>
            </w:r>
          </w:p>
        </w:tc>
        <w:tc>
          <w:tcPr>
            <w:tcW w:w="260" w:type="dxa"/>
            <w:vAlign w:val="bottom"/>
            <w:tcBorders>
              <w:top w:val="single" w:sz="8" w:color="0000FF"/>
            </w:tcBorders>
          </w:tcPr>
          <w:p>
            <w:pPr>
              <w:spacing w:after="0"/>
              <w:rPr>
                <w:sz w:val="18"/>
                <w:szCs w:val="18"/>
                <w:color w:val="auto"/>
              </w:rPr>
            </w:pPr>
          </w:p>
        </w:tc>
        <w:tc>
          <w:tcPr>
            <w:tcW w:w="8300" w:type="dxa"/>
            <w:vAlign w:val="bottom"/>
            <w:gridSpan w:val="14"/>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32</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1A. Risk Factors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32</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22"/>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32</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4820" w:type="dxa"/>
            <w:vAlign w:val="bottom"/>
            <w:tcBorders>
              <w:top w:val="single" w:sz="8" w:color="0000FF"/>
            </w:tcBorders>
            <w:gridSpan w:val="15"/>
          </w:tcPr>
          <w:p>
            <w:pPr>
              <w:ind w:left="20"/>
              <w:spacing w:after="0"/>
              <w:rPr>
                <w:sz w:val="20"/>
                <w:szCs w:val="20"/>
                <w:color w:val="auto"/>
              </w:rPr>
            </w:pPr>
            <w:r>
              <w:rPr>
                <w:rFonts w:ascii="Arial" w:cs="Arial" w:eastAsia="Arial" w:hAnsi="Arial"/>
                <w:sz w:val="18"/>
                <w:szCs w:val="18"/>
                <w:color w:val="0000FF"/>
              </w:rPr>
              <w:t>Defaults Upon Senior Securities</w:t>
            </w:r>
          </w:p>
        </w:tc>
        <w:tc>
          <w:tcPr>
            <w:tcW w:w="5240" w:type="dxa"/>
            <w:vAlign w:val="bottom"/>
            <w:gridSpan w:val="5"/>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Item 4.</w:t>
            </w:r>
          </w:p>
        </w:tc>
        <w:tc>
          <w:tcPr>
            <w:tcW w:w="1940" w:type="dxa"/>
            <w:vAlign w:val="bottom"/>
            <w:tcBorders>
              <w:top w:val="single" w:sz="8" w:color="0000FF"/>
              <w:bottom w:val="single" w:sz="8" w:color="0000FF"/>
            </w:tcBorders>
            <w:gridSpan w:val="7"/>
          </w:tcPr>
          <w:p>
            <w:pPr>
              <w:ind w:left="20"/>
              <w:spacing w:after="0"/>
              <w:rPr>
                <w:sz w:val="20"/>
                <w:szCs w:val="20"/>
                <w:color w:val="auto"/>
              </w:rPr>
            </w:pPr>
            <w:r>
              <w:rPr>
                <w:rFonts w:ascii="Arial" w:cs="Arial" w:eastAsia="Arial" w:hAnsi="Arial"/>
                <w:sz w:val="18"/>
                <w:szCs w:val="18"/>
                <w:color w:val="0000FF"/>
                <w:w w:val="98"/>
              </w:rPr>
              <w:t>Mine Safety Disclosures</w:t>
            </w:r>
          </w:p>
        </w:tc>
        <w:tc>
          <w:tcPr>
            <w:tcW w:w="600" w:type="dxa"/>
            <w:vAlign w:val="bottom"/>
            <w:tcBorders>
              <w:top w:val="single" w:sz="8" w:color="0000FF"/>
            </w:tcBorders>
            <w:gridSpan w:val="3"/>
          </w:tcPr>
          <w:p>
            <w:pPr>
              <w:spacing w:after="0"/>
              <w:rPr>
                <w:sz w:val="18"/>
                <w:szCs w:val="18"/>
                <w:color w:val="auto"/>
              </w:rPr>
            </w:pPr>
          </w:p>
        </w:tc>
        <w:tc>
          <w:tcPr>
            <w:tcW w:w="7520" w:type="dxa"/>
            <w:vAlign w:val="bottom"/>
            <w:gridSpan w:val="10"/>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10060" w:type="dxa"/>
            <w:vAlign w:val="bottom"/>
            <w:gridSpan w:val="20"/>
          </w:tcPr>
          <w:p>
            <w:pPr>
              <w:ind w:left="20"/>
              <w:spacing w:after="0"/>
              <w:rPr>
                <w:sz w:val="20"/>
                <w:szCs w:val="20"/>
                <w:color w:val="auto"/>
              </w:rPr>
            </w:pPr>
            <w:r>
              <w:rPr>
                <w:rFonts w:ascii="Arial" w:cs="Arial" w:eastAsia="Arial" w:hAnsi="Arial"/>
                <w:sz w:val="18"/>
                <w:szCs w:val="18"/>
                <w:color w:val="0000FF"/>
              </w:rPr>
              <w:t>Other Information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34</w:t>
            </w: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6.</w:t>
            </w:r>
          </w:p>
        </w:tc>
        <w:tc>
          <w:tcPr>
            <w:tcW w:w="1400" w:type="dxa"/>
            <w:vAlign w:val="bottom"/>
            <w:tcBorders>
              <w:top w:val="single" w:sz="8" w:color="0000FF"/>
            </w:tcBorders>
            <w:gridSpan w:val="4"/>
          </w:tcPr>
          <w:p>
            <w:pPr>
              <w:ind w:left="20"/>
              <w:spacing w:after="0"/>
              <w:rPr>
                <w:sz w:val="20"/>
                <w:szCs w:val="20"/>
                <w:color w:val="auto"/>
              </w:rPr>
            </w:pPr>
            <w:r>
              <w:rPr>
                <w:rFonts w:ascii="Arial" w:cs="Arial" w:eastAsia="Arial" w:hAnsi="Arial"/>
                <w:sz w:val="18"/>
                <w:szCs w:val="18"/>
                <w:color w:val="0000FF"/>
              </w:rPr>
              <w:t>Exhibits</w:t>
            </w:r>
          </w:p>
        </w:tc>
        <w:tc>
          <w:tcPr>
            <w:tcW w:w="8660" w:type="dxa"/>
            <w:vAlign w:val="bottom"/>
            <w:gridSpan w:val="16"/>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34</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20" w:type="dxa"/>
            <w:vAlign w:val="bottom"/>
            <w:gridSpan w:val="18"/>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10960" w:type="dxa"/>
            <w:vAlign w:val="bottom"/>
            <w:gridSpan w:val="23"/>
          </w:tcPr>
          <w:p>
            <w:pPr>
              <w:spacing w:after="0"/>
              <w:rPr>
                <w:sz w:val="20"/>
                <w:szCs w:val="20"/>
                <w:color w:val="auto"/>
              </w:rPr>
            </w:pPr>
            <w:r>
              <w:rPr>
                <w:rFonts w:ascii="Arial" w:cs="Arial" w:eastAsia="Arial" w:hAnsi="Arial"/>
                <w:sz w:val="18"/>
                <w:szCs w:val="18"/>
                <w:b w:val="1"/>
                <w:bCs w:val="1"/>
                <w:color w:val="0000FF"/>
              </w:rPr>
              <w:t>SIGNATURES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35</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rPr>
              <w:t>March 31, 2026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December 31, 2025</w:t>
            </w:r>
          </w:p>
        </w:tc>
      </w:tr>
      <w:tr>
        <w:trPr>
          <w:trHeight w:val="207"/>
        </w:trPr>
        <w:tc>
          <w:tcPr>
            <w:tcW w:w="6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6"/>
                <w:szCs w:val="16"/>
                <w:b w:val="1"/>
                <w:bCs w:val="1"/>
                <w:i w:val="1"/>
                <w:iCs w:val="1"/>
                <w:color w:val="auto"/>
              </w:rPr>
              <w:t>(Unaudited)</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4"/>
        </w:trPr>
        <w:tc>
          <w:tcPr>
            <w:tcW w:w="6960" w:type="dxa"/>
            <w:vAlign w:val="bottom"/>
            <w:shd w:val="clear" w:color="auto" w:fill="CCEEFF"/>
          </w:tcPr>
          <w:p>
            <w:pPr>
              <w:ind w:left="530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Accounts receivable–trade, net of allowance for credit losses of $1.5 and $1.7</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102.7</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0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161.1</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4"/>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696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340.3</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1"/>
        </w:trPr>
        <w:tc>
          <w:tcPr>
            <w:tcW w:w="7380" w:type="dxa"/>
            <w:vAlign w:val="bottom"/>
            <w:gridSpan w:val="2"/>
            <w:shd w:val="clear" w:color="auto" w:fill="CCEEFF"/>
          </w:tcPr>
          <w:p>
            <w:pPr>
              <w:ind w:left="3940"/>
              <w:spacing w:after="0" w:line="181" w:lineRule="exact"/>
              <w:rPr>
                <w:sz w:val="20"/>
                <w:szCs w:val="20"/>
                <w:color w:val="auto"/>
              </w:rPr>
            </w:pPr>
            <w:r>
              <w:rPr>
                <w:rFonts w:ascii="Arial" w:cs="Arial" w:eastAsia="Arial" w:hAnsi="Arial"/>
                <w:sz w:val="16"/>
                <w:szCs w:val="16"/>
                <w:b w:val="1"/>
                <w:bCs w:val="1"/>
                <w:color w:val="auto"/>
              </w:rPr>
              <w:t>LIABILITIES AND STOCKHOLDERS’ EQUITY</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finance lease liabilities</w:t>
            </w: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20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253.9</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Long-term finance lease liabilities</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Commitments, contingencies and off-balance sheet arrangements (Note 6)</w:t>
            </w: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5"/>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Common stock, $0.01 par value; 110.0 authorized; 20.5 and 18.9 issued</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571.3</w:t>
            </w: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Treasury stock, at cost, 0.6 shares and 0.5 shares</w:t>
            </w:r>
          </w:p>
        </w:tc>
        <w:tc>
          <w:tcPr>
            <w:tcW w:w="4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5"/>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(639.5)</w:t>
            </w:r>
          </w:p>
        </w:tc>
      </w:tr>
      <w:tr>
        <w:trPr>
          <w:trHeight w:val="206"/>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stockholders’ deficit</w:t>
            </w: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r>
      <w:tr>
        <w:trPr>
          <w:trHeight w:val="234"/>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deficit</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340.3</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(In millions of U.S. dollars, except per share data)</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Three Months Ended</w:t>
            </w:r>
          </w:p>
        </w:tc>
        <w:tc>
          <w:tcPr>
            <w:tcW w:w="2200" w:type="dxa"/>
            <w:vAlign w:val="bottom"/>
            <w:tcBorders>
              <w:bottom w:val="single" w:sz="8" w:color="auto"/>
            </w:tcBorders>
          </w:tcPr>
          <w:p>
            <w:pPr>
              <w:spacing w:after="0"/>
              <w:rPr>
                <w:sz w:val="18"/>
                <w:szCs w:val="18"/>
                <w:color w:val="auto"/>
              </w:rPr>
            </w:pPr>
          </w:p>
        </w:tc>
      </w:tr>
      <w:tr>
        <w:trPr>
          <w:trHeight w:val="207"/>
        </w:trPr>
        <w:tc>
          <w:tcPr>
            <w:tcW w:w="488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March 31, 2026</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b w:val="1"/>
                <w:bCs w:val="1"/>
                <w:color w:val="auto"/>
              </w:rPr>
              <w:t>March 31, 2025</w:t>
            </w:r>
          </w:p>
        </w:tc>
      </w:tr>
      <w:tr>
        <w:trPr>
          <w:trHeight w:val="207"/>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0" w:type="dxa"/>
            <w:vAlign w:val="bottom"/>
            <w:shd w:val="clear" w:color="auto" w:fill="CCEEFF"/>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w:t>
            </w:r>
          </w:p>
        </w:tc>
      </w:tr>
      <w:tr>
        <w:trPr>
          <w:trHeight w:val="214"/>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r>
      <w:tr>
        <w:trPr>
          <w:trHeight w:val="213"/>
        </w:trPr>
        <w:tc>
          <w:tcPr>
            <w:tcW w:w="488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5"/>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3"/>
        </w:trPr>
        <w:tc>
          <w:tcPr>
            <w:tcW w:w="48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Research and development costs</w:t>
            </w:r>
          </w:p>
        </w:tc>
        <w:tc>
          <w:tcPr>
            <w:tcW w:w="2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Non-operating expense:</w:t>
            </w: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5"/>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income</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488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2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5"/>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 on debt extinguishment</w:t>
            </w:r>
          </w:p>
        </w:tc>
        <w:tc>
          <w:tcPr>
            <w:tcW w:w="2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6"/>
        </w:trPr>
        <w:tc>
          <w:tcPr>
            <w:tcW w:w="4880" w:type="dxa"/>
            <w:vAlign w:val="bottom"/>
          </w:tcPr>
          <w:p>
            <w:pPr>
              <w:ind w:left="20"/>
              <w:spacing w:after="0"/>
              <w:rPr>
                <w:sz w:val="20"/>
                <w:szCs w:val="20"/>
                <w:color w:val="auto"/>
              </w:rPr>
            </w:pPr>
            <w:r>
              <w:rPr>
                <w:rFonts w:ascii="Arial" w:cs="Arial" w:eastAsia="Arial" w:hAnsi="Arial"/>
                <w:sz w:val="16"/>
                <w:szCs w:val="16"/>
                <w:color w:val="auto"/>
              </w:rPr>
              <w:t>Net loss before income tax</w:t>
            </w:r>
          </w:p>
        </w:tc>
        <w:tc>
          <w:tcPr>
            <w:tcW w:w="2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214"/>
        </w:trPr>
        <w:tc>
          <w:tcPr>
            <w:tcW w:w="4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2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4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0" w:type="dxa"/>
            <w:vAlign w:val="bottom"/>
            <w:tcBorders>
              <w:bottom w:val="single" w:sz="8" w:color="auto"/>
            </w:tcBorders>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21"/>
        </w:trPr>
        <w:tc>
          <w:tcPr>
            <w:tcW w:w="488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6"/>
                <w:szCs w:val="16"/>
                <w:color w:val="auto"/>
              </w:rPr>
              <w:t>Net loss per share-basic</w:t>
            </w:r>
          </w:p>
        </w:tc>
        <w:tc>
          <w:tcPr>
            <w:tcW w:w="2200" w:type="dxa"/>
            <w:vAlign w:val="bottom"/>
            <w:tcBorders>
              <w:bottom w:val="single" w:sz="8" w:color="auto"/>
            </w:tcBorders>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32"/>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share-diluted</w:t>
            </w:r>
          </w:p>
        </w:tc>
        <w:tc>
          <w:tcPr>
            <w:tcW w:w="2200" w:type="dxa"/>
            <w:vAlign w:val="bottom"/>
            <w:tcBorders>
              <w:bottom w:val="single" w:sz="8" w:color="auto"/>
            </w:tcBorders>
            <w:shd w:val="clear" w:color="auto" w:fill="CCEEFF"/>
          </w:tcPr>
          <w:p>
            <w:pPr>
              <w:jc w:val="right"/>
              <w:ind w:right="20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Three Months Ended March 31, 2026 and March 31, 2025</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250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14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ind w:left="40"/>
              <w:spacing w:after="0" w:line="107"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1080" w:type="dxa"/>
            <w:vAlign w:val="bottom"/>
            <w:gridSpan w:val="2"/>
            <w:vMerge w:val="restart"/>
          </w:tcPr>
          <w:p>
            <w:pPr>
              <w:ind w:left="80"/>
              <w:spacing w:after="0" w:line="107" w:lineRule="exact"/>
              <w:rPr>
                <w:sz w:val="20"/>
                <w:szCs w:val="20"/>
                <w:color w:val="auto"/>
              </w:rPr>
            </w:pPr>
            <w:r>
              <w:rPr>
                <w:rFonts w:ascii="Arial" w:cs="Arial" w:eastAsia="Arial" w:hAnsi="Arial"/>
                <w:sz w:val="12"/>
                <w:szCs w:val="12"/>
                <w:b w:val="1"/>
                <w:bCs w:val="1"/>
                <w:color w:val="auto"/>
              </w:rPr>
              <w:t>Treasury</w:t>
            </w:r>
          </w:p>
        </w:tc>
        <w:tc>
          <w:tcPr>
            <w:tcW w:w="1300" w:type="dxa"/>
            <w:vAlign w:val="bottom"/>
            <w:gridSpan w:val="3"/>
            <w:vMerge w:val="restart"/>
          </w:tcPr>
          <w:p>
            <w:pPr>
              <w:ind w:left="100"/>
              <w:spacing w:after="0" w:line="107" w:lineRule="exact"/>
              <w:rPr>
                <w:sz w:val="20"/>
                <w:szCs w:val="20"/>
                <w:color w:val="auto"/>
              </w:rPr>
            </w:pPr>
            <w:r>
              <w:rPr>
                <w:rFonts w:ascii="Arial" w:cs="Arial" w:eastAsia="Arial" w:hAnsi="Arial"/>
                <w:sz w:val="12"/>
                <w:szCs w:val="12"/>
                <w:b w:val="1"/>
                <w:bCs w:val="1"/>
                <w:color w:val="auto"/>
              </w:rPr>
              <w:t>Accumulated</w:t>
            </w:r>
          </w:p>
        </w:tc>
        <w:tc>
          <w:tcPr>
            <w:tcW w:w="1180" w:type="dxa"/>
            <w:vAlign w:val="bottom"/>
            <w:gridSpan w:val="2"/>
            <w:vMerge w:val="restart"/>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2"/>
                <w:szCs w:val="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7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60" w:type="dxa"/>
            <w:vAlign w:val="bottom"/>
          </w:tcPr>
          <w:p>
            <w:pPr>
              <w:jc w:val="center"/>
              <w:ind w:right="1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7"/>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warrants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Exercise of warrants</w:t>
            </w: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Balance at March 31, 2026</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573.6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(663.5)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18"/>
                <w:szCs w:val="18"/>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Treasury</w:t>
            </w:r>
          </w:p>
        </w:tc>
        <w:tc>
          <w:tcPr>
            <w:tcW w:w="12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360" w:type="dxa"/>
            <w:vAlign w:val="bottom"/>
          </w:tcPr>
          <w:p>
            <w:pPr>
              <w:spacing w:after="0"/>
              <w:rPr>
                <w:sz w:val="18"/>
                <w:szCs w:val="18"/>
                <w:color w:val="auto"/>
              </w:rPr>
            </w:pPr>
          </w:p>
        </w:tc>
        <w:tc>
          <w:tcPr>
            <w:tcW w:w="1240" w:type="dxa"/>
            <w:vAlign w:val="bottom"/>
            <w:vMerge w:val="restart"/>
          </w:tcPr>
          <w:p>
            <w:pPr>
              <w:jc w:val="right"/>
              <w:ind w:right="5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line="20" w:lineRule="exact"/>
              <w:rPr>
                <w:sz w:val="1"/>
                <w:szCs w:val="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4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Deficit</w:t>
            </w: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Stockholders’Equity</w:t>
            </w:r>
          </w:p>
        </w:tc>
        <w:tc>
          <w:tcPr>
            <w:tcW w:w="0" w:type="dxa"/>
            <w:vAlign w:val="bottom"/>
          </w:tcPr>
          <w:p>
            <w:pPr>
              <w:spacing w:after="0"/>
              <w:rPr>
                <w:sz w:val="1"/>
                <w:szCs w:val="1"/>
                <w:color w:val="auto"/>
              </w:rPr>
            </w:pPr>
          </w:p>
        </w:tc>
      </w:tr>
      <w:tr>
        <w:trPr>
          <w:trHeight w:val="207"/>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2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5"/>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warrants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34"/>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KLX Energy Services Holdings, Inc.</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2" w:lineRule="exact"/>
        <w:rPr>
          <w:sz w:val="20"/>
          <w:szCs w:val="20"/>
          <w:color w:val="auto"/>
        </w:rPr>
      </w:pPr>
    </w:p>
    <w:p>
      <w:pPr>
        <w:ind w:left="4720"/>
        <w:spacing w:after="0"/>
        <w:rPr>
          <w:sz w:val="20"/>
          <w:szCs w:val="20"/>
          <w:color w:val="auto"/>
        </w:rPr>
      </w:pPr>
      <w:r>
        <w:rPr>
          <w:rFonts w:ascii="Arial" w:cs="Arial" w:eastAsia="Arial" w:hAnsi="Arial"/>
          <w:sz w:val="14"/>
          <w:szCs w:val="14"/>
          <w:b w:val="1"/>
          <w:bCs w:val="1"/>
          <w:i w:val="1"/>
          <w:iCs w:val="1"/>
          <w:color w:val="auto"/>
        </w:rPr>
        <w:t>(In millions of U.S. dollars)</w:t>
      </w:r>
    </w:p>
    <w:p>
      <w:pPr>
        <w:jc w:val="center"/>
        <w:ind w:right="-119"/>
        <w:spacing w:after="0"/>
        <w:rPr>
          <w:sz w:val="20"/>
          <w:szCs w:val="20"/>
          <w:color w:val="auto"/>
        </w:rPr>
      </w:pPr>
      <w:r>
        <w:rPr>
          <w:rFonts w:ascii="Arial" w:cs="Arial" w:eastAsia="Arial" w:hAnsi="Arial"/>
          <w:sz w:val="14"/>
          <w:szCs w:val="14"/>
          <w:b w:val="1"/>
          <w:bCs w:val="1"/>
          <w:i w:val="1"/>
          <w:iCs w:val="1"/>
          <w:color w:val="auto"/>
        </w:rPr>
        <w:t>(Unaudited)</w:t>
      </w:r>
    </w:p>
    <w:p>
      <w:pPr>
        <w:spacing w:after="0" w:line="34"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Pr>
          <w:p>
            <w:pPr>
              <w:spacing w:after="0"/>
              <w:rPr>
                <w:sz w:val="18"/>
                <w:szCs w:val="18"/>
                <w:color w:val="auto"/>
              </w:rPr>
            </w:pPr>
          </w:p>
        </w:tc>
        <w:tc>
          <w:tcPr>
            <w:tcW w:w="1520" w:type="dxa"/>
            <w:vAlign w:val="bottom"/>
          </w:tcPr>
          <w:p>
            <w:pPr>
              <w:jc w:val="right"/>
              <w:ind w:right="200"/>
              <w:spacing w:after="0"/>
              <w:rPr>
                <w:sz w:val="20"/>
                <w:szCs w:val="20"/>
                <w:color w:val="auto"/>
              </w:rPr>
            </w:pPr>
            <w:r>
              <w:rPr>
                <w:rFonts w:ascii="Arial" w:cs="Arial" w:eastAsia="Arial" w:hAnsi="Arial"/>
                <w:sz w:val="16"/>
                <w:szCs w:val="16"/>
                <w:b w:val="1"/>
                <w:bCs w:val="1"/>
                <w:color w:val="auto"/>
              </w:rPr>
              <w:t>March 31, 2025</w:t>
            </w:r>
          </w:p>
        </w:tc>
      </w:tr>
      <w:tr>
        <w:trPr>
          <w:trHeight w:val="194"/>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flows provided by (used in) operating activities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5"/>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inventory reserve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Change in allowance for credit losses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 of property, equipment and other</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debt extinguishment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7480" w:type="dxa"/>
            <w:vAlign w:val="bottom"/>
          </w:tcPr>
          <w:p>
            <w:pPr>
              <w:ind w:left="340"/>
              <w:spacing w:after="0"/>
              <w:rPr>
                <w:sz w:val="20"/>
                <w:szCs w:val="20"/>
                <w:color w:val="auto"/>
              </w:rPr>
            </w:pPr>
            <w:r>
              <w:rPr>
                <w:rFonts w:ascii="Arial" w:cs="Arial" w:eastAsia="Arial" w:hAnsi="Arial"/>
                <w:sz w:val="16"/>
                <w:szCs w:val="16"/>
                <w:color w:val="auto"/>
              </w:rPr>
              <w:t>Prepaid expenses and other current and non-current assets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and non-current liabilities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09"/>
        </w:trPr>
        <w:tc>
          <w:tcPr>
            <w:tcW w:w="7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provided by (used in)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194"/>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4"/>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7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194"/>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4"/>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under 2028 ABL Facility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Repayments on Prior ABL Facility</w:t>
            </w:r>
          </w:p>
        </w:tc>
        <w:tc>
          <w:tcPr>
            <w:tcW w:w="1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5"/>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on 2028 ABL Facility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Proceeds from issuance of 2030 Senior Notes and warrants</w:t>
            </w:r>
          </w:p>
        </w:tc>
        <w:tc>
          <w:tcPr>
            <w:tcW w:w="1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225.2</w:t>
            </w:r>
          </w:p>
        </w:tc>
      </w:tr>
      <w:tr>
        <w:trPr>
          <w:trHeight w:val="215"/>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2025 Senior Notes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Mandatory redemption on 2030 Senior Notes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18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5"/>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financed payables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7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provided by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06"/>
        </w:trPr>
        <w:tc>
          <w:tcPr>
            <w:tcW w:w="7480" w:type="dxa"/>
            <w:vAlign w:val="bottom"/>
          </w:tcPr>
          <w:p>
            <w:pPr>
              <w:ind w:left="44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1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06"/>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7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14"/>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period for:</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Income taxes paid, net of refunds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4"/>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4"/>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capital expenditures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1"/>
        </w:trPr>
        <w:tc>
          <w:tcPr>
            <w:tcW w:w="7480" w:type="dxa"/>
            <w:vAlign w:val="bottom"/>
          </w:tcPr>
          <w:p>
            <w:pPr>
              <w:ind w:left="140"/>
              <w:spacing w:after="0"/>
              <w:rPr>
                <w:sz w:val="20"/>
                <w:szCs w:val="20"/>
                <w:color w:val="auto"/>
              </w:rPr>
            </w:pPr>
            <w:r>
              <w:rPr>
                <w:rFonts w:ascii="Arial" w:cs="Arial" w:eastAsia="Arial" w:hAnsi="Arial"/>
                <w:sz w:val="16"/>
                <w:szCs w:val="16"/>
                <w:color w:val="auto"/>
              </w:rPr>
              <w:t>Non-cash interest expense (paid in kind)</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U.S. dollars in millions, except per share data)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2026 or for any future period. The information included in these condensed consolidated financial statements should be read in conjunction with the condensed consolidated financial statements and accompanying notes included in the Company’s 2025 Annual Report on Form 10-K filed with the SEC on March 12, 2026.</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2026</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December 31, 2025</w:t>
            </w:r>
          </w:p>
        </w:tc>
      </w:tr>
      <w:tr>
        <w:trPr>
          <w:trHeight w:val="20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1640" w:type="dxa"/>
            <w:vAlign w:val="bottom"/>
            <w:shd w:val="clear" w:color="auto" w:fill="CCEEFF"/>
          </w:tcPr>
          <w:p>
            <w:pPr>
              <w:jc w:val="right"/>
              <w:ind w:right="14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Plugs</w:t>
            </w:r>
          </w:p>
        </w:tc>
        <w:tc>
          <w:tcPr>
            <w:tcW w:w="1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5"/>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Subtotal</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Inventory reserve</w:t>
            </w:r>
          </w:p>
        </w:tc>
        <w:tc>
          <w:tcPr>
            <w:tcW w:w="1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34"/>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inventories, net</w:t>
            </w:r>
          </w:p>
        </w:tc>
        <w:tc>
          <w:tcPr>
            <w:tcW w:w="1640" w:type="dxa"/>
            <w:vAlign w:val="bottom"/>
            <w:tcBorders>
              <w:bottom w:val="single" w:sz="8" w:color="auto"/>
            </w:tcBorders>
            <w:shd w:val="clear" w:color="auto" w:fill="CCEEFF"/>
          </w:tcPr>
          <w:p>
            <w:pPr>
              <w:jc w:val="right"/>
              <w:ind w:right="14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made up of spare parts, composite and dissolvable plugs, consumables (including thru-tubing accessory tools, chemicals and cement) and other (including coiled tubing strings and wireline spools) used to perform services for customers. The Company values inventories at the lower of cost or net realizable value. Inventories are reported net of inventory reserve of $3.6 and $4.1 as of March 31, 2026 and December 31, 2025,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4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99"/>
              </w:rPr>
              <w:t>Useful Life (Years)</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March 31, 2026</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December 31, 2025</w:t>
            </w:r>
          </w:p>
        </w:tc>
      </w:tr>
      <w:tr>
        <w:trPr>
          <w:trHeight w:val="206"/>
        </w:trPr>
        <w:tc>
          <w:tcPr>
            <w:tcW w:w="4940" w:type="dxa"/>
            <w:vAlign w:val="bottom"/>
          </w:tcPr>
          <w:p>
            <w:pPr>
              <w:ind w:left="20"/>
              <w:spacing w:after="0"/>
              <w:rPr>
                <w:sz w:val="20"/>
                <w:szCs w:val="20"/>
                <w:color w:val="auto"/>
              </w:rPr>
            </w:pPr>
            <w:r>
              <w:rPr>
                <w:rFonts w:ascii="Arial" w:cs="Arial" w:eastAsia="Arial" w:hAnsi="Arial"/>
                <w:sz w:val="16"/>
                <w:szCs w:val="16"/>
                <w:color w:val="auto"/>
              </w:rPr>
              <w:t>Land, buildings and improvements</w:t>
            </w:r>
          </w:p>
        </w:tc>
        <w:tc>
          <w:tcPr>
            <w:tcW w:w="6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Borders>
              <w:top w:val="single" w:sz="8" w:color="auto"/>
            </w:tcBorders>
          </w:tcPr>
          <w:p>
            <w:pPr>
              <w:jc w:val="right"/>
              <w:ind w:right="2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Equipment and furniture</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2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248.6</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 finance leases</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r>
      <w:tr>
        <w:trPr>
          <w:trHeight w:val="206"/>
        </w:trPr>
        <w:tc>
          <w:tcPr>
            <w:tcW w:w="4940" w:type="dxa"/>
            <w:vAlign w:val="bottom"/>
          </w:tcPr>
          <w:p>
            <w:pPr>
              <w:ind w:left="160"/>
              <w:spacing w:after="0"/>
              <w:rPr>
                <w:sz w:val="20"/>
                <w:szCs w:val="20"/>
                <w:color w:val="auto"/>
              </w:rPr>
            </w:pPr>
            <w:r>
              <w:rPr>
                <w:rFonts w:ascii="Arial" w:cs="Arial" w:eastAsia="Arial" w:hAnsi="Arial"/>
                <w:sz w:val="16"/>
                <w:szCs w:val="16"/>
                <w:color w:val="auto"/>
              </w:rPr>
              <w:t>Total property and equipment</w:t>
            </w: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673.9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669.4</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(512.3)</w:t>
            </w: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Construction in progress</w:t>
            </w:r>
          </w:p>
        </w:tc>
        <w:tc>
          <w:tcPr>
            <w:tcW w:w="6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34"/>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property and equipment, net</w:t>
            </w:r>
          </w:p>
        </w:tc>
        <w:tc>
          <w:tcPr>
            <w:tcW w:w="6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expense related to non-leased fixed assets was $16.9 and $19.0 for the three months ended March 31, 2026 and March 31, 2025, respectively. Finance lease amortization expense was $4.9 and $5.6, respectively, for the three months ended March 31, 2026 and March 31,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Pr>
          <w:p>
            <w:pPr>
              <w:spacing w:after="0"/>
              <w:rPr>
                <w:sz w:val="18"/>
                <w:szCs w:val="18"/>
                <w:color w:val="auto"/>
              </w:rPr>
            </w:pPr>
          </w:p>
        </w:tc>
        <w:tc>
          <w:tcPr>
            <w:tcW w:w="1840" w:type="dxa"/>
            <w:vAlign w:val="bottom"/>
          </w:tcPr>
          <w:p>
            <w:pPr>
              <w:jc w:val="right"/>
              <w:ind w:right="220"/>
              <w:spacing w:after="0"/>
              <w:rPr>
                <w:sz w:val="20"/>
                <w:szCs w:val="20"/>
                <w:color w:val="auto"/>
              </w:rPr>
            </w:pPr>
            <w:r>
              <w:rPr>
                <w:rFonts w:ascii="Arial" w:cs="Arial" w:eastAsia="Arial" w:hAnsi="Arial"/>
                <w:sz w:val="16"/>
                <w:szCs w:val="16"/>
                <w:b w:val="1"/>
                <w:bCs w:val="1"/>
                <w:color w:val="auto"/>
              </w:rPr>
              <w:t>December 31, 2025</w:t>
            </w:r>
          </w:p>
        </w:tc>
      </w:tr>
      <w:tr>
        <w:trPr>
          <w:trHeight w:val="207"/>
        </w:trPr>
        <w:tc>
          <w:tcPr>
            <w:tcW w:w="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244.1</w:t>
            </w:r>
          </w:p>
        </w:tc>
      </w:tr>
      <w:tr>
        <w:trPr>
          <w:trHeight w:val="213"/>
        </w:trPr>
        <w:tc>
          <w:tcPr>
            <w:tcW w:w="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2028</w:t>
            </w:r>
          </w:p>
        </w:tc>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ABL Facility</w:t>
            </w: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0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principal outstanding</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w:t>
            </w: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Less: Unamortized debt issuance costs</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5"/>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issue discount</w:t>
            </w:r>
          </w:p>
        </w:tc>
        <w:tc>
          <w:tcPr>
            <w:tcW w:w="2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6"/>
        </w:trPr>
        <w:tc>
          <w:tcPr>
            <w:tcW w:w="7000" w:type="dxa"/>
            <w:vAlign w:val="bottom"/>
            <w:gridSpan w:val="2"/>
          </w:tcPr>
          <w:p>
            <w:pPr>
              <w:ind w:left="240"/>
              <w:spacing w:after="0"/>
              <w:rPr>
                <w:sz w:val="20"/>
                <w:szCs w:val="20"/>
                <w:color w:val="auto"/>
              </w:rPr>
            </w:pPr>
            <w:r>
              <w:rPr>
                <w:rFonts w:ascii="Arial" w:cs="Arial" w:eastAsia="Arial" w:hAnsi="Arial"/>
                <w:sz w:val="16"/>
                <w:szCs w:val="16"/>
                <w:color w:val="auto"/>
              </w:rPr>
              <w:t>Total debt</w:t>
            </w:r>
          </w:p>
        </w:tc>
        <w:tc>
          <w:tcPr>
            <w:tcW w:w="2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258.3</w:t>
            </w:r>
          </w:p>
        </w:tc>
      </w:tr>
      <w:tr>
        <w:trPr>
          <w:trHeight w:val="214"/>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9"/>
        </w:trPr>
        <w:tc>
          <w:tcPr>
            <w:tcW w:w="7000" w:type="dxa"/>
            <w:vAlign w:val="bottom"/>
            <w:gridSpan w:val="2"/>
          </w:tcPr>
          <w:p>
            <w:pPr>
              <w:ind w:left="24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w:t>
            </w:r>
          </w:p>
        </w:tc>
      </w:tr>
      <w:tr>
        <w:trPr>
          <w:trHeight w:val="20"/>
        </w:trPr>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7, 2025, the Company and certain of our subsidiaries party thereto entered into a Securities Purchase Agreement with certain holders (the “Investors”) of our 11.5% senior secured notes due 2025 (the “2025 Senior Notes”), pursuant to which the Company agreed to issue and sell to the Investors (a) approximately $232.2 in aggregate principal amount of the Senior Secured Floating Rate Cash / PIK Notes due 2030 (the “2030 Senior Notes” and, together with the 2025 Senior Notes, the “Senior Secured Notes”) and (b) warrants entitling the holders thereof to purchase, in the aggregate, up to 2,373,187 shares of the Company’s common stock, par value $0.01 per share (“Common Stock”), at an exercise price of $0.01 per share, subject to adjustment in exchange for (i) approximately $78.4 in aggregate cash consideration and (ii) approximately $143.6 aggregate principal amount of the 2025 Senior Notes, which were cancelled by the Company upon receipt thereof (collectively, the “Refinancing”). The Company consummated the Refinancing on March 12,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2030 Senior Notes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 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 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2030 Senior Notes are fully and unconditionally guaranteed by each of the Company’s current subsidiaries. The 2030 Senior Notes will also be guaranteed by each of the Company’s future subsidiaries that guarantee the Company’s indebtedness or indebtedness of guarantors, including under the 2028 ABL Facility (as defined below)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2028 ABL Facility on a first priority basis) and a second priority security interest on the guarantors’ assets which secure the 2028 ABL Facility on a first priority basis, subject in each case to certain excluded assets.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required to redeem the 2030 Senior Notes in an amount equal to 2.00% per annum of all 2030 Senior Notes outstanding as of the prior applicable Interest Payment Date (as defined in the 2030 Senior Notes Indenture) on the last business day of each of March, June, September and December.</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Additionally, upon certain changes of control, consummation of certain asset sales and other events, the Company will be required to repurchase the 2030 Senior Notes at the applicable redemption prices.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2030 Senior Notes Indenture contains certain financial covenants that include (i) a maximum total net leverage ratio of not greater than 4.50 to 1.0 for the test periods ended March 31, 2025 through December 31, 2025, stepping down to 4.00 to 1.0 for the test periods ending March 31, 2026 through December 31, 2026, 3.50 to 1.0 for the test periods ending March 31, 2027 through December 31, 2027, 3.00 to 1.0 for the test periods ending March 31, 2028 through December 31, 2028, and 2.50 to 1.0 for each test period thereafter and (ii) restrictions on making net capital expenditures in any test period in excess of the greater of (x) $65.0 in the aggregate or (y) 7% of revenues during such test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6, 2026, the requisite holders agreed to execute the First Amendment to the 2030 Senior Notes Indenture (the “First Amendment to the Indenture”) to provide financial covenant relief in the form of (i) extending the period for which the maximum total net leverage ratio covenant is tested at 4.50 to 1.0 through and including the testing period ending March 31, 2027, stepping down to 3.50 to 1.0 for the testing periods ending June 30, 2027 through and including March 31, 2028, to 3.00 to 1.0 for the testing periods ending June 30, 2028 through and including March 31, 2029, and to 2.50 to 1.0 for the testing periods ending June 30, 2029 and thereafter, (ii) a temporary holiday to exclude capital lease obligations as indebtedness for the purposes of determining compliance with the maximum total net leverage ratio covenant for the testing periods ending December 31, 2025 through and including March 31, 2027 and (iii) clarifying that proceeds from our ATM Offering (as defined below) program may be applied as an equity cure. The First Amendment to the Indenture also establishes additional debt and lien baskets to permit the issuance of letters of credit by third parties for the Company’s account in favor of insurers in connection with a $6.7 substitute insurance collateral facility. As of March 31, 2026, the Company was in compliance with its debt covenants under the 2030 Senior Notes.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2026, the principal amount outstanding under the 2030 Senior Notes was $249.5. On a net basis, after taking into consideration unamortized debt issuance costs and issue discount for the 2030 Senior Notes, total debt related to the 2030 Senior Notes as of March 31, 2026 was $226.8. The effective interest rate under the 2030 Senior Notes was approximately 12.18% on March 31, 2026. Accrued interest related to the 2030 Senior Notes was $— as of March 31, 2026 and $— as of December 31, 2025.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Senior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previously-issued 2025 Senior Notes were redeemed on March 30, 2025 and the related indenture was satisfied and discharged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2028 ABL Facility</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March 7, 2025, the Company also entered into a Credit Agreement, dated as of March 7, 2025 (the “2028 ABL Facility”), with the Company, as borrower, Eclipse Business Capital LLC, as administrative agent, as collateral agent and as FILO administrative agent and the lenders party thereto. The 2028 ABL Facility is comprised of an asset-based revolving credit facility with a $125.0 commitment (the “Revolving Facility”), a first-in-last-out asset-based credit facility with a $10.0 commitment (the “FILO Facility”), and a committed incremental loan option under the Revolving Facility with a $25.0 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$ 5.0 over-advance provided on the initial funding date under the Revolving Facility. The 2028 ABL Facility is secured by, among other things, a first priority lien on accounts receivable and inventory and contains customary conditions precedent to borrowing and affirmative and negative covenants.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initial funding under the 2028 ABL Facility occurred on March 12, 2025, and the proceeds therefrom were used to repay the Company’s 2018 credit facility with JPMorgan Chase Bank, N.A. as administrative agent (the “Prior ABL Facility”) in full. After giving effect to the foregoing, we had approximately $39.9 of available borrowing capacity under the 2028 ABL Facility. The 2028 ABL Facility includes a springing financial covenant which requires the Company’s consolidated fixed charge coverage ratio to be at least 1.0 to 1.0 if availability under the Revolving Facility falls below $7.0.</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2028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2028 ABL Facility could result in an event of default, which could permit acceleration of the debt, termination of undrawn commitments and enforcement against any liens securing the debt. The 2028 ABL Facility contains certain other covenants (including the ability to incur indebtedness for the purpose of consummating permitted acquisitions, subject to the terms of the 2028 ABL Facility), events of default and other customary provisions. As of March 31, 2026, the Company was in compliance with its financial covenants under the 2028 ABL Facility.</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2026, the borrowings outstanding under the 2028 ABL Facility were $49.0. The effective interest rate under the 2028 ABL Facility was approximately 8.41% on March 31, 2026. Accrued interest related to the 2028 ABL Facility was $0.4 as of March 31, 2026 and $0.4 as of December 31, 2025.</w:t>
      </w:r>
    </w:p>
    <w:p>
      <w:pPr>
        <w:spacing w:after="0" w:line="173"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We have funds available under the 2028 ABL Facility of $42.1 on the March 31, 2026 borrowing base certificate, which includes the undrawn availability on the FILO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ABL Facility</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On March 12, 2025, in connection with the completion of the Refinancing, the Prior ABL Facility was repaid in full using borrowings under the 2028 ABL Facility and the commitments thereunder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debt-related items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standby letters of credit to facilitate commercial transactions with third parties and to secure our performance to certain vendors. Total letters of credit outstanding under the 2028 ABL Facility were $6.9 at March 31, 2026 and $6.9 at December 31, 2025. To the extent liabilities are incurred as a result of the activities covered by the letters of credit, such liabilities are included on the accompanying consolidated balance sheets.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As of March 31, 2026, the Company had $0.5 of outstanding short-term indebtedness related to the financing of various insurance premiums at a weighted average interest rate of approximately 6.43%.</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Information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48" w:lineRule="exact"/>
        <w:rPr>
          <w:sz w:val="20"/>
          <w:szCs w:val="20"/>
          <w:color w:val="auto"/>
        </w:rPr>
      </w:pPr>
    </w:p>
    <w:p>
      <w:pPr>
        <w:ind w:left="640"/>
        <w:spacing w:after="0" w:line="280"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86" w:lineRule="exact"/>
        <w:rPr>
          <w:sz w:val="20"/>
          <w:szCs w:val="20"/>
          <w:color w:val="auto"/>
        </w:rPr>
      </w:pPr>
    </w:p>
    <w:p>
      <w:pPr>
        <w:ind w:left="640"/>
        <w:spacing w:after="0" w:line="280"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$49.0 and $36.0 debt outstanding under the 2028 ABL Facility as of March 31, 2026 and December 31, 2025, respectively. The fair value of the 2028 ABL Facility approximates its carrying value as of March 31, 2026.</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following tables present the placement in the fair value hierarchy of the 2030 Senior Notes, based on market prices for publicly traded debt, as of March 31, 2026 and December 31,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7"/>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March 31, 2026</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2030 Senior Notes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w:t>
            </w:r>
          </w:p>
        </w:tc>
      </w:tr>
      <w:tr>
        <w:trPr>
          <w:trHeight w:val="207"/>
        </w:trPr>
        <w:tc>
          <w:tcPr>
            <w:tcW w:w="4320" w:type="dxa"/>
            <w:vAlign w:val="bottom"/>
            <w:gridSpan w:val="2"/>
          </w:tcPr>
          <w:p>
            <w:pPr>
              <w:ind w:left="240"/>
              <w:spacing w:after="0"/>
              <w:rPr>
                <w:sz w:val="20"/>
                <w:szCs w:val="20"/>
                <w:color w:val="auto"/>
              </w:rPr>
            </w:pPr>
            <w:r>
              <w:rPr>
                <w:rFonts w:ascii="Arial" w:cs="Arial" w:eastAsia="Arial" w:hAnsi="Arial"/>
                <w:sz w:val="16"/>
                <w:szCs w:val="16"/>
                <w:color w:val="auto"/>
              </w:rPr>
              <w:t>Total Senior Notes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w:t>
            </w: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r>
      <w:tr>
        <w:trPr>
          <w:trHeight w:val="568"/>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7"/>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December 31, 2025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Level 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480"/>
              <w:spacing w:after="0"/>
              <w:rPr>
                <w:sz w:val="20"/>
                <w:szCs w:val="20"/>
                <w:color w:val="auto"/>
              </w:rPr>
            </w:pPr>
            <w:r>
              <w:rPr>
                <w:rFonts w:ascii="Arial" w:cs="Arial" w:eastAsia="Arial" w:hAnsi="Arial"/>
                <w:sz w:val="16"/>
                <w:szCs w:val="16"/>
                <w:b w:val="1"/>
                <w:bCs w:val="1"/>
                <w:color w:val="auto"/>
              </w:rPr>
              <w:t>Level 3</w:t>
            </w:r>
          </w:p>
        </w:tc>
      </w:tr>
      <w:tr>
        <w:trPr>
          <w:trHeight w:val="207"/>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2030 Senior Notes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r>
      <w:tr>
        <w:trPr>
          <w:trHeight w:val="207"/>
        </w:trPr>
        <w:tc>
          <w:tcPr>
            <w:tcW w:w="4320" w:type="dxa"/>
            <w:vAlign w:val="bottom"/>
            <w:gridSpan w:val="2"/>
          </w:tcPr>
          <w:p>
            <w:pPr>
              <w:ind w:left="240"/>
              <w:spacing w:after="0"/>
              <w:rPr>
                <w:sz w:val="20"/>
                <w:szCs w:val="20"/>
                <w:color w:val="auto"/>
              </w:rPr>
            </w:pPr>
            <w:r>
              <w:rPr>
                <w:rFonts w:ascii="Arial" w:cs="Arial" w:eastAsia="Arial" w:hAnsi="Arial"/>
                <w:sz w:val="16"/>
                <w:szCs w:val="16"/>
                <w:color w:val="auto"/>
              </w:rPr>
              <w:t>Total Senior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246.0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Pr>
          <w:p>
            <w:pPr>
              <w:ind w:left="1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246.0</w:t>
            </w:r>
          </w:p>
        </w:tc>
      </w:tr>
      <w:tr>
        <w:trPr>
          <w:trHeight w:val="20"/>
        </w:trPr>
        <w:tc>
          <w:tcPr>
            <w:tcW w:w="4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Contingencies and Off-Balance-Sheet Arrangements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Equity and Stock-Based Compensation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Common Stock, having an aggregate offering price of up to $50.0. On November 16, 2022, the Company entered into Amendment No. 1 to the Equity Distribution Agreement, which, among other things, allows for debt-for-equity exchanges in accordance with Section 3(a)(9) of the Securities Act of 1933, as amended (the “Securities Act”). On March 14, 2025, the Company entered into Amendment No. 2 to the Equity Distribution Agreement (the “EDA Amendment”), which, among other things, increased the aggregate offering price to up to approximately $57.8 (which amount includes all of the Common Stock previously sold pursuant to the Equity Distribution Agreement prior to the EDA Amendment) and provides for the Company’s election not to deliver a placement notice.</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Common Stock offered and sold in the ATM Offering may be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related to the ATM Offering that form a part of the Registration Statement. Sales of Common Stock under the Equity Distribution Agreement may be made in any transactions that are deemed to be “at the market offerings” as defined in Rule 415 under the Securities Act. The Registration Statement expired on April 19, 2026 pursuant to Rule 415(a)(5) under the Securities Act. Sales under the ATM Offering program may restart when and if the Company files a prospectus supplement under a successor registration statement.</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three months ended March 31, 2026, the Company did not sell any shares of Common Stock and incurred legal and administrative fees of $0.0.</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three months ended March 31, 2025, the Company sold 142,769 shares of Common Stock in exchange for gross proceeds of approximately $0.5 and incurred legal and administrative fees of $0.1.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10, 2023, the stockholders of KLXE approved the Second Amended and Restated KLX Energy Services Holdings, Inc. Long-Term Incentive Plan, amended and restated as of March 8, 2023 (the “Amended and Restated LTIP”), which, among other things, increased the total number of shares of Common Stock for issuance by 1,200,000 shares, resulting in an increase of the total number of shares of our Common Stock reserved for issuance to 1,256,289, and extended the expiration date to March 8, 2033. A description of the Amended and Restated LTIP is included in the Company’s proxy statement, filed with the SEC on March 28, 2023.</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cost recognized during the three months ended March 31, 2026 and March 31, 2025 was related to grants of restricted stock as approved by the Compensation Committee. Stock-based compensation was $0.3 and $0.8 for the three months ended March 31, 2026 and March 31, 2025, respectively. Unrecognized compensation cost related to restricted stock awards made by the Company was $3.4 at March 31, 2026 and $3.0 at December 31,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was $0.2 and $0.2 for the three months ended March 31, 2026 and March 31, 2025, respectively, and was comprised primarily of state and local taxes. The Company has a valuation allowance against its deferred tax balances and, as a result, it was unable to recognize a federal tax benefit on its year-to-date losses.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additional guidance issued by the U.S. Treasury Department, the Internal Revenue Service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Reporting</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organized on a geographic basis into three reportable segments. These reportable segments, which are also the Company's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for capital expenditures and acquisition funding to the Chief Operating Decision Maker (“CODM”). The Company’s CODM is our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revenues, significant expenses and operating (loss) income by reportable segment: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720"/>
              <w:spacing w:after="0"/>
              <w:rPr>
                <w:sz w:val="20"/>
                <w:szCs w:val="20"/>
                <w:color w:val="auto"/>
              </w:rPr>
            </w:pPr>
            <w:r>
              <w:rPr>
                <w:rFonts w:ascii="Arial" w:cs="Arial" w:eastAsia="Arial" w:hAnsi="Arial"/>
                <w:sz w:val="16"/>
                <w:szCs w:val="16"/>
                <w:b w:val="1"/>
                <w:bCs w:val="1"/>
                <w:color w:val="auto"/>
                <w:w w:val="99"/>
              </w:rPr>
              <w:t>Three Months Ended</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rPr>
              <w:t>Northeast</w:t>
            </w:r>
          </w:p>
        </w:tc>
        <w:tc>
          <w:tcPr>
            <w:tcW w:w="18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13"/>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Less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gridSpan w:val="2"/>
          </w:tcPr>
          <w:p>
            <w:pPr>
              <w:ind w:left="1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CEEFF"/>
          </w:tcPr>
          <w:p>
            <w:pPr>
              <w:ind w:left="160"/>
              <w:spacing w:after="0" w:line="215" w:lineRule="exact"/>
              <w:rPr>
                <w:sz w:val="20"/>
                <w:szCs w:val="20"/>
                <w:color w:val="auto"/>
              </w:rPr>
            </w:pPr>
            <w:r>
              <w:rPr>
                <w:rFonts w:ascii="Arial" w:cs="Arial" w:eastAsia="Arial" w:hAnsi="Arial"/>
                <w:sz w:val="16"/>
                <w:szCs w:val="16"/>
                <w:color w:val="auto"/>
              </w:rPr>
              <w:t>Selling, general and administrative</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Other segment items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Segment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2"/>
        </w:trPr>
        <w:tc>
          <w:tcPr>
            <w:tcW w:w="4780" w:type="dxa"/>
            <w:vAlign w:val="bottom"/>
            <w:gridSpan w:val="2"/>
          </w:tcPr>
          <w:p>
            <w:pPr>
              <w:ind w:left="140"/>
              <w:spacing w:after="0"/>
              <w:rPr>
                <w:sz w:val="20"/>
                <w:szCs w:val="20"/>
                <w:color w:val="auto"/>
              </w:rPr>
            </w:pPr>
            <w:r>
              <w:rPr>
                <w:rFonts w:ascii="Arial" w:cs="Arial" w:eastAsia="Arial" w:hAnsi="Arial"/>
                <w:sz w:val="16"/>
                <w:szCs w:val="16"/>
                <w:i w:val="1"/>
                <w:iCs w:val="1"/>
                <w:color w:val="auto"/>
              </w:rPr>
              <w:t>Reconciliation of profit or loss (segment profit/(loss))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Unallocated corporate expenses</w:t>
            </w:r>
            <w:r>
              <w:rPr>
                <w:rFonts w:ascii="Arial" w:cs="Arial" w:eastAsia="Arial" w:hAnsi="Arial"/>
                <w:sz w:val="20"/>
                <w:szCs w:val="20"/>
                <w:color w:val="auto"/>
                <w:vertAlign w:val="superscript"/>
              </w:rPr>
              <w:t>(2)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4"/>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9"/>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Loss before income tax</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60" w:firstLine="7"/>
        <w:spacing w:after="0" w:line="250" w:lineRule="auto"/>
        <w:tabs>
          <w:tab w:leader="none" w:pos="153"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Note that the Selling, general and administrative line item in the Consolidated Statement of Operations contains the Other segment items line item here, less the Research and development costs line item.</w:t>
      </w:r>
    </w:p>
    <w:p>
      <w:pPr>
        <w:ind w:right="140" w:firstLine="7"/>
        <w:spacing w:after="0" w:line="280" w:lineRule="auto"/>
        <w:tabs>
          <w:tab w:leader="none" w:pos="153" w:val="left"/>
        </w:tabs>
        <w:numPr>
          <w:ilvl w:val="0"/>
          <w:numId w:val="3"/>
        </w:numPr>
        <w:rPr>
          <w:rFonts w:ascii="Arial" w:cs="Arial" w:eastAsia="Arial" w:hAnsi="Arial"/>
          <w:sz w:val="9"/>
          <w:szCs w:val="9"/>
          <w:color w:val="auto"/>
        </w:rPr>
      </w:pPr>
      <w:r>
        <w:rPr>
          <w:rFonts w:ascii="Arial" w:cs="Arial" w:eastAsia="Arial" w:hAnsi="Arial"/>
          <w:sz w:val="14"/>
          <w:szCs w:val="14"/>
          <w:color w:val="auto"/>
        </w:rPr>
        <w:t>For the three months ended March 31, 2026, these consist of $0.9 of cost of sales, $0.2 of depreciation and amortization, $6.4 of selling, general and administrative, and $0.4 of other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720"/>
              <w:spacing w:after="0"/>
              <w:rPr>
                <w:sz w:val="20"/>
                <w:szCs w:val="20"/>
                <w:color w:val="auto"/>
              </w:rPr>
            </w:pPr>
            <w:r>
              <w:rPr>
                <w:rFonts w:ascii="Arial" w:cs="Arial" w:eastAsia="Arial" w:hAnsi="Arial"/>
                <w:sz w:val="16"/>
                <w:szCs w:val="16"/>
                <w:b w:val="1"/>
                <w:bCs w:val="1"/>
                <w:color w:val="auto"/>
                <w:w w:val="99"/>
              </w:rPr>
              <w:t>Three Months Ended</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March 31, 2025</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rPr>
              <w:t>Northeast</w:t>
            </w:r>
          </w:p>
        </w:tc>
        <w:tc>
          <w:tcPr>
            <w:tcW w:w="18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13"/>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Less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gridSpan w:val="2"/>
          </w:tcPr>
          <w:p>
            <w:pPr>
              <w:ind w:left="1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CEEFF"/>
          </w:tcPr>
          <w:p>
            <w:pPr>
              <w:ind w:left="160"/>
              <w:spacing w:after="0" w:line="215" w:lineRule="exact"/>
              <w:rPr>
                <w:sz w:val="20"/>
                <w:szCs w:val="20"/>
                <w:color w:val="auto"/>
              </w:rPr>
            </w:pPr>
            <w:r>
              <w:rPr>
                <w:rFonts w:ascii="Arial" w:cs="Arial" w:eastAsia="Arial" w:hAnsi="Arial"/>
                <w:sz w:val="16"/>
                <w:szCs w:val="16"/>
                <w:color w:val="auto"/>
              </w:rPr>
              <w:t>Selling, general and administrative</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Other segment items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Segment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2"/>
        </w:trPr>
        <w:tc>
          <w:tcPr>
            <w:tcW w:w="4780" w:type="dxa"/>
            <w:vAlign w:val="bottom"/>
            <w:gridSpan w:val="2"/>
          </w:tcPr>
          <w:p>
            <w:pPr>
              <w:ind w:left="140"/>
              <w:spacing w:after="0"/>
              <w:rPr>
                <w:sz w:val="20"/>
                <w:szCs w:val="20"/>
                <w:color w:val="auto"/>
              </w:rPr>
            </w:pPr>
            <w:r>
              <w:rPr>
                <w:rFonts w:ascii="Arial" w:cs="Arial" w:eastAsia="Arial" w:hAnsi="Arial"/>
                <w:sz w:val="16"/>
                <w:szCs w:val="16"/>
                <w:i w:val="1"/>
                <w:iCs w:val="1"/>
                <w:color w:val="auto"/>
              </w:rPr>
              <w:t>Reconciliation of profit or loss (segment profit/(loss))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Unallocated corporate expenses</w:t>
            </w:r>
            <w:r>
              <w:rPr>
                <w:rFonts w:ascii="Arial" w:cs="Arial" w:eastAsia="Arial" w:hAnsi="Arial"/>
                <w:sz w:val="20"/>
                <w:szCs w:val="20"/>
                <w:color w:val="auto"/>
                <w:vertAlign w:val="superscript"/>
              </w:rPr>
              <w:t>(2)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Loss on debt extinguishment</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4"/>
        </w:trPr>
        <w:tc>
          <w:tcPr>
            <w:tcW w:w="4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Loss before income tax</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right="60" w:firstLine="7"/>
        <w:spacing w:after="0" w:line="265" w:lineRule="auto"/>
        <w:tabs>
          <w:tab w:leader="none" w:pos="153"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Note that the Selling, general and administrative line item in the Consolidated Statement of Operations contains the Other segment items line item here, less the Research and development costs line item.</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firstLine="7"/>
        <w:spacing w:after="0" w:line="287" w:lineRule="auto"/>
        <w:tabs>
          <w:tab w:leader="none" w:pos="153"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For the three months ended March 31, 2025, these consist of $0.8 of cost of sales, $0.6 of depreciation and amortization, $9.4 of selling, general and administrative, and $0.4 of other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Other segment items include research and development costs, allocations and other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revenues by service offering by reportable segment: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8"/>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March 31, 2026</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rPr>
              <w:t>Northeast</w:t>
            </w: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3"/>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8"/>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4" w:lineRule="exact"/>
              <w:rPr>
                <w:sz w:val="20"/>
                <w:szCs w:val="20"/>
                <w:color w:val="auto"/>
              </w:rPr>
            </w:pPr>
            <w:r>
              <w:rPr>
                <w:rFonts w:ascii="Arial" w:cs="Arial" w:eastAsia="Arial" w:hAnsi="Arial"/>
                <w:sz w:val="16"/>
                <w:szCs w:val="16"/>
                <w:color w:val="auto"/>
              </w:rPr>
              <w:t>Northeast</w:t>
            </w: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3"/>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Three Months Ended</w:t>
            </w:r>
          </w:p>
        </w:tc>
        <w:tc>
          <w:tcPr>
            <w:tcW w:w="2580" w:type="dxa"/>
            <w:vAlign w:val="bottom"/>
            <w:tcBorders>
              <w:bottom w:val="single" w:sz="8" w:color="auto"/>
            </w:tcBorders>
          </w:tcPr>
          <w:p>
            <w:pPr>
              <w:spacing w:after="0"/>
              <w:rPr>
                <w:sz w:val="18"/>
                <w:szCs w:val="18"/>
                <w:color w:val="auto"/>
              </w:rPr>
            </w:pPr>
          </w:p>
        </w:tc>
      </w:tr>
      <w:tr>
        <w:trPr>
          <w:trHeight w:val="207"/>
        </w:trPr>
        <w:tc>
          <w:tcPr>
            <w:tcW w:w="4200" w:type="dxa"/>
            <w:vAlign w:val="bottom"/>
            <w:tcBorders>
              <w:bottom w:val="single" w:sz="8" w:color="CCEEFF"/>
            </w:tcBorders>
          </w:tcPr>
          <w:p>
            <w:pPr>
              <w:spacing w:after="0"/>
              <w:rPr>
                <w:sz w:val="18"/>
                <w:szCs w:val="18"/>
                <w:color w:val="auto"/>
              </w:rPr>
            </w:pPr>
          </w:p>
        </w:tc>
        <w:tc>
          <w:tcPr>
            <w:tcW w:w="25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March 31, 2026</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b w:val="1"/>
                <w:bCs w:val="1"/>
                <w:color w:val="auto"/>
              </w:rPr>
              <w:t>December 31, 2025</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520" w:type="dxa"/>
            <w:vAlign w:val="bottom"/>
            <w:shd w:val="clear" w:color="auto" w:fill="CCEEFF"/>
          </w:tcPr>
          <w:p>
            <w:pPr>
              <w:jc w:val="right"/>
              <w:ind w:right="23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6"/>
                <w:szCs w:val="16"/>
                <w:color w:val="auto"/>
                <w:w w:val="8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139.2</w:t>
            </w: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06"/>
        </w:trPr>
        <w:tc>
          <w:tcPr>
            <w:tcW w:w="4200" w:type="dxa"/>
            <w:vAlign w:val="bottom"/>
          </w:tcPr>
          <w:p>
            <w:pPr>
              <w:ind w:left="160"/>
              <w:spacing w:after="0"/>
              <w:rPr>
                <w:sz w:val="20"/>
                <w:szCs w:val="20"/>
                <w:color w:val="auto"/>
              </w:rPr>
            </w:pPr>
            <w:r>
              <w:rPr>
                <w:rFonts w:ascii="Arial" w:cs="Arial" w:eastAsia="Arial" w:hAnsi="Arial"/>
                <w:sz w:val="16"/>
                <w:szCs w:val="16"/>
                <w:color w:val="auto"/>
              </w:rPr>
              <w:t>Total</w:t>
            </w:r>
          </w:p>
        </w:tc>
        <w:tc>
          <w:tcPr>
            <w:tcW w:w="2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325.9</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334.6</w:t>
            </w:r>
          </w:p>
        </w:tc>
      </w:tr>
      <w:tr>
        <w:trPr>
          <w:trHeight w:val="214"/>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assets</w:t>
            </w:r>
          </w:p>
        </w:tc>
        <w:tc>
          <w:tcPr>
            <w:tcW w:w="2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9"/>
        </w:trPr>
        <w:tc>
          <w:tcPr>
            <w:tcW w:w="420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2520" w:type="dxa"/>
            <w:vAlign w:val="bottom"/>
            <w:tcBorders>
              <w:bottom w:val="single" w:sz="8" w:color="auto"/>
            </w:tcBorders>
          </w:tcPr>
          <w:p>
            <w:pPr>
              <w:jc w:val="right"/>
              <w:ind w:right="2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w w:val="89"/>
              </w:rPr>
              <w:t>$</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340.3</w:t>
            </w:r>
          </w:p>
        </w:tc>
      </w:tr>
      <w:tr>
        <w:trPr>
          <w:trHeight w:val="20"/>
        </w:trPr>
        <w:tc>
          <w:tcPr>
            <w:tcW w:w="42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capital expenditures by reportable segment: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Three Months Ended</w:t>
            </w:r>
          </w:p>
        </w:tc>
        <w:tc>
          <w:tcPr>
            <w:tcW w:w="2520" w:type="dxa"/>
            <w:vAlign w:val="bottom"/>
            <w:tcBorders>
              <w:bottom w:val="single" w:sz="8" w:color="auto"/>
            </w:tcBorders>
          </w:tcPr>
          <w:p>
            <w:pPr>
              <w:spacing w:after="0"/>
              <w:rPr>
                <w:sz w:val="18"/>
                <w:szCs w:val="18"/>
                <w:color w:val="auto"/>
              </w:rPr>
            </w:pPr>
          </w:p>
        </w:tc>
      </w:tr>
      <w:tr>
        <w:trPr>
          <w:trHeight w:val="207"/>
        </w:trPr>
        <w:tc>
          <w:tcPr>
            <w:tcW w:w="4200" w:type="dxa"/>
            <w:vAlign w:val="bottom"/>
            <w:tcBorders>
              <w:bottom w:val="single" w:sz="8" w:color="CCEEFF"/>
            </w:tcBorders>
          </w:tcPr>
          <w:p>
            <w:pPr>
              <w:spacing w:after="0"/>
              <w:rPr>
                <w:sz w:val="18"/>
                <w:szCs w:val="18"/>
                <w:color w:val="auto"/>
              </w:rPr>
            </w:pPr>
          </w:p>
        </w:tc>
        <w:tc>
          <w:tcPr>
            <w:tcW w:w="25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March 31, 2026</w:t>
            </w: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b w:val="1"/>
                <w:bCs w:val="1"/>
                <w:color w:val="auto"/>
              </w:rPr>
              <w:t>March 31, 2025</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520" w:type="dxa"/>
            <w:vAlign w:val="bottom"/>
            <w:shd w:val="clear" w:color="auto" w:fill="CCEEFF"/>
          </w:tcPr>
          <w:p>
            <w:pPr>
              <w:jc w:val="right"/>
              <w:ind w:right="23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Unallocated corporate expenditures</w:t>
            </w:r>
          </w:p>
        </w:tc>
        <w:tc>
          <w:tcPr>
            <w:tcW w:w="2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34"/>
        </w:trPr>
        <w:tc>
          <w:tcPr>
            <w:tcW w:w="42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2520" w:type="dxa"/>
            <w:vAlign w:val="bottom"/>
            <w:tcBorders>
              <w:top w:val="single" w:sz="8" w:color="auto"/>
              <w:bottom w:val="single" w:sz="8" w:color="auto"/>
            </w:tcBorders>
            <w:shd w:val="clear" w:color="auto" w:fill="CCEEFF"/>
          </w:tcPr>
          <w:p>
            <w:pPr>
              <w:jc w:val="right"/>
              <w:ind w:right="23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2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Loss Per Common Share</w:t>
      </w:r>
    </w:p>
    <w:p>
      <w:pPr>
        <w:spacing w:after="0" w:line="24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Basic net loss per common share is computed using the weighted average common shares outstanding during the period. Diluted net loss per common share is computed by using the weighted average common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outstanding, including the dilutive effect of restricted shares based on an average share price during the period. For the three months ended March 31, 2026 and March 31, 2025, 0.6 and 0.7 million shares of Common Stock, respectively, were excluded from the determination of diluted net loss per common share because their effect would have been anti-dilutive. The computations of basic and diluted net loss per share for the three months ended March 31, 2026 and March 31, 2025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80" w:type="dxa"/>
            <w:vAlign w:val="bottom"/>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2026</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31"/>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0" w:type="dxa"/>
            <w:vAlign w:val="bottom"/>
            <w:tcBorders>
              <w:bottom w:val="single" w:sz="8" w:color="auto"/>
            </w:tcBorders>
            <w:shd w:val="clear" w:color="auto" w:fill="CCEEFF"/>
          </w:tcPr>
          <w:p>
            <w:pPr>
              <w:jc w:val="right"/>
              <w:ind w:right="18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in millions)</w:t>
            </w: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28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0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20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0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per common share</w:t>
            </w:r>
          </w:p>
        </w:tc>
        <w:tc>
          <w:tcPr>
            <w:tcW w:w="2000" w:type="dxa"/>
            <w:vAlign w:val="bottom"/>
            <w:shd w:val="clear" w:color="auto" w:fill="CCEEFF"/>
          </w:tcPr>
          <w:p>
            <w:pPr>
              <w:jc w:val="right"/>
              <w:ind w:right="18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6"/>
                <w:szCs w:val="16"/>
                <w:color w:val="auto"/>
              </w:rPr>
              <w:t>Diluted net loss per common share</w:t>
            </w:r>
          </w:p>
        </w:tc>
        <w:tc>
          <w:tcPr>
            <w:tcW w:w="2000" w:type="dxa"/>
            <w:vAlign w:val="bottom"/>
          </w:tcPr>
          <w:p>
            <w:pPr>
              <w:jc w:val="right"/>
              <w:ind w:right="18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780" w:type="dxa"/>
            <w:vAlign w:val="bottom"/>
          </w:tcPr>
          <w:p>
            <w:pPr>
              <w:jc w:val="right"/>
              <w:ind w:right="600"/>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Stuart Porter, a greater than 5% passive shareholder of the company, is the Senior Partner of Trace Capital. From time to time and in the ordinary course of business and at arms-length, certain Trace Capital portfolio companies engage us as service providers. The revenue associated with these related party transactions was $ 3.4 and $0.4 for the three months ended March 31, 2026 and March 31, 2025, respectively, and the related accounts receivable balance was $0.3 and $3.9 as of March 31, 2026 and December 31, 2025,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in our Annual Report on Form 10-K for the year ended December 31, 2025 and in this Quarterly Report, including the following factors:</w:t>
      </w:r>
    </w:p>
    <w:p>
      <w:pPr>
        <w:spacing w:after="0" w:line="207" w:lineRule="exact"/>
        <w:rPr>
          <w:sz w:val="20"/>
          <w:szCs w:val="20"/>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such as inflation and government efforts to reduce inflation or a recession;</w:t>
      </w:r>
    </w:p>
    <w:p>
      <w:pPr>
        <w:spacing w:after="0" w:line="24"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persistent volatility in national and global crude oil demand and crude oil prices;</w:t>
      </w:r>
    </w:p>
    <w:p>
      <w:pPr>
        <w:spacing w:after="0" w:line="6" w:lineRule="exact"/>
        <w:rPr>
          <w:rFonts w:ascii="Arial" w:cs="Arial" w:eastAsia="Arial" w:hAnsi="Arial"/>
          <w:sz w:val="18"/>
          <w:szCs w:val="18"/>
          <w:color w:val="auto"/>
        </w:rPr>
      </w:pPr>
    </w:p>
    <w:p>
      <w:pPr>
        <w:ind w:left="800" w:right="20" w:hanging="151"/>
        <w:spacing w:after="0" w:line="248"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in response to reductions in demand or other factors;</w:t>
      </w: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24" w:lineRule="exact"/>
        <w:rPr>
          <w:rFonts w:ascii="Arial" w:cs="Arial" w:eastAsia="Arial" w:hAnsi="Arial"/>
          <w:sz w:val="18"/>
          <w:szCs w:val="18"/>
          <w:color w:val="auto"/>
        </w:rPr>
      </w:pPr>
    </w:p>
    <w:p>
      <w:pPr>
        <w:jc w:val="both"/>
        <w:ind w:left="80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domestic and global political and economic conditions, including the imposition of increased, new and retaliatory tariffs or trade or other economic sanctions, political instability or armed conflict, including the ongoing conflicts in Ukraine, the Israel-Gaza region and elsewhere in the Middle East, including the conflict with Iran, as well as conditions in South America, including most recently in Venezuela;</w:t>
      </w:r>
    </w:p>
    <w:p>
      <w:pPr>
        <w:ind w:left="80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capital spending and access to capital markets by our customers in response to changes in demand and crude oil prices;</w:t>
      </w: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compliance with the covenants in our debt agreements and our liquidity levels and the need to obtain additional capital or financing, and the availability and/or cost of obtaining such capital or financing;</w:t>
      </w: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or interruption in operations of one or more key suppliers;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6" w:lineRule="exact"/>
        <w:rPr>
          <w:rFonts w:ascii="Arial" w:cs="Arial" w:eastAsia="Arial" w:hAnsi="Arial"/>
          <w:sz w:val="18"/>
          <w:szCs w:val="18"/>
          <w:color w:val="auto"/>
        </w:rPr>
      </w:pPr>
    </w:p>
    <w:p>
      <w:pPr>
        <w:jc w:val="both"/>
        <w:ind w:left="80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supply, demand and costs of equipment, including as a result of tariffs;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of terrorist or cyberattacks and the consequences of any such events;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environment and impacts resulting from a global pandemic and subsequent variants;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successfully consummate or integrate our acquisitions or inability to manage potential growth; and</w:t>
      </w:r>
    </w:p>
    <w:p>
      <w:pPr>
        <w:spacing w:after="0" w:line="6" w:lineRule="exact"/>
        <w:rPr>
          <w:rFonts w:ascii="Arial" w:cs="Arial" w:eastAsia="Arial" w:hAnsi="Arial"/>
          <w:sz w:val="18"/>
          <w:szCs w:val="18"/>
          <w:color w:val="auto"/>
        </w:rPr>
      </w:pPr>
    </w:p>
    <w:p>
      <w:pPr>
        <w:ind w:left="800" w:hanging="151"/>
        <w:spacing w:after="0" w:line="244"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(U.S. dollars in millions, except per share data)</w:t>
      </w:r>
    </w:p>
    <w:p>
      <w:pPr>
        <w:spacing w:after="0" w:line="15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auto"/>
        </w:rPr>
        <w:t>The following discussion and analysis should be read in conjunction with the historical condensed consolidated financial statements and related notes included elsewhere in this Quarterly Report as well as our Annual Report on Form 10-K for the year ended December 31, 2025</w:t>
      </w:r>
      <w:r>
        <w:rPr>
          <w:rFonts w:ascii="Arial" w:cs="Arial" w:eastAsia="Arial" w:hAnsi="Arial"/>
          <w:sz w:val="18"/>
          <w:szCs w:val="18"/>
          <w:color w:val="auto"/>
        </w:rPr>
        <w:t>.</w:t>
      </w:r>
    </w:p>
    <w:p>
      <w:pPr>
        <w:jc w:val="both"/>
        <w:spacing w:after="0" w:line="225" w:lineRule="auto"/>
        <w:rPr>
          <w:sz w:val="20"/>
          <w:szCs w:val="20"/>
          <w:color w:val="auto"/>
        </w:rPr>
      </w:pPr>
      <w:r>
        <w:rPr>
          <w:rFonts w:ascii="Arial" w:cs="Arial" w:eastAsia="Arial" w:hAnsi="Arial"/>
          <w:sz w:val="18"/>
          <w:szCs w:val="18"/>
          <w:i w:val="1"/>
          <w:iCs w:val="1"/>
          <w:color w:val="auto"/>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addresses the results of our operations for the three months ended March 31, 2026, as compared to our results of operations for the three months ended March 31, 2025. In addition, the discussion and analysis addresses our liquidity, financial condition and other matters for these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Quintana Energy Services, Inc. (“QES”) during the second quarter of 2020 and, by doing so, helped establish KLXE as an industry leading provider of asset-light oilfield solutions across the full well lifecycle to the major onshore oil and gas producing regions of the United States.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merger of KLXE and QES (the “QES Merger”)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resulting in KLXE becoming a leading diversified provider of drilling, completions and production services, with market leadership positions in coiled tubing and fishing services. After closing the QES Merger, the Company integrated personnel, facilities, processes and systems across all functional areas of the organization.</w:t>
      </w:r>
    </w:p>
    <w:p>
      <w:pPr>
        <w:spacing w:after="0" w:line="21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On March 8, 2023, KLXE acquired all of the equity interests of Greene’s Energy Group, LLC (“Greene’s”), in an all-stock transaction, including $1.7 in cash remaining at Greene’s, which was subsequently adjusted to $1.1 due to a $0.6 working capital adjustment.</w:t>
      </w:r>
    </w:p>
    <w:p>
      <w:pPr>
        <w:spacing w:after="0" w:line="186"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Looking ahead, the Company expects to continue to pursue opportunistic, strategic, accretive acquisitions that would be expected to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geographic segments. While we manage our business based upon these geographic groupings, our assets and our technical personnel are deployed on a dynamic basis across all of our service facilities to optimize utilization and profitability.</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and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40 patents and 6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While oil prices declined in the first half of 2023 from their 2022 highs, oil prices rebounded in the third quarter of 2023 due to stronger than anticipated economic growth and sustained production cuts from Saudi Arabia and Russia, followed by oil price stabilization, through decreases, in the fourth quarter of 2023 due to a decrease in demand as the overall economy declined. During the first half of 2024, oil prices increased steadily, while in the second half of the year they fell back and traded within a relatively narrow band. Natural gas prices also declined since the fourth quarter of 2023, bottoming out in the first quarter of 2024 and remaining near historic lows for the remainder of the year, before increasing in early 2025 to a two-year high. Oil and natural gas prices have been, and may remain, volatile, which impacts demand for our business. West Texas Intermediate’s (“WTI") average daily price per barrel increased by approximately 22.0%, to $72.74 per Bbl during the three months ended March 31, 2026, compared to the WTI average daily price per barrel of $59.62 per Bbl during the three months ended December 31, 2025. However, these average prices conceal extremes reached within the first quarter of 2026, with early January lows near $56 per Bbl and late March highs at almost $ 105 per Bbl, in the run-up to the ongoing conflict with Iran. As of March 31, 2026, U.S. land rig count stood at 530, which increased slightly compared to December 31, 2025, when the U.S. land rig count was 527. So far in 2026, factors affecting oil prices have included instability and conflict in the Middle East, output increases from the largest oil-producing countries and changes in the growth rate of the U.S. and world economies.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volatility in commodity prices during the fiscal year ended December 31, 2025, the Company remains focused on providing the highest level of customer service across our regions and different service offerings, which has allowed us to make meaningful positive impacts to our revenue, operating margins, cash flows and Adjusted EBITDA (as defined below). We are taking steps to hire essential personnel and increase capital expenditures as activity rebounds, but we are measured in our growth and focused on returns.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Looking ahead to the year ending December 31, 2026, assuming economic activity holds at the recent level and commodity prices remain volatile, we anticipate that our customers will continue to cautiously allocate capital and operating expense spending. So far in the year ending December 31, 2026, WTI prices have increased markedly in March and April, after the start of the ongoing conflict with Iran. Still, the increase has not been stable, as news from the region drives large changes to WTI prices on a daily basis. Currently, it is difficult to try and estimate the future direction of WTI prices or global oil inventories, or whether our customers will meaningfully increase planned drilling this year if there continues to be significant uncertainty on the duration of the conflict and increase in oil prices.</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Oil and natural gas prices may fluctuate with changes in demand due to, among other things, the ongoing war in Ukraine, the Israel-Hamas conflict, the conflict with Iran, conditions in South America, including most recently in Venezuela, international sanctions, speculation as to future actions by the Organization of the Petroleum Exporting Countries and its allies, gas prices, interest rates, inflation and government efforts to reduce inflation, and possible changes in the overall health of the global economy, including a perceived economic recovery or any increased volatility in financial and credit markets, the imposition of increased, new and retaliatory tariffs or a recession.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that are not within our control and cannot be accurately predicted.</w:t>
      </w:r>
    </w:p>
    <w:p>
      <w:pPr>
        <w:spacing w:after="0" w:line="214"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We believe our diverse product and service offerings uniquely position KLXE to respond to a rapidly evolving marketplace where we can provide a comprehensive suite of engineered solutions for our customers with one call and one master services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4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offer superior margins over the long-term and short payback periods. Our services generally require equipment that is less expensive to maintain and is operated by a smaller staff than many other oilfield services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major basins, while preserving a solid balance sheet, maintaining sufficient operating liquidity and prudently managing our capital expenditures.</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may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to Three Months Ended March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9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 and product line for the periods indicated:</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22"/>
        </w:trPr>
        <w:tc>
          <w:tcPr>
            <w:tcW w:w="464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1"/>
        </w:trPr>
        <w:tc>
          <w:tcPr>
            <w:tcW w:w="46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March 31, 2026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3"/>
          </w:tcPr>
          <w:p>
            <w:pPr>
              <w:ind w:left="500"/>
              <w:spacing w:after="0"/>
              <w:rPr>
                <w:sz w:val="20"/>
                <w:szCs w:val="20"/>
                <w:color w:val="auto"/>
              </w:rPr>
            </w:pPr>
            <w:r>
              <w:rPr>
                <w:rFonts w:ascii="Arial" w:cs="Arial" w:eastAsia="Arial" w:hAnsi="Arial"/>
                <w:sz w:val="18"/>
                <w:szCs w:val="18"/>
                <w:b w:val="1"/>
                <w:bCs w:val="1"/>
                <w:color w:val="auto"/>
              </w:rPr>
              <w:t>March 31, 2025</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464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1940" w:type="dxa"/>
            <w:vAlign w:val="bottom"/>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660" w:type="dxa"/>
            <w:vAlign w:val="bottom"/>
          </w:tcPr>
          <w:p>
            <w:pPr>
              <w:jc w:val="right"/>
              <w:ind w:right="145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1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7"/>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Northeast/Mid-Con</w:t>
            </w:r>
          </w:p>
        </w:tc>
        <w:tc>
          <w:tcPr>
            <w:tcW w:w="1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28.0 %</w:t>
            </w:r>
          </w:p>
        </w:tc>
      </w:tr>
      <w:tr>
        <w:trPr>
          <w:trHeight w:val="24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940" w:type="dxa"/>
            <w:vAlign w:val="bottom"/>
            <w:tcBorders>
              <w:bottom w:val="single" w:sz="8" w:color="auto"/>
            </w:tcBorders>
            <w:shd w:val="clear" w:color="auto" w:fill="CCEEFF"/>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45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4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46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March 31, 2026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2025</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4640" w:type="dxa"/>
            <w:vAlign w:val="bottom"/>
          </w:tcPr>
          <w:p>
            <w:pPr>
              <w:ind w:left="280"/>
              <w:spacing w:after="0"/>
              <w:rPr>
                <w:sz w:val="20"/>
                <w:szCs w:val="20"/>
                <w:color w:val="auto"/>
              </w:rPr>
            </w:pPr>
            <w:r>
              <w:rPr>
                <w:rFonts w:ascii="Arial" w:cs="Arial" w:eastAsia="Arial" w:hAnsi="Arial"/>
                <w:sz w:val="18"/>
                <w:szCs w:val="18"/>
                <w:color w:val="auto"/>
              </w:rPr>
              <w:t>Drilling</w:t>
            </w:r>
          </w:p>
        </w:tc>
        <w:tc>
          <w:tcPr>
            <w:tcW w:w="1940" w:type="dxa"/>
            <w:vAlign w:val="bottom"/>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Completion</w:t>
            </w:r>
          </w:p>
        </w:tc>
        <w:tc>
          <w:tcPr>
            <w:tcW w:w="1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7"/>
        </w:trPr>
        <w:tc>
          <w:tcPr>
            <w:tcW w:w="4640" w:type="dxa"/>
            <w:vAlign w:val="bottom"/>
          </w:tcPr>
          <w:p>
            <w:pPr>
              <w:ind w:left="280"/>
              <w:spacing w:after="0"/>
              <w:rPr>
                <w:sz w:val="20"/>
                <w:szCs w:val="20"/>
                <w:color w:val="auto"/>
              </w:rPr>
            </w:pPr>
            <w:r>
              <w:rPr>
                <w:rFonts w:ascii="Arial" w:cs="Arial" w:eastAsia="Arial" w:hAnsi="Arial"/>
                <w:sz w:val="18"/>
                <w:szCs w:val="18"/>
                <w:color w:val="auto"/>
              </w:rPr>
              <w:t>Production</w:t>
            </w:r>
          </w:p>
        </w:tc>
        <w:tc>
          <w:tcPr>
            <w:tcW w:w="1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7"/>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Intervention</w:t>
            </w:r>
          </w:p>
        </w:tc>
        <w:tc>
          <w:tcPr>
            <w:tcW w:w="1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1"/>
        </w:trPr>
        <w:tc>
          <w:tcPr>
            <w:tcW w:w="46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940" w:type="dxa"/>
            <w:vAlign w:val="bottom"/>
            <w:tcBorders>
              <w:bottom w:val="single" w:sz="8" w:color="auto"/>
            </w:tcBorders>
          </w:tcPr>
          <w:p>
            <w:pPr>
              <w:jc w:val="right"/>
              <w:ind w:right="17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46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quarter ended March 31, 2026, revenues were $144.7, a decrease of $9.3, or 6.0%, as compared with the prior year period. The overall decrease in revenues reflects a decline in activity during the quarter, leading to lower demand for our services. Lower weighted average price contributed to approximately 67% of the $9.3 decrease, and lower weighted average volume contributed to the remaining approximately 33%. On a segment basis, Rocky Mountains segment revenue decreased by $9.2 or 19.2%. Lower weighted average price contributed to approximately 7% of the dollar decrease, and lower weighted average volume contributed to the remaining approximately 93%. Southwest segment revenue decreased by $11.6 or 17.8%. Lower weighted average price contributed to approximately 97% of the dollar decrease, and lower weighted average volume contributed to the remaining approximately 3%. Northeast/Mid-Con segment revenue increased by $11.5 or 28.0%. Higher weighted average price contributed to approximately 80% of the dollar decrease, and higher weighted average volume contributed to the remaining approximately 20%.</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quarter ended March 31, 2026, cost of sales were $119.1, or 82.3% of sales, as compared to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2025 of $123.8, or 80.4% of sales. Cost of sales as a percentage of revenues increased primarily due to lower revenues during the quarter. The two largest components of cost of sales are labor and repair &amp; maintenance. As cost of sales as a percentage of revenues increased, labor costs per employee increased by 0.6% as compared with the three months ended March 31, 2025. Repair &amp; maintenance costs as a percentage of revenues increased by 7.3% as compared to the three months ended March 31, 2025, due to an increase in repair &amp; maintenance costs during the quarter.</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 expenses (“SG&amp;A”)</w:t>
      </w:r>
      <w:r>
        <w:rPr>
          <w:rFonts w:ascii="Arial" w:cs="Arial" w:eastAsia="Arial" w:hAnsi="Arial"/>
          <w:sz w:val="18"/>
          <w:szCs w:val="18"/>
          <w:color w:val="auto"/>
        </w:rPr>
        <w:t>. For the quarter ended March 31, 2026, SG&amp;A expenses were $ 15.4, or 10.6%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as compared with $21.6, or 14.0% of revenues, in the prior year period. The decreases on a dollar basis and in percentage of revenues are the result of continuous efforts to reduce costs and improve efficiency.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income</w:t>
      </w:r>
      <w:r>
        <w:rPr>
          <w:rFonts w:ascii="Arial" w:cs="Arial" w:eastAsia="Arial" w:hAnsi="Arial"/>
          <w:sz w:val="18"/>
          <w:szCs w:val="18"/>
          <w:color w:val="auto"/>
        </w:rPr>
        <w:t>. The following is a summary of operating (loss) income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r>
      <w:tr>
        <w:trPr>
          <w:trHeight w:val="221"/>
        </w:trPr>
        <w:tc>
          <w:tcPr>
            <w:tcW w:w="5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191"/>
              <w:spacing w:after="0"/>
              <w:rPr>
                <w:sz w:val="20"/>
                <w:szCs w:val="20"/>
                <w:color w:val="auto"/>
              </w:rPr>
            </w:pPr>
            <w:r>
              <w:rPr>
                <w:rFonts w:ascii="Arial" w:cs="Arial" w:eastAsia="Arial" w:hAnsi="Arial"/>
                <w:sz w:val="18"/>
                <w:szCs w:val="18"/>
                <w:b w:val="1"/>
                <w:bCs w:val="1"/>
                <w:color w:val="auto"/>
              </w:rPr>
              <w:t>March 31, 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2025</w:t>
            </w:r>
          </w:p>
        </w:tc>
        <w:tc>
          <w:tcPr>
            <w:tcW w:w="160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7"/>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7"/>
        </w:trPr>
        <w:tc>
          <w:tcPr>
            <w:tcW w:w="5760" w:type="dxa"/>
            <w:vAlign w:val="bottom"/>
          </w:tcPr>
          <w:p>
            <w:pPr>
              <w:ind w:left="280"/>
              <w:spacing w:after="0"/>
              <w:rPr>
                <w:sz w:val="20"/>
                <w:szCs w:val="20"/>
                <w:color w:val="auto"/>
              </w:rPr>
            </w:pPr>
            <w:r>
              <w:rPr>
                <w:rFonts w:ascii="Arial" w:cs="Arial" w:eastAsia="Arial" w:hAnsi="Arial"/>
                <w:sz w:val="18"/>
                <w:szCs w:val="18"/>
                <w:color w:val="auto"/>
              </w:rPr>
              <w:t>Rocky Mountains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7"/>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Southwest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7"/>
        </w:trPr>
        <w:tc>
          <w:tcPr>
            <w:tcW w:w="5760" w:type="dxa"/>
            <w:vAlign w:val="bottom"/>
          </w:tcPr>
          <w:p>
            <w:pPr>
              <w:ind w:left="280"/>
              <w:spacing w:after="0"/>
              <w:rPr>
                <w:sz w:val="20"/>
                <w:szCs w:val="20"/>
                <w:color w:val="auto"/>
              </w:rPr>
            </w:pPr>
            <w:r>
              <w:rPr>
                <w:rFonts w:ascii="Arial" w:cs="Arial" w:eastAsia="Arial" w:hAnsi="Arial"/>
                <w:sz w:val="18"/>
                <w:szCs w:val="18"/>
                <w:color w:val="auto"/>
              </w:rPr>
              <w:t>Northeast/Mid-Con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7"/>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36.3 %</w:t>
            </w:r>
          </w:p>
        </w:tc>
      </w:tr>
      <w:tr>
        <w:trPr>
          <w:trHeight w:val="221"/>
        </w:trPr>
        <w:tc>
          <w:tcPr>
            <w:tcW w:w="5760" w:type="dxa"/>
            <w:vAlign w:val="bottom"/>
          </w:tcPr>
          <w:p>
            <w:pPr>
              <w:ind w:left="20"/>
              <w:spacing w:after="0"/>
              <w:rPr>
                <w:sz w:val="20"/>
                <w:szCs w:val="20"/>
                <w:color w:val="auto"/>
              </w:rPr>
            </w:pPr>
            <w:r>
              <w:rPr>
                <w:rFonts w:ascii="Arial" w:cs="Arial" w:eastAsia="Arial" w:hAnsi="Arial"/>
                <w:sz w:val="18"/>
                <w:szCs w:val="18"/>
                <w:color w:val="auto"/>
              </w:rPr>
              <w:t>Total operating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31.6 %</w:t>
            </w: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For the quarter ended March 31, 2026, operating loss was $12.1 compared to operating loss of $17.7 in the prior year period, due to lower Corporate and other operating costs.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results across our three geographic segments declined as a function of lower revenues compared to the prior year period. Rocky Mountains segment operating loss was $3.8, Southwest segment operating loss was $3.4, and Northeast/Mid-Con segment operating income was $3.0 for the three months ended March 31, 2026.</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quarter ended March 31, 2026, income tax expense was $0.2, consistent with income tax expense of $0.2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and was comprised primarily of state and local taxes. The Company did not recognize a federal tax benefit on its year-to-date losses because it has a valuation allowance against its deferred tax balances.</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For the quarter ended March 31, 2026, net loss was $24.0, as compared to net loss of $27.9 in the prior year period, improving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as a result of lower operating costs as discussed above.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our Prior ABL Facility and 2028 ABL Facility and cash flows from operations. At March 31, 2026, we had $5.6 of cash and cash equivalents and $42.1 of available capacity under the 2028 ABL Facility.</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taken several actions to continue to improve our liquidity position, including equity issuances under our ATM Offering program, debt-for-equity exchanges that have reduced interest burden and monetization of non-core and obsolete assets. Recently, we completed a refinancing of our long-term indebtedness on March 12, 2025, as described in greater detail under “—Refinancing”, “—ABL Facilities—2028 ABL Facility” and “—Senior Secured Notes—2030 Senior Notes” below. As market conditions warrant and subject to our contractual restrictions, liquidity position and other factors, we may further access the public or private debt and equity markets, sell non-core assets or seek to recapitalize, refinance or otherwise restructure our capital structure.</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comply with the covenants in our debt instruments and pay the principal and interest on our debt and to satisfy our other liabilities will depend on our future operating performance and our ability to refinance our debt as it becomes due. Our future operating performance and ability to refinance such indebtedness will be affected by prevailing economic and 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 In addition, incurring additional debt in excess of our existing outstanding indebtedness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result in increased interest expense and financial leverage, and issuing Common Stock may result in dilution to our current stockholders.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ensure our continued compliance with the maximum total net leverage ratio covenant under the 2030 Senior Notes Indenture, on March 6, 2026, the requisite Investors (as defined below) agreed to execute the First Amendment to the 2030 Senior Notes Indenture (the “First Amendment to the Indenture”) to provide financial covenant relief, described more fully below under “2030 Senior Notes.” In connection with the entry into the First Amendment to the Indenture, we issued warrants for our Common Stock (the “Warrants”) to our Investors, based on their pro rata ownership of principal amount of the 2030 Senior Notes, providing for the purchase of up to 803,712 shares of Common Stock at an exercise price of $0.01 per share, subject to adjustment, pursuant to Section 4(a)(2) of the Securities Act.</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2028 ABL Facility matures on March 7, 2028 and we intend to work with our existing lenders or other sources of capital to refinance the 2028 ABL Facility as well as our 2030 Senior Notes. If we are unable to refinance the 2028 ABL Facility as planned and uncertainty around our ability to refinance our existing long-term debt still exists, that could result in our auditors issuing a “going concern” or like qualification or exception as early as our audit opinion with respect to the fiscal year ending December 31, 2026.</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light of our substantial leverage position, as market conditions warrant and subject to our contractual restrictions, liquidity position and other factors, we are evaluating several alternatives for deleveraging including debt for equity exchanges, non-core asset sales or other potential transactions to recapitalize, refinance or otherwise restructure our capital structure. Some of these alternatives may require the consent of current lenders, stockholders or Investors, and there is no assurance that we will be able to execute any of these alternatives on acceptable terms or at all.</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actively manage our capital spending and are focused primarily on required maintenance spending. For the past couple of years, due to increasing oil prices leading to an increase in demand for our services, our operating cash flow has been positive. Based on our current forecasts, we believe our cash on hand, availability under the 2028 ABL Facility and our cash flows will provide us with the ability to fund our operations for at least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7, 2025, the Company and certain of our subsidiaries party thereto entered into a Securities Purchase Agreement with certain holders (the “Investors”) of our 2025 Senior Notes, pursuant to which the Company agreed to issue and sell to the Investors (a) approximately $232.2 in aggregate principal amount of the 2030 Senior Notes and (b) warrants entitling the Investors thereof to purchase, in the aggregate, up to 2,373,187 shares of Common Stock, at an exercise price of $0.01 per share, subject to adjustment in exchange for (i) approximately $78.4 in aggregate cash consideration and (ii) approximately $ 143.6 aggregate principal amount of the 2025 Senior Notes, which were cancelled by the Company upon receipt thereof (collectively, the “Refinancing”). The Company consummated the Refinancing on March 12,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2030 Senior Notes</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12, 2025, as part of the Refinancing, the Company and certain of its subsidiaries entered into the 2030 Senior Notes Indenture, with U.S. Bank Trust Company, National Association, as the trustee and notes collateral agent, pursuant to which $232.2 of the 2030 Senior 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 basis point premium for any period where interest is paid-in-kind. The 2030 Senior Notes are senior secured obligations of the Company and are guaranteed on a senior secured basis by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of the Company’s current domestic subsidiaries and by certain future subsidiaries, subject to agreed guaranty and security principles and certain exclusions.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2030 Senior Notes are fully and unconditionally guaranteed by each of the Company’s current subsidiaries. The 2030 Senior Notes will also be guaranteed by each of the Company’s future subsidiaries that guarantee the Company’s indebtedness or indebtedness of guarantors, including under the 2028 ABL Facility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2028 ABL Facility on a first priority basis) and a second priority security interest on the guarantors’ assets which secure the 2028 ABL Facility on a first priority basis, subject in each case to certain excluded assets.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required to redeem the 2030 Senior Notes in an amount equal to 2.00% per annum of all 2030 Senior Notes outstanding as of the prior applicable Interest Payment Date (as defined in the 2030 Senior Notes Indenture) on the last business day of each of March, June, September and December. Additionally, upon certain changes of control, consummation of certain asset sales and other events, the Company will be required to repurchase the 2030 Senior Notes at the applicable redemption prices.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2030 Senior Notes Indenture contains certain financial covenants that include (i) a maximum total net leverage ratio of not greater than 4.50 to 1.0 for the test periods ended March 31, 2025 through December 31, 2025, stepping down to 4.00 to 1.0 for the test periods ending March 31, 2026 through December 31, 2026, 3.50 to 1.0 for the test periods ending March 31, 2027 through December 31, 2027, 3.00 to 1.0 for the test periods ending March 31, 2028 through December 31, 2028, and 2.50 to 1.0 for each test period thereafter and (ii) restrictions on making net capital expenditures in any test period in excess of the greater of (x) $65.0 in the aggregate or (y) 7% of revenues during such test period.</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6, 2026, the requisite Investors agreed to execute the First Amendment to the Indenture to provide financial covenant relief in the form of (i) extending the period for which the maximum total net leverage ratio covenant is tested at 4.50 to 1.0 through and including the testing period ending March 31, 2027, stepping down to 3.50 to 1.0 for the testing periods ending June 30, 2027 through and including March 31, 2028, to 3.00 to 1.0 for the testing periods ending June 30, 2028 through and including March 31, 2029, and to 2.50 to 1.0 for the testing periods ending June 30, 2029 and thereafter, (ii) a temporary holiday to exclude capital lease obligations as indebtedness for the purposes of determining compliance with the maximum total net leverage ratio covenant for the testing periods ending December 31, 2025 through and including March 31, 2027 and (iii) clarifying that proceeds from our ATM Offering program may be applied as an equity cure. The First Amendment to the Indenture also establishes additional debt and lien baskets to permit the issuance of letters of credit by third parties for the Company’s account in favor of insurers in connection with a $6.7 substitute insurance collateral facility. As of March 31, 2026, the Company was in compliance with its financial covenants under the 2030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is no certainty that the First Amendment to the Indenture will be sufficient to allow us to comply with our covenants under the 2030 Senior Notes Indenture or that we will be able to obtain future amendments in the event we are unable to comply with such covenants. For additional details, see “Part I. Item 1A. Risk Factors—Risks Relating to Financial Considerations—The 2030 Senior Notes Indenture and the 2028 ABL Facility have significant financial and operating restrictions that may have an adverse effect on our business, financial condition and results of operations. A failure to comply with the obligations contained in any such agreement governing our indebtedness could result in an event of default under such agreement, which could permit acceleration of the related debt, enforcement against any liens securing the related debt and acceleration of debt under other instruments that may contain cross acceleration or cross default provisions. We may not have, or may not be able to obtain, sufficient funds to make any required accelerated payments” in our Annual Report on Form 10-K for the year ended December 31, 2025. Also in connection with our entry into the First Amendment to the Indenture, we issued Warrants to our noteholders, based on their pro rata ownership of principal amount of the 2030 Senior Notes, providing for the purchase of up to 803,712 shares of Common Stock at an exercise price of $0.01 per share, subject to adjustment, pursuant to Section 4(a)(2) of the Securities Act.</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2026, the principal amount outstanding under the 2030 Senior Notes was $249.5. On a net basis, after taking into consideration unamortized debt issuance costs and issue discount for the 2030 Senior Notes, total debt related to the 2030 Senior Notes as of March 31, 2026 was $226.8. The effective interest rate under the 2030 Senior Notes was approximately 12.18% on March 31, 2026. Accrued interest related to the 2030 Senior Notes was $— as of March 31, 2026 and $— as of December 31,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Senior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previously-issued 2025 Senior Notes were redeemed on March 30, 2025 and the related indenture was satisfied and discharged in full.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2028 ABL Facility</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7, 2025, the Company also entered into a Credit Agreement, dated as of March 7, 2025 (the “2028 ABL Facility”), with the Company, as borrower, Eclipse Business Capital LLC, as administrative agent, as collateral agent and as FILO administrative agent and the lenders party thereto. The 2028 ABL Facility is comprised of an asset-based revolving credit facility with a $125.0 commitment (the “Revolving Facility”), a first-in-last-out asset-based credit facility with a $10.0 commitment (the “FILO Facility”), and a committed incremental loan option under the Revolving Facility with a $25.0 commitment (the “Incremental Revolving Loans”).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$5.0 over-advance provided on the initial funding date under the Revolving Facility. The 2028 ABL Facility is secured by, among other things, a first priority lien on accounts receivable and inventory and contains customary conditions precedent to borrowing and affirmative and negative covenants.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initial funding under the 2028 ABL Facility occurred on March 12, 2025, and the proceeds therefrom were used to repay the Prior ABL Facility in full. After giving effect to the foregoing, we had approximately $39.9 of available borrowing capacity under the 2028 ABL Facility. Our 2028 ABL Facility matures on March 7,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2028 ABL Facility includes a springing financial covenant which requires the Company’s consolidated fixed charge coverage ratio to be at least 1.0 to 1.0 if availability under the Revolving Facility falls below $7.0.</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2028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2028 ABL Facility could result in an event of default, which could permit acceleration of the debt, termination of undrawn commitments and enforcement against any liens securing the debt. The 2028 ABL Facility contains certain other covenants (including the ability to incur indebtedness for the purpose of consummating permitted acquisitions, subject to the terms of the 2028 ABL Facility), events of default and other customary provisions. As of March 31, 2026, the Company was in compliance with its financial covenants under the 2028 ABL Facility.</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2026, the borrowings outstanding under the 2028 ABL Facility were $49.0. The effective interest rate under the 2028 ABL Facility was approximately 8.41% on March 31, 2026. Accrued interest related to the 2028 ABL Facility was $0.4 as of March 31, 2026 and $0.4 as of December 31, 2025.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capital expenditures were $8.7 during the three months ended March 31, 2026, compared to $15.0 in the three months ended March 31, 2025. We offset $ 3.4 of capital spending during the three months ended March 31, 2026 with the same amount of proceeds from asset sales. Based on current industry conditions and our significant investments in capital expenditures over the past several years, we expect to incur approximately $ 40.0 in total capital expenditures for the year ending December 31, 2026.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Common Stock, having an aggregate offering price of up to $50.0. On November 16, 2022, the Company entered into Amendment No. 1 to the Equity Distribution Agreement, which, among other things, allows for debt-for-equity exchanges in accordance with Section 3(a)(9) of the Securities Act. On March 14, 2025, the Company entered into Amendment No. 2 to the Equity Distribution Agreement (the “EDA Amendment”), which, among other things, increased the aggregate offering price to up to approximately $57.8 (which amount includes all of the Common Stock previously sold pursuant to the Equity Distribution Agreement prior to the EDA Amendment) and provides for the Company’s election not to deliver a placement notice. Under the terms of the Equity Distribution Agreement, the Company will pay the Agent a commission equal to 3.0% of the gross sales price of the Common Stock sold.</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Common Stock offered and sold in the ATM Offering may be issued pursuant to the Company’s shelf registration statement on Form S-3 (Registration No. 333-271182) filed with the SEC on April 7, 2023 and declared effective on April 19, 2023 (the “Registration Statement”), the prospectus supplement relating to the ATM Offering filed with the SEC on March 14, 2025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 The Registration Statement expired on April 19, 2026 pursuant to Rule 415(a)(5) under the Securities Act. Sales under the ATM Offering program may restart when and if the Company files a prospectus supplement under a successor registration statement.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used and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three months ended March 31, 2026, the Company did not sell any shares of Common Stock and incurred legal and administrative fees of $0.0.</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three months ended March 31, 2025, the Company sold 142,769 shares of Common Stock in exchange for gross proceeds of approximately $0.5 and incurred legal and administrative fees of $0.1.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cash flows provided by operating activities for the three months ended March 31, 2026 were approximately $0.3 as compared to approximately $37.6 used in operating activities for the three months ended March 31, 2025.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2026, we had $ 5.6 of cash and cash equivalents. Cash on hand at March 31, 2026 decreased by $0.1, as a result of $0.3 of cash flows provided by operating activities, $5.3 of cash flows used in investing activities and $4.9 provided by financing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780" w:type="dxa"/>
            <w:vAlign w:val="bottom"/>
            <w:tcBorders>
              <w:bottom w:val="single" w:sz="8" w:color="auto"/>
            </w:tcBorders>
            <w:gridSpan w:val="4"/>
            <w:shd w:val="clear" w:color="auto" w:fill="CCEEFF"/>
          </w:tcPr>
          <w:p>
            <w:pPr>
              <w:ind w:left="88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7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2026</w:t>
            </w:r>
          </w:p>
        </w:tc>
        <w:tc>
          <w:tcPr>
            <w:tcW w:w="240" w:type="dxa"/>
            <w:vAlign w:val="bottom"/>
          </w:tcPr>
          <w:p>
            <w:pPr>
              <w:spacing w:after="0"/>
              <w:rPr>
                <w:sz w:val="19"/>
                <w:szCs w:val="19"/>
                <w:color w:val="auto"/>
              </w:rPr>
            </w:pPr>
          </w:p>
        </w:tc>
        <w:tc>
          <w:tcPr>
            <w:tcW w:w="1720" w:type="dxa"/>
            <w:vAlign w:val="bottom"/>
          </w:tcPr>
          <w:p>
            <w:pPr>
              <w:ind w:left="100"/>
              <w:spacing w:after="0"/>
              <w:rPr>
                <w:sz w:val="20"/>
                <w:szCs w:val="20"/>
                <w:color w:val="auto"/>
              </w:rPr>
            </w:pPr>
            <w:r>
              <w:rPr>
                <w:rFonts w:ascii="Arial" w:cs="Arial" w:eastAsia="Arial" w:hAnsi="Arial"/>
                <w:sz w:val="18"/>
                <w:szCs w:val="18"/>
                <w:b w:val="1"/>
                <w:bCs w:val="1"/>
                <w:color w:val="auto"/>
              </w:rPr>
              <w:t>March 31, 2025</w:t>
            </w:r>
          </w:p>
        </w:tc>
      </w:tr>
      <w:tr>
        <w:trPr>
          <w:trHeight w:val="221"/>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balance beginning of period</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center"/>
              <w:ind w:left="1231"/>
              <w:spacing w:after="0"/>
              <w:rPr>
                <w:sz w:val="20"/>
                <w:szCs w:val="20"/>
                <w:color w:val="auto"/>
              </w:rPr>
            </w:pPr>
            <w:r>
              <w:rPr>
                <w:rFonts w:ascii="Arial" w:cs="Arial" w:eastAsia="Arial" w:hAnsi="Arial"/>
                <w:sz w:val="18"/>
                <w:szCs w:val="18"/>
                <w:color w:val="auto"/>
                <w:w w:val="95"/>
              </w:rPr>
              <w:t>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center"/>
              <w:ind w:left="1131"/>
              <w:spacing w:after="0"/>
              <w:rPr>
                <w:sz w:val="20"/>
                <w:szCs w:val="20"/>
                <w:color w:val="auto"/>
              </w:rPr>
            </w:pPr>
            <w:r>
              <w:rPr>
                <w:rFonts w:ascii="Arial" w:cs="Arial" w:eastAsia="Arial" w:hAnsi="Arial"/>
                <w:sz w:val="18"/>
                <w:szCs w:val="18"/>
                <w:color w:val="auto"/>
                <w:w w:val="96"/>
              </w:rPr>
              <w:t>91.6</w:t>
            </w:r>
          </w:p>
        </w:tc>
      </w:tr>
      <w:tr>
        <w:trPr>
          <w:trHeight w:val="227"/>
        </w:trPr>
        <w:tc>
          <w:tcPr>
            <w:tcW w:w="7200" w:type="dxa"/>
            <w:vAlign w:val="bottom"/>
          </w:tcPr>
          <w:p>
            <w:pPr>
              <w:ind w:left="280"/>
              <w:spacing w:after="0"/>
              <w:rPr>
                <w:sz w:val="20"/>
                <w:szCs w:val="20"/>
                <w:color w:val="auto"/>
              </w:rPr>
            </w:pPr>
            <w:r>
              <w:rPr>
                <w:rFonts w:ascii="Arial" w:cs="Arial" w:eastAsia="Arial" w:hAnsi="Arial"/>
                <w:sz w:val="18"/>
                <w:szCs w:val="18"/>
                <w:color w:val="auto"/>
              </w:rPr>
              <w:t>Net cash flows provided by (used in) operating activities</w:t>
            </w:r>
          </w:p>
        </w:tc>
        <w:tc>
          <w:tcPr>
            <w:tcW w:w="240" w:type="dxa"/>
            <w:vAlign w:val="bottom"/>
          </w:tcPr>
          <w:p>
            <w:pPr>
              <w:spacing w:after="0"/>
              <w:rPr>
                <w:sz w:val="19"/>
                <w:szCs w:val="19"/>
                <w:color w:val="auto"/>
              </w:rPr>
            </w:pPr>
          </w:p>
        </w:tc>
        <w:tc>
          <w:tcPr>
            <w:tcW w:w="1720" w:type="dxa"/>
            <w:vAlign w:val="bottom"/>
          </w:tcPr>
          <w:p>
            <w:pPr>
              <w:jc w:val="center"/>
              <w:ind w:left="1231"/>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center"/>
              <w:ind w:left="1091"/>
              <w:spacing w:after="0"/>
              <w:rPr>
                <w:sz w:val="20"/>
                <w:szCs w:val="20"/>
                <w:color w:val="auto"/>
              </w:rPr>
            </w:pPr>
            <w:r>
              <w:rPr>
                <w:rFonts w:ascii="Arial" w:cs="Arial" w:eastAsia="Arial" w:hAnsi="Arial"/>
                <w:sz w:val="18"/>
                <w:szCs w:val="18"/>
                <w:color w:val="auto"/>
                <w:w w:val="97"/>
              </w:rPr>
              <w:t>(37.6)</w:t>
            </w:r>
          </w:p>
        </w:tc>
      </w:tr>
      <w:tr>
        <w:trPr>
          <w:trHeight w:val="227"/>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1191"/>
              <w:spacing w:after="0"/>
              <w:rPr>
                <w:sz w:val="20"/>
                <w:szCs w:val="20"/>
                <w:color w:val="auto"/>
              </w:rPr>
            </w:pPr>
            <w:r>
              <w:rPr>
                <w:rFonts w:ascii="Arial" w:cs="Arial" w:eastAsia="Arial" w:hAnsi="Arial"/>
                <w:sz w:val="18"/>
                <w:szCs w:val="18"/>
                <w:color w:val="auto"/>
                <w:w w:val="97"/>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1091"/>
              <w:spacing w:after="0"/>
              <w:rPr>
                <w:sz w:val="20"/>
                <w:szCs w:val="20"/>
                <w:color w:val="auto"/>
              </w:rPr>
            </w:pPr>
            <w:r>
              <w:rPr>
                <w:rFonts w:ascii="Arial" w:cs="Arial" w:eastAsia="Arial" w:hAnsi="Arial"/>
                <w:sz w:val="18"/>
                <w:szCs w:val="18"/>
                <w:color w:val="auto"/>
                <w:w w:val="97"/>
              </w:rPr>
              <w:t>(10.2)</w:t>
            </w:r>
          </w:p>
        </w:tc>
      </w:tr>
      <w:tr>
        <w:trPr>
          <w:trHeight w:val="227"/>
        </w:trPr>
        <w:tc>
          <w:tcPr>
            <w:tcW w:w="7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flows provided by (used in) financing activities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1231"/>
              <w:spacing w:after="0"/>
              <w:rPr>
                <w:sz w:val="20"/>
                <w:szCs w:val="20"/>
                <w:color w:val="auto"/>
              </w:rPr>
            </w:pPr>
            <w:r>
              <w:rPr>
                <w:rFonts w:ascii="Arial" w:cs="Arial" w:eastAsia="Arial" w:hAnsi="Arial"/>
                <w:sz w:val="18"/>
                <w:szCs w:val="18"/>
                <w:color w:val="auto"/>
                <w:w w:val="95"/>
              </w:rPr>
              <w:t>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1091"/>
              <w:spacing w:after="0"/>
              <w:rPr>
                <w:sz w:val="20"/>
                <w:szCs w:val="20"/>
                <w:color w:val="auto"/>
              </w:rPr>
            </w:pPr>
            <w:r>
              <w:rPr>
                <w:rFonts w:ascii="Arial" w:cs="Arial" w:eastAsia="Arial" w:hAnsi="Arial"/>
                <w:sz w:val="18"/>
                <w:szCs w:val="18"/>
                <w:color w:val="auto"/>
                <w:w w:val="97"/>
              </w:rPr>
              <w:t>(21.1)</w:t>
            </w:r>
          </w:p>
        </w:tc>
      </w:tr>
      <w:tr>
        <w:trPr>
          <w:trHeight w:val="221"/>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center"/>
              <w:ind w:left="1191"/>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center"/>
              <w:ind w:left="1091"/>
              <w:spacing w:after="0"/>
              <w:rPr>
                <w:sz w:val="20"/>
                <w:szCs w:val="20"/>
                <w:color w:val="auto"/>
              </w:rPr>
            </w:pPr>
            <w:r>
              <w:rPr>
                <w:rFonts w:ascii="Arial" w:cs="Arial" w:eastAsia="Arial" w:hAnsi="Arial"/>
                <w:sz w:val="18"/>
                <w:szCs w:val="18"/>
                <w:color w:val="auto"/>
                <w:w w:val="97"/>
              </w:rPr>
              <w:t>(68.9)</w:t>
            </w:r>
          </w:p>
        </w:tc>
      </w:tr>
      <w:tr>
        <w:trPr>
          <w:trHeight w:val="221"/>
        </w:trPr>
        <w:tc>
          <w:tcPr>
            <w:tcW w:w="7200" w:type="dxa"/>
            <w:vAlign w:val="bottom"/>
          </w:tcPr>
          <w:p>
            <w:pPr>
              <w:ind w:left="20"/>
              <w:spacing w:after="0"/>
              <w:rPr>
                <w:sz w:val="20"/>
                <w:szCs w:val="20"/>
                <w:color w:val="auto"/>
              </w:rPr>
            </w:pPr>
            <w:r>
              <w:rPr>
                <w:rFonts w:ascii="Arial" w:cs="Arial" w:eastAsia="Arial" w:hAnsi="Arial"/>
                <w:sz w:val="18"/>
                <w:szCs w:val="18"/>
                <w:color w:val="auto"/>
              </w:rPr>
              <w:t>Cash and cash equivalents balance end of period</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center"/>
              <w:ind w:left="1231"/>
              <w:spacing w:after="0"/>
              <w:rPr>
                <w:sz w:val="20"/>
                <w:szCs w:val="20"/>
                <w:color w:val="auto"/>
              </w:rPr>
            </w:pPr>
            <w:r>
              <w:rPr>
                <w:rFonts w:ascii="Arial" w:cs="Arial" w:eastAsia="Arial" w:hAnsi="Arial"/>
                <w:sz w:val="18"/>
                <w:szCs w:val="18"/>
                <w:color w:val="auto"/>
                <w:w w:val="95"/>
              </w:rPr>
              <w:t>5.6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center"/>
              <w:ind w:left="1131"/>
              <w:spacing w:after="0"/>
              <w:rPr>
                <w:sz w:val="20"/>
                <w:szCs w:val="20"/>
                <w:color w:val="auto"/>
              </w:rPr>
            </w:pPr>
            <w:r>
              <w:rPr>
                <w:rFonts w:ascii="Arial" w:cs="Arial" w:eastAsia="Arial" w:hAnsi="Arial"/>
                <w:sz w:val="18"/>
                <w:szCs w:val="18"/>
                <w:color w:val="auto"/>
                <w:w w:val="96"/>
              </w:rPr>
              <w:t>22.7</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was $0.3 for the three months ended March 31, 2026, as compared to net cash used in operating activities of $37.6 for the three months ended March 31, 2025. The improvement in operating cash flows was attributable to management of working capital and an increase in days payable outstanding.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$5.3 for the three months ended March 31, 2026, as compared to net cash used in investing activities of $10.2 for the three months ended March 31, 2025. The cash flows used in investing activities for the three months ended March 31, 2026 were primarily driven by maintenance capital spending tied to the operation of our existing asset base offset by sales of property and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$4.9 for the three months ended March 31, 2026, compared to net cash used in financing activities of $21.1 for the three months ended March 31, 2025. In the prior year, we refinanced both our 2025 Senior Notes and Prior ABL Facility, which brought additional cash outlays.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Other than the critical accounting policy included below, we believe that our critical accounting policies are limited to those described in the Critical Accounting Estimates section of Management’s Discussion and Analysis of Financial Condition and Results of Operations included in our 2025 Annual Report on Form 10-K filed with the SEC on March 12, 2026.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evaluate any recently issued accounting pronouncements for future adoption.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112"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50" w:lineRule="exact"/>
        <w:rPr>
          <w:sz w:val="20"/>
          <w:szCs w:val="20"/>
          <w:color w:val="auto"/>
        </w:rPr>
      </w:pPr>
    </w:p>
    <w:p>
      <w:pPr>
        <w:ind w:left="960" w:hanging="311"/>
        <w:spacing w:after="0"/>
        <w:tabs>
          <w:tab w:leader="none" w:pos="9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pacing w:after="0" w:line="113" w:lineRule="exact"/>
        <w:rPr>
          <w:rFonts w:ascii="Arial" w:cs="Arial" w:eastAsia="Arial" w:hAnsi="Arial"/>
          <w:sz w:val="18"/>
          <w:szCs w:val="18"/>
          <w:i w:val="1"/>
          <w:iCs w:val="1"/>
          <w:color w:val="auto"/>
        </w:rPr>
      </w:pPr>
    </w:p>
    <w:p>
      <w:pPr>
        <w:ind w:left="960" w:hanging="311"/>
        <w:spacing w:after="0"/>
        <w:tabs>
          <w:tab w:leader="none" w:pos="9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w:t>
      </w:r>
    </w:p>
    <w:p>
      <w:pPr>
        <w:spacing w:after="0" w:line="111" w:lineRule="exact"/>
        <w:rPr>
          <w:rFonts w:ascii="Arial" w:cs="Arial" w:eastAsia="Arial" w:hAnsi="Arial"/>
          <w:sz w:val="18"/>
          <w:szCs w:val="18"/>
          <w:i w:val="1"/>
          <w:iCs w:val="1"/>
          <w:color w:val="auto"/>
        </w:rPr>
      </w:pPr>
    </w:p>
    <w:p>
      <w:pPr>
        <w:jc w:val="both"/>
        <w:ind w:left="980" w:hanging="331"/>
        <w:spacing w:after="0" w:line="253" w:lineRule="auto"/>
        <w:tabs>
          <w:tab w:leader="none" w:pos="97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Earnings before interest, taxes, depreciation and amortization (</w:t>
      </w:r>
      <w:r>
        <w:rPr>
          <w:rFonts w:ascii="Arial" w:cs="Arial" w:eastAsia="Arial" w:hAnsi="Arial"/>
          <w:sz w:val="18"/>
          <w:szCs w:val="18"/>
          <w:color w:val="auto"/>
        </w:rPr>
        <w:t>“Adjusted EBITDA”</w:t>
      </w:r>
      <w:r>
        <w:rPr>
          <w:rFonts w:ascii="Arial" w:cs="Arial" w:eastAsia="Arial" w:hAnsi="Arial"/>
          <w:sz w:val="18"/>
          <w:szCs w:val="18"/>
          <w:i w:val="1"/>
          <w:iCs w:val="1"/>
          <w:color w:val="auto"/>
        </w:rPr>
        <w:t>)</w:t>
      </w:r>
      <w:r>
        <w:rPr>
          <w:rFonts w:ascii="Arial" w:cs="Arial" w:eastAsia="Arial" w:hAnsi="Arial"/>
          <w:sz w:val="18"/>
          <w:szCs w:val="18"/>
          <w:color w:val="auto"/>
        </w:rPr>
        <w:t>: Adjusted EBITDA is a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77" w:lineRule="exact"/>
        <w:rPr>
          <w:rFonts w:ascii="Arial" w:cs="Arial" w:eastAsia="Arial" w:hAnsi="Arial"/>
          <w:sz w:val="18"/>
          <w:szCs w:val="18"/>
          <w:i w:val="1"/>
          <w:iCs w:val="1"/>
          <w:color w:val="auto"/>
        </w:rPr>
      </w:pPr>
    </w:p>
    <w:p>
      <w:pPr>
        <w:ind w:left="980" w:right="20" w:hanging="331"/>
        <w:spacing w:after="0" w:line="280" w:lineRule="auto"/>
        <w:tabs>
          <w:tab w:leader="none" w:pos="97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2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provide only reasonable, not absolute, assurance that the objectives of the disclosure controls and procedures are met.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of this Quarterly Report for the quarter ended March 31, 2026,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March 31,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8"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6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 (U.S.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 addition to the information set forth in this Quarterly Report, you should carefully consider the risk factors previously described in Part I, Item IA. “Risk Factors” in our Annual Report on Form 10-K for the year ended December 31, 2025.</w:t>
      </w:r>
    </w:p>
    <w:p>
      <w:pPr>
        <w:spacing w:after="0" w:line="1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46"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 March 31,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b w:val="1"/>
                <w:bCs w:val="1"/>
                <w:color w:val="auto"/>
              </w:rPr>
              <w:t>shares purchased as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20"/>
              <w:spacing w:after="0" w:line="161" w:lineRule="exact"/>
              <w:rPr>
                <w:sz w:val="20"/>
                <w:szCs w:val="20"/>
                <w:color w:val="auto"/>
              </w:rPr>
            </w:pPr>
            <w:r>
              <w:rPr>
                <w:rFonts w:ascii="Arial" w:cs="Arial" w:eastAsia="Arial" w:hAnsi="Arial"/>
                <w:sz w:val="16"/>
                <w:szCs w:val="16"/>
                <w:b w:val="1"/>
                <w:bCs w:val="1"/>
                <w:color w:val="auto"/>
                <w:w w:val="99"/>
              </w:rPr>
              <w:t>value of shares that</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Total number of shares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6"/>
                <w:szCs w:val="16"/>
                <w:b w:val="1"/>
                <w:bCs w:val="1"/>
                <w:color w:val="auto"/>
                <w:w w:val="99"/>
              </w:rPr>
              <w:t>Average price paid</w:t>
            </w: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rPr>
              <w:t>part of publicly</w:t>
            </w:r>
          </w:p>
        </w:tc>
        <w:tc>
          <w:tcPr>
            <w:tcW w:w="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160"/>
        </w:trPr>
        <w:tc>
          <w:tcPr>
            <w:tcW w:w="38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Period</w:t>
            </w:r>
          </w:p>
        </w:tc>
        <w:tc>
          <w:tcPr>
            <w:tcW w:w="2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continue"/>
            <w:shd w:val="clear" w:color="auto" w:fill="CCEEFF"/>
          </w:tcPr>
          <w:p>
            <w:pPr>
              <w:spacing w:after="0"/>
              <w:rPr>
                <w:sz w:val="13"/>
                <w:szCs w:val="13"/>
                <w:color w:val="auto"/>
              </w:rPr>
            </w:pP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9"/>
              </w:rPr>
              <w:t>announced plans or</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40"/>
              <w:spacing w:after="0" w:line="161" w:lineRule="exact"/>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800" w:type="dxa"/>
            <w:vAlign w:val="bottom"/>
            <w:vMerge w:val="continue"/>
            <w:shd w:val="clear" w:color="auto" w:fill="CCEEFF"/>
          </w:tcPr>
          <w:p>
            <w:pPr>
              <w:spacing w:after="0"/>
              <w:rPr>
                <w:sz w:val="18"/>
                <w:szCs w:val="18"/>
                <w:color w:val="auto"/>
              </w:rPr>
            </w:pPr>
          </w:p>
        </w:tc>
        <w:tc>
          <w:tcPr>
            <w:tcW w:w="2020" w:type="dxa"/>
            <w:vAlign w:val="bottom"/>
            <w:shd w:val="clear" w:color="auto" w:fill="CCEEFF"/>
          </w:tcPr>
          <w:p>
            <w:pPr>
              <w:jc w:val="right"/>
              <w:ind w:right="460"/>
              <w:spacing w:after="0" w:line="214"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0"/>
                <w:szCs w:val="20"/>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00"/>
              <w:spacing w:after="0" w:line="214" w:lineRule="exact"/>
              <w:rPr>
                <w:sz w:val="20"/>
                <w:szCs w:val="20"/>
                <w:color w:val="auto"/>
              </w:rPr>
            </w:pPr>
            <w:r>
              <w:rPr>
                <w:rFonts w:ascii="Arial" w:cs="Arial" w:eastAsia="Arial" w:hAnsi="Arial"/>
                <w:sz w:val="16"/>
                <w:szCs w:val="16"/>
                <w:b w:val="1"/>
                <w:bCs w:val="1"/>
                <w:color w:val="auto"/>
                <w:w w:val="97"/>
              </w:rPr>
              <w:t>per share</w:t>
            </w:r>
            <w:r>
              <w:rPr>
                <w:rFonts w:ascii="Arial" w:cs="Arial" w:eastAsia="Arial" w:hAnsi="Arial"/>
                <w:sz w:val="20"/>
                <w:szCs w:val="20"/>
                <w:b w:val="1"/>
                <w:bCs w:val="1"/>
                <w:color w:val="auto"/>
                <w:w w:val="97"/>
                <w:vertAlign w:val="superscript"/>
              </w:rPr>
              <w:t>(2)</w:t>
            </w:r>
          </w:p>
        </w:tc>
        <w:tc>
          <w:tcPr>
            <w:tcW w:w="1760" w:type="dxa"/>
            <w:vAlign w:val="bottom"/>
            <w:shd w:val="clear" w:color="auto" w:fill="CCEEFF"/>
          </w:tcPr>
          <w:p>
            <w:pPr>
              <w:jc w:val="center"/>
              <w:spacing w:after="0" w:line="214" w:lineRule="exact"/>
              <w:rPr>
                <w:sz w:val="20"/>
                <w:szCs w:val="20"/>
                <w:color w:val="auto"/>
              </w:rPr>
            </w:pPr>
            <w:r>
              <w:rPr>
                <w:rFonts w:ascii="Arial" w:cs="Arial" w:eastAsia="Arial" w:hAnsi="Arial"/>
                <w:sz w:val="16"/>
                <w:szCs w:val="16"/>
                <w:b w:val="1"/>
                <w:bCs w:val="1"/>
                <w:color w:val="auto"/>
                <w:w w:val="97"/>
              </w:rPr>
              <w:t>programs</w:t>
            </w:r>
            <w:r>
              <w:rPr>
                <w:rFonts w:ascii="Arial" w:cs="Arial" w:eastAsia="Arial" w:hAnsi="Arial"/>
                <w:sz w:val="20"/>
                <w:szCs w:val="20"/>
                <w:b w:val="1"/>
                <w:bCs w:val="1"/>
                <w:color w:val="auto"/>
                <w:w w:val="97"/>
                <w:vertAlign w:val="superscript"/>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06"/>
        </w:trPr>
        <w:tc>
          <w:tcPr>
            <w:tcW w:w="3800" w:type="dxa"/>
            <w:vAlign w:val="bottom"/>
          </w:tcPr>
          <w:p>
            <w:pPr>
              <w:ind w:left="20"/>
              <w:spacing w:after="0"/>
              <w:rPr>
                <w:sz w:val="20"/>
                <w:szCs w:val="20"/>
                <w:color w:val="auto"/>
              </w:rPr>
            </w:pPr>
            <w:r>
              <w:rPr>
                <w:rFonts w:ascii="Arial" w:cs="Arial" w:eastAsia="Arial" w:hAnsi="Arial"/>
                <w:sz w:val="16"/>
                <w:szCs w:val="16"/>
                <w:color w:val="auto"/>
              </w:rPr>
              <w:t>January 1, 2026 - January 31, 2026</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1, 2026 - February 28, 2026</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March 1, 2026 - March 31, 2026</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60,506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right="40" w:firstLine="7"/>
        <w:spacing w:after="0" w:line="279" w:lineRule="auto"/>
        <w:tabs>
          <w:tab w:leader="none" w:pos="241"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shares purchased from employees in connection with the settlement of income tax and related benefit withholding obligations arising from vesting of restricted stock grants under the Company’s Amended and Restated LTIP.</w:t>
      </w:r>
    </w:p>
    <w:p>
      <w:pPr>
        <w:spacing w:after="0" w:line="53" w:lineRule="exact"/>
        <w:rPr>
          <w:rFonts w:ascii="Arial" w:cs="Arial" w:eastAsia="Arial" w:hAnsi="Arial"/>
          <w:sz w:val="16"/>
          <w:szCs w:val="16"/>
          <w:color w:val="auto"/>
        </w:rPr>
      </w:pP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includes commissions paid to the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7"/>
        <w:spacing w:after="0" w:line="279" w:lineRule="auto"/>
        <w:tabs>
          <w:tab w:leader="none" w:pos="2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August 2019, our Board authorized a share repurchase program for the repurchase of outstanding shares of the Company’s Common Stock having an aggregate purchase price up to $50.0 million.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Purchase Agreement</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reported, on March 6, 2026, the Company entered into a Warrant Purchase Agreement (the “Warrant Purchase Agreement”) with certain holders of the 2030 Notes (the “2030 Noteholders”), pursuant to which the Company agreed to issue and sell Warrants to such 2030 Noteholders entitling the 2030 Noteholders to purchase, in the aggregate, up to 803,712 shares of Common Stock, based on their pro rata ownership of principal amount of the 2030 Senior Notes, in consideration of such 2030 Noteholders consenting to the First Amendment to the Indenture. The Warrants were issued on March 6 and March 11, 2026, and expire 5 years from their respective date of issuance.</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governing the Warrants stipulates that the Company will file a registration statement with the SEC with respect to the shares of Common Stock underlying the Warrants. The Warrants will be exercisable immediately, and in lieu of exercising such Warrant, the 2030 Noteholders may convert their Warrants, in whole or in part, into the number of the shares of Common Stock underlying the Warrants pursuant to the terms of the Warrants prior to the expiration date.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Warrant Purchase Agreement contains customary representations, warranties and covenants of the Company and the 2030 Noteholders. Upon Closing, the Company has agreed to reimburse certain of the 2030 Noteholders for certain expenses. The issuance of the Warrants, entitling the 2030 Noteholders to purchase, in the aggregate, up to 803,712 shares of Common Stock, will not be registered under the Securities Act, in reliance upon the exemption from registration provided by Section 4(a)(2) thereof as a transaction not involving any public offering.</w:t>
      </w:r>
    </w:p>
    <w:p>
      <w:pPr>
        <w:spacing w:after="0" w:line="22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10300" w:type="dxa"/>
            <w:vAlign w:val="bottom"/>
            <w:gridSpan w:val="16"/>
            <w:shd w:val="clear" w:color="auto" w:fill="CCEEFF"/>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08"/>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FF"/>
              </w:rPr>
            </w:pPr>
            <w:hyperlink r:id="rId51">
              <w:r>
                <w:rPr>
                  <w:rFonts w:ascii="Arial" w:cs="Arial" w:eastAsia="Arial" w:hAnsi="Arial"/>
                  <w:sz w:val="18"/>
                  <w:szCs w:val="18"/>
                  <w:color w:val="0000FF"/>
                </w:rPr>
                <w:t>Amended and Restated Certificate of Incorporation of KLX Energy Services Holdings, Inc. (incorporated by reference to</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2"/>
          </w:tcPr>
          <w:p>
            <w:pPr>
              <w:spacing w:after="0" w:line="154" w:lineRule="exact"/>
              <w:rPr>
                <w:rFonts w:ascii="Arial" w:cs="Arial" w:eastAsia="Arial" w:hAnsi="Arial"/>
                <w:sz w:val="17"/>
                <w:szCs w:val="17"/>
                <w:color w:val="0000FF"/>
              </w:rPr>
            </w:pPr>
            <w:hyperlink r:id="rId51">
              <w:r>
                <w:rPr>
                  <w:rFonts w:ascii="Arial" w:cs="Arial" w:eastAsia="Arial" w:hAnsi="Arial"/>
                  <w:sz w:val="17"/>
                  <w:szCs w:val="17"/>
                  <w:color w:val="0000FF"/>
                </w:rPr>
                <w:t>Exhibit 3.1 of KLX Energy Services Holdings, Inc.’s Quarterly Report on Form 10-Q, filed on September 8, 2020,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bottom w:val="single" w:sz="8" w:color="0000FF"/>
            </w:tcBorders>
          </w:tcPr>
          <w:p>
            <w:pPr>
              <w:spacing w:after="0" w:line="154" w:lineRule="exact"/>
              <w:rPr>
                <w:rFonts w:ascii="Arial" w:cs="Arial" w:eastAsia="Arial" w:hAnsi="Arial"/>
                <w:sz w:val="17"/>
                <w:szCs w:val="17"/>
                <w:color w:val="0000FF"/>
              </w:rPr>
            </w:pPr>
            <w:hyperlink r:id="rId51">
              <w:r>
                <w:rPr>
                  <w:rFonts w:ascii="Arial" w:cs="Arial" w:eastAsia="Arial" w:hAnsi="Arial"/>
                  <w:sz w:val="17"/>
                  <w:szCs w:val="17"/>
                  <w:color w:val="0000FF"/>
                </w:rPr>
                <w:t>001-38609).</w:t>
              </w:r>
            </w:hyperlink>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9"/>
                <w:szCs w:val="19"/>
                <w:color w:val="auto"/>
              </w:rPr>
            </w:pPr>
          </w:p>
        </w:tc>
        <w:tc>
          <w:tcPr>
            <w:tcW w:w="9940" w:type="dxa"/>
            <w:vAlign w:val="bottom"/>
            <w:gridSpan w:val="15"/>
          </w:tcPr>
          <w:p>
            <w:pPr>
              <w:spacing w:after="0"/>
              <w:rPr>
                <w:rFonts w:ascii="Arial" w:cs="Arial" w:eastAsia="Arial" w:hAnsi="Arial"/>
                <w:sz w:val="18"/>
                <w:szCs w:val="18"/>
                <w:color w:val="0000FF"/>
              </w:rPr>
            </w:pPr>
            <w:hyperlink r:id="rId52">
              <w:r>
                <w:rPr>
                  <w:rFonts w:ascii="Arial" w:cs="Arial" w:eastAsia="Arial" w:hAnsi="Arial"/>
                  <w:sz w:val="18"/>
                  <w:szCs w:val="18"/>
                  <w:color w:val="0000FF"/>
                </w:rPr>
                <w:t>Fourth Amended and Restated Bylaws of KLX Energy Services Holdings, Inc. (incorporated by reference to Exhibit 3.1 of</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7"/>
          </w:tcPr>
          <w:p>
            <w:pPr>
              <w:spacing w:after="0" w:line="154" w:lineRule="exact"/>
              <w:rPr>
                <w:rFonts w:ascii="Arial" w:cs="Arial" w:eastAsia="Arial" w:hAnsi="Arial"/>
                <w:sz w:val="17"/>
                <w:szCs w:val="17"/>
                <w:color w:val="0000FF"/>
              </w:rPr>
            </w:pPr>
            <w:hyperlink r:id="rId52">
              <w:r>
                <w:rPr>
                  <w:rFonts w:ascii="Arial" w:cs="Arial" w:eastAsia="Arial" w:hAnsi="Arial"/>
                  <w:sz w:val="17"/>
                  <w:szCs w:val="17"/>
                  <w:color w:val="0000FF"/>
                </w:rPr>
                <w:t>KLX Energy Services Holdings, Inc.’s Current Report on Form 8-K, filed on September 9, 2021, File No. 001-38609).</w:t>
              </w:r>
            </w:hyperlink>
          </w:p>
        </w:tc>
        <w:tc>
          <w:tcPr>
            <w:tcW w:w="3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9940" w:type="dxa"/>
            <w:vAlign w:val="bottom"/>
            <w:gridSpan w:val="15"/>
          </w:tcPr>
          <w:p>
            <w:pPr>
              <w:spacing w:after="0"/>
              <w:rPr>
                <w:rFonts w:ascii="Arial" w:cs="Arial" w:eastAsia="Arial" w:hAnsi="Arial"/>
                <w:sz w:val="18"/>
                <w:szCs w:val="18"/>
                <w:color w:val="0000FF"/>
              </w:rPr>
            </w:pPr>
            <w:hyperlink r:id="rId53">
              <w:r>
                <w:rPr>
                  <w:rFonts w:ascii="Arial" w:cs="Arial" w:eastAsia="Arial" w:hAnsi="Arial"/>
                  <w:sz w:val="18"/>
                  <w:szCs w:val="18"/>
                  <w:color w:val="0000FF"/>
                </w:rPr>
                <w:t>First Amendment to Indenture, dated March 6, 2026, by and among KLX Energy Services Holdings, Inc. the guarantors</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4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r:id="rId53">
              <w:r>
                <w:rPr>
                  <w:rFonts w:ascii="Arial" w:cs="Arial" w:eastAsia="Arial" w:hAnsi="Arial"/>
                  <w:sz w:val="17"/>
                  <w:szCs w:val="17"/>
                  <w:color w:val="0000FF"/>
                </w:rPr>
                <w:t>party thereto, and U.S. Bank Trust Company, National Association, as trustee.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22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8"/>
              </w:rPr>
              <w:t>Form of Warrant Agreement</w:t>
            </w:r>
          </w:p>
        </w:tc>
        <w:tc>
          <w:tcPr>
            <w:tcW w:w="3920" w:type="dxa"/>
            <w:vAlign w:val="bottom"/>
            <w:tcBorders>
              <w:top w:val="single" w:sz="8" w:color="0000FF"/>
            </w:tcBorders>
            <w:gridSpan w:val="3"/>
          </w:tcPr>
          <w:p>
            <w:pPr>
              <w:spacing w:after="0"/>
              <w:rPr>
                <w:sz w:val="19"/>
                <w:szCs w:val="19"/>
                <w:color w:val="auto"/>
              </w:rPr>
            </w:pPr>
          </w:p>
        </w:tc>
        <w:tc>
          <w:tcPr>
            <w:tcW w:w="3800" w:type="dxa"/>
            <w:vAlign w:val="bottom"/>
            <w:gridSpan w:val="10"/>
          </w:tcPr>
          <w:p>
            <w:pPr>
              <w:spacing w:after="0"/>
              <w:rPr>
                <w:sz w:val="19"/>
                <w:szCs w:val="19"/>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6"/>
          </w:tcPr>
          <w:p>
            <w:pPr>
              <w:spacing w:after="0" w:line="154"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68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9"/>
                <w:szCs w:val="19"/>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6"/>
          </w:tcPr>
          <w:p>
            <w:pPr>
              <w:spacing w:after="0" w:line="154"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37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9"/>
                <w:szCs w:val="19"/>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4"/>
          </w:tcPr>
          <w:p>
            <w:pPr>
              <w:spacing w:after="0" w:line="154" w:lineRule="exact"/>
              <w:rPr>
                <w:sz w:val="20"/>
                <w:szCs w:val="20"/>
                <w:color w:val="auto"/>
              </w:rPr>
            </w:pPr>
            <w:r>
              <w:rPr>
                <w:rFonts w:ascii="Arial" w:cs="Arial" w:eastAsia="Arial" w:hAnsi="Arial"/>
                <w:sz w:val="17"/>
                <w:szCs w:val="17"/>
                <w:color w:val="0000FF"/>
              </w:rPr>
              <w:t>Sarbanes-Oxley Act of 2002.</w:t>
            </w:r>
          </w:p>
        </w:tc>
        <w:tc>
          <w:tcPr>
            <w:tcW w:w="760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1"/>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9"/>
                <w:szCs w:val="19"/>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tcBorders>
              <w:top w:val="single" w:sz="8" w:color="0000FF"/>
            </w:tcBorders>
            <w:gridSpan w:val="9"/>
          </w:tcPr>
          <w:p>
            <w:pPr>
              <w:spacing w:after="0" w:line="154" w:lineRule="exact"/>
              <w:rPr>
                <w:sz w:val="20"/>
                <w:szCs w:val="20"/>
                <w:color w:val="auto"/>
              </w:rPr>
            </w:pPr>
            <w:r>
              <w:rPr>
                <w:rFonts w:ascii="Arial" w:cs="Arial" w:eastAsia="Arial" w:hAnsi="Arial"/>
                <w:sz w:val="17"/>
                <w:szCs w:val="17"/>
                <w:color w:val="0000FF"/>
              </w:rPr>
              <w:t>Sarbanes-Oxley Act of 2002.</w:t>
            </w:r>
          </w:p>
        </w:tc>
        <w:tc>
          <w:tcPr>
            <w:tcW w:w="120" w:type="dxa"/>
            <w:vAlign w:val="bottom"/>
            <w:gridSpan w:val="6"/>
          </w:tcPr>
          <w:p>
            <w:pPr>
              <w:spacing w:after="0"/>
              <w:rPr>
                <w:sz w:val="13"/>
                <w:szCs w:val="13"/>
                <w:color w:val="auto"/>
              </w:rPr>
            </w:pPr>
          </w:p>
        </w:tc>
      </w:tr>
      <w:tr>
        <w:trPr>
          <w:trHeight w:val="255"/>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2"/>
                <w:szCs w:val="22"/>
                <w:color w:val="auto"/>
              </w:rPr>
            </w:pPr>
          </w:p>
        </w:tc>
        <w:tc>
          <w:tcPr>
            <w:tcW w:w="22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7660" w:type="dxa"/>
            <w:vAlign w:val="bottom"/>
            <w:gridSpan w:val="12"/>
          </w:tcPr>
          <w:p>
            <w:pPr>
              <w:spacing w:after="0"/>
              <w:rPr>
                <w:sz w:val="22"/>
                <w:szCs w:val="22"/>
                <w:color w:val="auto"/>
              </w:rPr>
            </w:pP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19"/>
                <w:szCs w:val="19"/>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19"/>
                <w:szCs w:val="19"/>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19"/>
                <w:szCs w:val="19"/>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9"/>
                <w:szCs w:val="19"/>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5"/>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0"/>
                <w:szCs w:val="20"/>
                <w:color w:val="auto"/>
              </w:rPr>
            </w:pPr>
          </w:p>
        </w:tc>
        <w:tc>
          <w:tcPr>
            <w:tcW w:w="994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ind w:right="2820" w:firstLine="25"/>
        <w:spacing w:after="0" w:line="300" w:lineRule="auto"/>
        <w:tabs>
          <w:tab w:leader="none" w:pos="13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ind w:left="340" w:hanging="33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9" w:lineRule="exact"/>
        <w:rPr>
          <w:sz w:val="20"/>
          <w:szCs w:val="20"/>
          <w:color w:val="auto"/>
        </w:rPr>
      </w:pPr>
    </w:p>
    <w:p>
      <w:pPr>
        <w:ind w:right="380" w:firstLine="7"/>
        <w:spacing w:after="0" w:line="296" w:lineRule="auto"/>
        <w:tabs>
          <w:tab w:leader="none" w:pos="1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601(a)(5) of Regulation S-K. A copy of any omitted schedule and/or exhibit will be furnished to the SEC 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KLX ENERGY SERVICES HOLDINGS, INC.</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16510</wp:posOffset>
            </wp:positionV>
            <wp:extent cx="24542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Christopher J. Baker</w:t>
      </w:r>
    </w:p>
    <w:p>
      <w:pPr>
        <w:spacing w:after="0" w:line="28"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8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May 13, 2026</w:t>
      </w:r>
    </w:p>
    <w:p>
      <w:pPr>
        <w:spacing w:after="0" w:line="200" w:lineRule="exact"/>
        <w:rPr>
          <w:sz w:val="20"/>
          <w:szCs w:val="20"/>
          <w:color w:val="auto"/>
        </w:rPr>
      </w:pPr>
    </w:p>
    <w:p>
      <w:pPr>
        <w:spacing w:after="0" w:line="342"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16510</wp:posOffset>
            </wp:positionV>
            <wp:extent cx="2454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Geoffrey C. Stanford</w:t>
      </w:r>
    </w:p>
    <w:p>
      <w:pPr>
        <w:spacing w:after="0" w:line="5"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Senior Vice President, Interim Chief Financial</w:t>
      </w:r>
    </w:p>
    <w:p>
      <w:pPr>
        <w:ind w:left="7400"/>
        <w:spacing w:after="0"/>
        <w:rPr>
          <w:sz w:val="20"/>
          <w:szCs w:val="20"/>
          <w:color w:val="auto"/>
        </w:rPr>
      </w:pPr>
      <w:r>
        <w:rPr>
          <w:rFonts w:ascii="Arial" w:cs="Arial" w:eastAsia="Arial" w:hAnsi="Arial"/>
          <w:sz w:val="18"/>
          <w:szCs w:val="18"/>
          <w:i w:val="1"/>
          <w:iCs w:val="1"/>
          <w:color w:val="auto"/>
        </w:rPr>
        <w:t>Officer and Chief Accounting Officer</w:t>
      </w:r>
    </w:p>
    <w:p>
      <w:pPr>
        <w:spacing w:after="0" w:line="28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May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1" w:right="359" w:bottom="1440" w:gutter="0" w:footer="0" w:header="0"/>
        </w:sectPr>
      </w:pPr>
    </w:p>
    <w:bookmarkStart w:id="35" w:name="page36"/>
    <w:bookmarkEnd w:id="35"/>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WARRANT AND THE SECURITIES ISSUABLE UPON THE EXERCISE OF THIS WARRANT HAVE NOT BEEN REGISTERED UNDER THE SECURITIES ACT OF 1933, AS AMENDED (THE “SECURITIES ACT”). THIS WARRANT AND THE SECURITIES ISSUABLE UPON THE EXERCISE OF THIS WARRANT MAY NOT BE SOLD, OFFERED FOR SALE, PLEDGED OR HYPOTHECATED EXCEPT PURSUANT TO A REGISTRATION STATEMENT IN EFFECT UNDER THE SECURITIES ACT OR PURSUANT TO AN EXEMPTION FROM REGISTRATION THEREUNDER, IN EACH CASE IN ACCORDANCE WITH ALL APPLICABLE SECURITIES LAWS OF THE STATES OR OTHER JURISDICTIONS, AND, IN THE CASE OF A TRANSACTION EXEMPT FROM REGISTRATION, SUCH SECURITIES MAY ONLY BE TRANSFERRED IF THE COMPANY HAS RECEIVED DOCUMENTATION REASONABLY SATISFACTORY TO IT THAT SUCH TRANSACTION DOES NOT REQUIRE REGISTRATION UNDER THE SECURITIES ACT.</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REGISTERED HOLDER OF THIS WARRANT, BY ITS ACCEPTANCE HEREOF, AGREES THAT IT WILL NOT SELL, TRANSFER OR ASSIGN THIS WARRANT EXCEPT AS HEREIN PROVIDED.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 TO PURCHASE COMMON STOCK</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the Purchase of Up to [●]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KLX ENERGY SERVICES HOLDINGS, INC.</w:t>
      </w:r>
    </w:p>
    <w:p>
      <w:pPr>
        <w:spacing w:after="0" w:line="207" w:lineRule="exact"/>
        <w:rPr>
          <w:sz w:val="20"/>
          <w:szCs w:val="20"/>
          <w:color w:val="auto"/>
        </w:rPr>
      </w:pPr>
    </w:p>
    <w:p>
      <w:pPr>
        <w:jc w:val="both"/>
        <w:ind w:firstLine="7"/>
        <w:spacing w:after="0" w:line="214" w:lineRule="auto"/>
        <w:tabs>
          <w:tab w:leader="none" w:pos="642"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Warrant</w:t>
      </w:r>
      <w:r>
        <w:rPr>
          <w:rFonts w:ascii="Times New Roman" w:cs="Times New Roman" w:eastAsia="Times New Roman" w:hAnsi="Times New Roman"/>
          <w:sz w:val="20"/>
          <w:szCs w:val="20"/>
          <w:color w:val="auto"/>
        </w:rPr>
        <w:t>. This Warrant to Purchase Common Stock (this “</w:t>
      </w:r>
      <w:r>
        <w:rPr>
          <w:rFonts w:ascii="Times New Roman" w:cs="Times New Roman" w:eastAsia="Times New Roman" w:hAnsi="Times New Roman"/>
          <w:sz w:val="20"/>
          <w:szCs w:val="20"/>
          <w:b w:val="1"/>
          <w:bCs w:val="1"/>
          <w:u w:val="single" w:color="auto"/>
          <w:color w:val="auto"/>
        </w:rPr>
        <w:t>Warrant</w:t>
      </w:r>
      <w:r>
        <w:rPr>
          <w:rFonts w:ascii="Times New Roman" w:cs="Times New Roman" w:eastAsia="Times New Roman" w:hAnsi="Times New Roman"/>
          <w:sz w:val="20"/>
          <w:szCs w:val="20"/>
          <w:color w:val="auto"/>
        </w:rPr>
        <w:t>”), issued on March [●], 2026 (the “</w:t>
      </w:r>
      <w:r>
        <w:rPr>
          <w:rFonts w:ascii="Times New Roman" w:cs="Times New Roman" w:eastAsia="Times New Roman" w:hAnsi="Times New Roman"/>
          <w:sz w:val="20"/>
          <w:szCs w:val="20"/>
          <w:b w:val="1"/>
          <w:bCs w:val="1"/>
          <w:u w:val="single" w:color="auto"/>
          <w:color w:val="auto"/>
        </w:rPr>
        <w:t>Issuance Date</w:t>
      </w:r>
      <w:r>
        <w:rPr>
          <w:rFonts w:ascii="Times New Roman" w:cs="Times New Roman" w:eastAsia="Times New Roman" w:hAnsi="Times New Roman"/>
          <w:sz w:val="20"/>
          <w:szCs w:val="20"/>
          <w:color w:val="auto"/>
        </w:rPr>
        <w:t>”),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certifies that, for value received by KLX Energy Services Holdings, Inc., a Delaware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 a [●] ( “</w:t>
      </w:r>
      <w:r>
        <w:rPr>
          <w:rFonts w:ascii="Times New Roman" w:cs="Times New Roman" w:eastAsia="Times New Roman" w:hAnsi="Times New Roman"/>
          <w:sz w:val="20"/>
          <w:szCs w:val="20"/>
          <w:b w:val="1"/>
          <w:bCs w:val="1"/>
          <w:u w:val="single" w:color="auto"/>
          <w:color w:val="auto"/>
        </w:rPr>
        <w:t>Holder</w:t>
      </w:r>
      <w:r>
        <w:rPr>
          <w:rFonts w:ascii="Times New Roman" w:cs="Times New Roman" w:eastAsia="Times New Roman" w:hAnsi="Times New Roman"/>
          <w:sz w:val="20"/>
          <w:szCs w:val="20"/>
          <w:color w:val="auto"/>
        </w:rPr>
        <w:t>”), as registered owner of this Warrant, is entitled, at any time or from time to time on or after the Issuance Date and at or before 4:00 p.m., Central Time, on March [●], 2031 (the “</w:t>
      </w:r>
      <w:r>
        <w:rPr>
          <w:rFonts w:ascii="Times New Roman" w:cs="Times New Roman" w:eastAsia="Times New Roman" w:hAnsi="Times New Roman"/>
          <w:sz w:val="20"/>
          <w:szCs w:val="20"/>
          <w:b w:val="1"/>
          <w:bCs w:val="1"/>
          <w:u w:val="single" w:color="auto"/>
          <w:color w:val="auto"/>
        </w:rPr>
        <w:t>Expiration Time</w:t>
      </w:r>
      <w:r>
        <w:rPr>
          <w:rFonts w:ascii="Times New Roman" w:cs="Times New Roman" w:eastAsia="Times New Roman" w:hAnsi="Times New Roman"/>
          <w:sz w:val="20"/>
          <w:szCs w:val="20"/>
          <w:color w:val="auto"/>
        </w:rPr>
        <w:t xml:space="preserve">”), but not thereafter, to subscribe for, purchase and receive, in whole or in part, up to [●] shares of Common Stock (as may be adjusted pursuant to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u w:val="single" w:color="auto"/>
          <w:color w:val="auto"/>
        </w:rPr>
        <w:t>Warrant Shares</w:t>
      </w:r>
      <w:r>
        <w:rPr>
          <w:rFonts w:ascii="Times New Roman" w:cs="Times New Roman" w:eastAsia="Times New Roman" w:hAnsi="Times New Roman"/>
          <w:sz w:val="20"/>
          <w:szCs w:val="20"/>
          <w:color w:val="auto"/>
        </w:rPr>
        <w:t xml:space="preserve">”), at a price per Warrant Share of $0.01 (as may be adjusted pursuant to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u w:val="single" w:color="auto"/>
          <w:color w:val="auto"/>
        </w:rPr>
        <w:t>Exercise Price</w:t>
      </w:r>
      <w:r>
        <w:rPr>
          <w:rFonts w:ascii="Times New Roman" w:cs="Times New Roman" w:eastAsia="Times New Roman" w:hAnsi="Times New Roman"/>
          <w:sz w:val="20"/>
          <w:szCs w:val="20"/>
          <w:color w:val="auto"/>
        </w:rPr>
        <w:t>”), subject to the terms and conditions set forth herein.</w:t>
      </w:r>
    </w:p>
    <w:p>
      <w:pPr>
        <w:spacing w:after="0" w:line="160" w:lineRule="exact"/>
        <w:rPr>
          <w:rFonts w:ascii="Times New Roman" w:cs="Times New Roman" w:eastAsia="Times New Roman" w:hAnsi="Times New Roman"/>
          <w:sz w:val="20"/>
          <w:szCs w:val="20"/>
          <w:color w:val="010000"/>
        </w:rPr>
      </w:pPr>
    </w:p>
    <w:p>
      <w:pPr>
        <w:ind w:left="640" w:hanging="633"/>
        <w:spacing w:after="0"/>
        <w:tabs>
          <w:tab w:leader="none" w:pos="640"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Exercise</w:t>
      </w:r>
      <w:r>
        <w:rPr>
          <w:rFonts w:ascii="Times New Roman" w:cs="Times New Roman" w:eastAsia="Times New Roman" w:hAnsi="Times New Roman"/>
          <w:sz w:val="20"/>
          <w:szCs w:val="20"/>
          <w:color w:val="auto"/>
        </w:rPr>
        <w:t>. Holder may exercise this Warrant, in whole or in part, in accordance with the procedures set forth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w:t>
      </w:r>
    </w:p>
    <w:p>
      <w:pPr>
        <w:spacing w:after="0" w:line="185" w:lineRule="exact"/>
        <w:rPr>
          <w:sz w:val="20"/>
          <w:szCs w:val="20"/>
          <w:color w:val="auto"/>
        </w:rPr>
      </w:pPr>
    </w:p>
    <w:p>
      <w:pPr>
        <w:ind w:firstLine="642"/>
        <w:spacing w:after="0" w:line="215" w:lineRule="auto"/>
        <w:rPr>
          <w:sz w:val="20"/>
          <w:szCs w:val="20"/>
          <w:color w:val="auto"/>
        </w:rPr>
      </w:pPr>
      <w:r>
        <w:rPr>
          <w:rFonts w:ascii="Times New Roman" w:cs="Times New Roman" w:eastAsia="Times New Roman" w:hAnsi="Times New Roman"/>
          <w:sz w:val="20"/>
          <w:szCs w:val="20"/>
          <w:color w:val="010000"/>
        </w:rPr>
        <w:t xml:space="preserve">2.1 </w:t>
      </w:r>
      <w:r>
        <w:rPr>
          <w:rFonts w:ascii="Times New Roman" w:cs="Times New Roman" w:eastAsia="Times New Roman" w:hAnsi="Times New Roman"/>
          <w:sz w:val="20"/>
          <w:szCs w:val="20"/>
          <w:u w:val="single" w:color="auto"/>
          <w:color w:val="000000"/>
        </w:rPr>
        <w:t>Exercise Form</w:t>
      </w:r>
      <w:r>
        <w:rPr>
          <w:rFonts w:ascii="Times New Roman" w:cs="Times New Roman" w:eastAsia="Times New Roman" w:hAnsi="Times New Roman"/>
          <w:sz w:val="20"/>
          <w:szCs w:val="20"/>
          <w:color w:val="000000"/>
        </w:rPr>
        <w:t>. In order to exercise this Warrant, the form of Notice of Exercise attached hereto as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Annex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w:t>
      </w:r>
      <w:r>
        <w:rPr>
          <w:rFonts w:ascii="Times New Roman" w:cs="Times New Roman" w:eastAsia="Times New Roman" w:hAnsi="Times New Roman"/>
          <w:sz w:val="20"/>
          <w:szCs w:val="20"/>
          <w:b w:val="1"/>
          <w:bCs w:val="1"/>
          <w:u w:val="single" w:color="auto"/>
          <w:color w:val="000000"/>
        </w:rPr>
        <w:t>Exercise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b w:val="1"/>
          <w:bCs w:val="1"/>
          <w:u w:val="single" w:color="auto"/>
          <w:color w:val="000000"/>
        </w:rPr>
        <w:t>Form</w:t>
      </w:r>
      <w:r>
        <w:rPr>
          <w:rFonts w:ascii="Times New Roman" w:cs="Times New Roman" w:eastAsia="Times New Roman" w:hAnsi="Times New Roman"/>
          <w:sz w:val="20"/>
          <w:szCs w:val="20"/>
          <w:color w:val="000000"/>
        </w:rPr>
        <w:t>”) must be duly executed and completed and delivered to the Company in facsimile copy or e-mail attachment, together with this</w:t>
      </w:r>
    </w:p>
    <w:p>
      <w:pPr>
        <w:spacing w:after="0" w:line="2"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Warrant for the surrender and cancellation thereof (to the extent described below), and if a cash exercise is elected, payment of the Exercise Price for the Warrant Shares being purchased payable in cash by wire transfer of immediately available funds to an account designated by the</w:t>
      </w:r>
    </w:p>
    <w:p>
      <w:pPr>
        <w:spacing w:after="0" w:line="220" w:lineRule="auto"/>
        <w:rPr>
          <w:sz w:val="20"/>
          <w:szCs w:val="20"/>
          <w:color w:val="auto"/>
        </w:rPr>
      </w:pPr>
      <w:r>
        <w:rPr>
          <w:rFonts w:ascii="Times New Roman" w:cs="Times New Roman" w:eastAsia="Times New Roman" w:hAnsi="Times New Roman"/>
          <w:sz w:val="19"/>
          <w:szCs w:val="19"/>
          <w:color w:val="auto"/>
        </w:rPr>
        <w:t>Company or by certified check or official bank check (each date on which all such items are delivered to the Company, an “</w:t>
      </w:r>
      <w:r>
        <w:rPr>
          <w:rFonts w:ascii="Times New Roman" w:cs="Times New Roman" w:eastAsia="Times New Roman" w:hAnsi="Times New Roman"/>
          <w:sz w:val="19"/>
          <w:szCs w:val="19"/>
          <w:b w:val="1"/>
          <w:bCs w:val="1"/>
          <w:u w:val="single" w:color="auto"/>
          <w:color w:val="auto"/>
        </w:rPr>
        <w:t>Exercise Date</w:t>
      </w:r>
      <w:r>
        <w:rPr>
          <w:rFonts w:ascii="Times New Roman" w:cs="Times New Roman" w:eastAsia="Times New Roman" w:hAnsi="Times New Roman"/>
          <w:sz w:val="19"/>
          <w:szCs w:val="19"/>
          <w:color w:val="auto"/>
        </w:rPr>
        <w:t>”).</w:t>
      </w:r>
    </w:p>
    <w:p>
      <w:pPr>
        <w:spacing w:after="0" w:line="213" w:lineRule="auto"/>
        <w:rPr>
          <w:sz w:val="20"/>
          <w:szCs w:val="20"/>
          <w:color w:val="auto"/>
        </w:rPr>
      </w:pPr>
      <w:r>
        <w:rPr>
          <w:rFonts w:ascii="Times New Roman" w:cs="Times New Roman" w:eastAsia="Times New Roman" w:hAnsi="Times New Roman"/>
          <w:sz w:val="19"/>
          <w:szCs w:val="19"/>
          <w:color w:val="auto"/>
        </w:rPr>
        <w:t>No ink-original Exercise Form shall be required, nor shall any medallion guarantee (or other type of guarantee or notarization) of any Exercise Form be required. Notwithstanding anything herein to the contrary, Holder shall not be required to physically surrender this Warrant to the</w:t>
      </w:r>
    </w:p>
    <w:p>
      <w:pPr>
        <w:spacing w:after="0" w:line="220" w:lineRule="auto"/>
        <w:rPr>
          <w:sz w:val="20"/>
          <w:szCs w:val="20"/>
          <w:color w:val="auto"/>
        </w:rPr>
      </w:pPr>
      <w:r>
        <w:rPr>
          <w:rFonts w:ascii="Times New Roman" w:cs="Times New Roman" w:eastAsia="Times New Roman" w:hAnsi="Times New Roman"/>
          <w:sz w:val="19"/>
          <w:szCs w:val="19"/>
          <w:color w:val="auto"/>
        </w:rPr>
        <w:t>Company until Holder has purchased all of the Warrant Shares available hereunder and the Warrant has been exercised in full, in which case,</w:t>
      </w:r>
    </w:p>
    <w:p>
      <w:pPr>
        <w:spacing w:after="0" w:line="213" w:lineRule="auto"/>
        <w:rPr>
          <w:sz w:val="20"/>
          <w:szCs w:val="20"/>
          <w:color w:val="auto"/>
        </w:rPr>
      </w:pPr>
      <w:r>
        <w:rPr>
          <w:rFonts w:ascii="Times New Roman" w:cs="Times New Roman" w:eastAsia="Times New Roman" w:hAnsi="Times New Roman"/>
          <w:sz w:val="19"/>
          <w:szCs w:val="19"/>
          <w:color w:val="auto"/>
        </w:rPr>
        <w:t>Holder shall surrender this Warrant to the Company for cancellation. Partial exercises of this Warrant resulting in purchases of a portion of the total number of Warrant Shares available hereunder shall have the effect of lowering the outstanding number of Warrant Shares purchasable</w:t>
      </w:r>
    </w:p>
    <w:p>
      <w:pPr>
        <w:spacing w:after="0" w:line="220" w:lineRule="auto"/>
        <w:rPr>
          <w:sz w:val="20"/>
          <w:szCs w:val="20"/>
          <w:color w:val="auto"/>
        </w:rPr>
      </w:pPr>
      <w:r>
        <w:rPr>
          <w:rFonts w:ascii="Times New Roman" w:cs="Times New Roman" w:eastAsia="Times New Roman" w:hAnsi="Times New Roman"/>
          <w:sz w:val="19"/>
          <w:szCs w:val="19"/>
          <w:color w:val="auto"/>
        </w:rPr>
        <w:t>hereunder in an amount equal to the applicable number of Warrant Shares purchased. Holder and the Company shall maintain records showing</w:t>
      </w:r>
    </w:p>
    <w:p>
      <w:pPr>
        <w:spacing w:after="0" w:line="219" w:lineRule="auto"/>
        <w:rPr>
          <w:sz w:val="20"/>
          <w:szCs w:val="20"/>
          <w:color w:val="auto"/>
        </w:rPr>
      </w:pPr>
      <w:r>
        <w:rPr>
          <w:rFonts w:ascii="Times New Roman" w:cs="Times New Roman" w:eastAsia="Times New Roman" w:hAnsi="Times New Roman"/>
          <w:sz w:val="20"/>
          <w:szCs w:val="20"/>
          <w:color w:val="auto"/>
        </w:rPr>
        <w:t>the number of Warrant Shares purchased and the date of such purchases. Any rights represented hereby that have not been exercised by the Expiration Time shall become and be void without</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 force or effect, and all rights to exercise this Warrant represented hereby shall cease and expire at the Expiration Time. If the date on</w:t>
      </w:r>
    </w:p>
    <w:p>
      <w:pPr>
        <w:jc w:val="both"/>
        <w:spacing w:after="0" w:line="219" w:lineRule="auto"/>
        <w:rPr>
          <w:sz w:val="20"/>
          <w:szCs w:val="20"/>
          <w:color w:val="auto"/>
        </w:rPr>
      </w:pPr>
      <w:r>
        <w:rPr>
          <w:rFonts w:ascii="Times New Roman" w:cs="Times New Roman" w:eastAsia="Times New Roman" w:hAnsi="Times New Roman"/>
          <w:sz w:val="20"/>
          <w:szCs w:val="20"/>
          <w:color w:val="auto"/>
        </w:rPr>
        <w:t>which the Expiration Time is set to occur is not a Business Day, then the Expiration Time shall be deemed to be extended to 4:00 p.m., Central Time, on the next succeeding Business Day.</w:t>
      </w:r>
    </w:p>
    <w:p>
      <w:pPr>
        <w:spacing w:after="0" w:line="15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2.2</w:t>
      </w:r>
      <w:r>
        <w:rPr>
          <w:sz w:val="20"/>
          <w:szCs w:val="20"/>
          <w:color w:val="auto"/>
        </w:rPr>
        <w:tab/>
      </w:r>
      <w:r>
        <w:rPr>
          <w:rFonts w:ascii="Times New Roman" w:cs="Times New Roman" w:eastAsia="Times New Roman" w:hAnsi="Times New Roman"/>
          <w:sz w:val="19"/>
          <w:szCs w:val="19"/>
          <w:u w:val="single" w:color="auto"/>
          <w:color w:val="auto"/>
        </w:rPr>
        <w:t>Cashless Exercise</w:t>
      </w:r>
      <w:r>
        <w:rPr>
          <w:rFonts w:ascii="Times New Roman" w:cs="Times New Roman" w:eastAsia="Times New Roman" w:hAnsi="Times New Roman"/>
          <w:sz w:val="19"/>
          <w:szCs w:val="19"/>
          <w:color w:val="auto"/>
        </w:rPr>
        <w:t>. Holder may elect in its sole discretion to exercise this Warrant through a cashless exercise in lieu of paying</w:t>
      </w:r>
    </w:p>
    <w:p>
      <w:pPr>
        <w:jc w:val="both"/>
        <w:spacing w:after="0" w:line="219" w:lineRule="auto"/>
        <w:rPr>
          <w:sz w:val="20"/>
          <w:szCs w:val="20"/>
          <w:color w:val="auto"/>
        </w:rPr>
      </w:pPr>
      <w:r>
        <w:rPr>
          <w:rFonts w:ascii="Times New Roman" w:cs="Times New Roman" w:eastAsia="Times New Roman" w:hAnsi="Times New Roman"/>
          <w:sz w:val="20"/>
          <w:szCs w:val="20"/>
          <w:color w:val="auto"/>
        </w:rPr>
        <w:t>the Exercise Price in cash, pursuant to which Holder shall be entitled to receive the number of Warrant Shares computed using the following formula:</w:t>
      </w:r>
    </w:p>
    <w:p>
      <w:pPr>
        <w:spacing w:after="0" w:line="173" w:lineRule="exact"/>
        <w:rPr>
          <w:sz w:val="20"/>
          <w:szCs w:val="20"/>
          <w:color w:val="auto"/>
        </w:rPr>
      </w:pPr>
    </w:p>
    <w:p>
      <w:pPr>
        <w:jc w:val="center"/>
        <w:spacing w:after="0"/>
        <w:tabs>
          <w:tab w:leader="none" w:pos="3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 xml:space="preserve">X = </w:t>
      </w:r>
      <w:r>
        <w:rPr>
          <w:rFonts w:ascii="Times New Roman" w:cs="Times New Roman" w:eastAsia="Times New Roman" w:hAnsi="Times New Roman"/>
          <w:sz w:val="19"/>
          <w:szCs w:val="19"/>
          <w:u w:val="single" w:color="auto"/>
          <w:color w:val="auto"/>
        </w:rPr>
        <w:t>Y (A-B)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p>
    <w:p>
      <w:pPr>
        <w:spacing w:after="0" w:line="197" w:lineRule="exact"/>
        <w:rPr>
          <w:sz w:val="20"/>
          <w:szCs w:val="20"/>
          <w:color w:val="auto"/>
        </w:rPr>
      </w:pPr>
    </w:p>
    <w:p>
      <w:pPr>
        <w:ind w:left="640"/>
        <w:spacing w:after="0"/>
        <w:tabs>
          <w:tab w:leader="none" w:pos="1260" w:val="left"/>
          <w:tab w:leader="none" w:pos="19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Where</w:t>
      </w:r>
      <w:r>
        <w:rPr>
          <w:sz w:val="20"/>
          <w:szCs w:val="20"/>
          <w:color w:val="auto"/>
        </w:rPr>
        <w:tab/>
      </w:r>
      <w:r>
        <w:rPr>
          <w:rFonts w:ascii="Times New Roman" w:cs="Times New Roman" w:eastAsia="Times New Roman" w:hAnsi="Times New Roman"/>
          <w:sz w:val="19"/>
          <w:szCs w:val="19"/>
          <w:color w:val="auto"/>
        </w:rPr>
        <w:t>X = the number of Warrant Shares to be issued to Holder by the Company</w:t>
      </w:r>
    </w:p>
    <w:p>
      <w:pPr>
        <w:spacing w:after="0" w:line="25" w:lineRule="exact"/>
        <w:rPr>
          <w:sz w:val="20"/>
          <w:szCs w:val="20"/>
          <w:color w:val="auto"/>
        </w:rPr>
      </w:pPr>
    </w:p>
    <w:p>
      <w:pPr>
        <w:ind w:left="1300"/>
        <w:spacing w:after="0" w:line="244" w:lineRule="auto"/>
        <w:rPr>
          <w:sz w:val="20"/>
          <w:szCs w:val="20"/>
          <w:color w:val="auto"/>
        </w:rPr>
      </w:pPr>
      <w:r>
        <w:rPr>
          <w:rFonts w:ascii="Times New Roman" w:cs="Times New Roman" w:eastAsia="Times New Roman" w:hAnsi="Times New Roman"/>
          <w:sz w:val="20"/>
          <w:szCs w:val="20"/>
          <w:color w:val="auto"/>
        </w:rPr>
        <w:t>2.5 Y = the number of Warrant Shares that Holder elects to purchase under this Warrant (as of the date of such calculation)</w:t>
      </w:r>
    </w:p>
    <w:p>
      <w:pPr>
        <w:spacing w:after="0" w:line="234" w:lineRule="exact"/>
        <w:rPr>
          <w:sz w:val="20"/>
          <w:szCs w:val="20"/>
          <w:color w:val="auto"/>
        </w:rPr>
      </w:pPr>
    </w:p>
    <w:p>
      <w:pPr>
        <w:ind w:left="640"/>
        <w:spacing w:after="0"/>
        <w:tabs>
          <w:tab w:leader="none" w:pos="144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A = the Per Share Price (as of the date of such calculation)</w:t>
      </w:r>
    </w:p>
    <w:p>
      <w:pPr>
        <w:spacing w:after="0" w:line="11"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 xml:space="preserve">B = the Exercise Price (as may be adjusted pursuant to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w:t>
      </w:r>
    </w:p>
    <w:p>
      <w:pPr>
        <w:spacing w:after="0" w:line="77" w:lineRule="exact"/>
        <w:rPr>
          <w:sz w:val="20"/>
          <w:szCs w:val="20"/>
          <w:color w:val="auto"/>
        </w:rPr>
      </w:pPr>
    </w:p>
    <w:p>
      <w:pPr>
        <w:jc w:val="both"/>
        <w:ind w:firstLine="642"/>
        <w:spacing w:after="0" w:line="255" w:lineRule="auto"/>
        <w:rPr>
          <w:sz w:val="20"/>
          <w:szCs w:val="20"/>
          <w:color w:val="auto"/>
        </w:rPr>
      </w:pPr>
      <w:r>
        <w:rPr>
          <w:rFonts w:ascii="Times New Roman" w:cs="Times New Roman" w:eastAsia="Times New Roman" w:hAnsi="Times New Roman"/>
          <w:sz w:val="20"/>
          <w:szCs w:val="20"/>
          <w:color w:val="auto"/>
        </w:rPr>
        <w:t>2.8 If Warrant Shares are issued in such a cashless exercise, the parties acknowledge and agree that in accordance with Section 3(a)(9) of the Securities Act, the Warrant Shares shall take on the characteristics of the Warrants being exercised, and the holding period of the Warrant Shares may be tacked on to the holding period of the Warrants. The Company agrees not to take any position contrary to the foregoing sentence.</w:t>
      </w:r>
    </w:p>
    <w:p>
      <w:pPr>
        <w:spacing w:after="0" w:line="39" w:lineRule="exact"/>
        <w:rPr>
          <w:sz w:val="20"/>
          <w:szCs w:val="20"/>
          <w:color w:val="auto"/>
        </w:rPr>
      </w:pPr>
    </w:p>
    <w:p>
      <w:pPr>
        <w:ind w:left="640" w:hanging="633"/>
        <w:spacing w:after="0"/>
        <w:tabs>
          <w:tab w:leader="none" w:pos="640" w:val="left"/>
        </w:tabs>
        <w:numPr>
          <w:ilvl w:val="0"/>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Delivery of Warrant Shares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42"/>
        <w:spacing w:after="0" w:line="220" w:lineRule="auto"/>
        <w:rPr>
          <w:sz w:val="20"/>
          <w:szCs w:val="20"/>
          <w:color w:val="auto"/>
        </w:rPr>
      </w:pPr>
      <w:r>
        <w:rPr>
          <w:rFonts w:ascii="Times New Roman" w:cs="Times New Roman" w:eastAsia="Times New Roman" w:hAnsi="Times New Roman"/>
          <w:sz w:val="20"/>
          <w:szCs w:val="20"/>
          <w:color w:val="010000"/>
        </w:rPr>
        <w:t xml:space="preserve">3.1 </w:t>
      </w:r>
      <w:r>
        <w:rPr>
          <w:rFonts w:ascii="Times New Roman" w:cs="Times New Roman" w:eastAsia="Times New Roman" w:hAnsi="Times New Roman"/>
          <w:sz w:val="20"/>
          <w:szCs w:val="20"/>
          <w:color w:val="000000"/>
        </w:rPr>
        <w:t>As promptly as reasonably practicable on or after an Exercise Date, and in any event within two (2) Business Days thereafter,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Company shall cause the Transfer Agent to issue book-entry interests representing the number of Warrant Shares exercised on such</w:t>
      </w:r>
    </w:p>
    <w:p>
      <w:pPr>
        <w:spacing w:after="0" w:line="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9"/>
          <w:szCs w:val="19"/>
          <w:color w:val="auto"/>
        </w:rPr>
        <w:t>Exercise Date to the account designated by Holder in the Exercise Form. Such issuance and delivery shall be made without charge to Holder for any issue or transfer tax (other than any such taxes in respect of any transfer by Holder to another person occurring contemporaneously</w:t>
      </w:r>
    </w:p>
    <w:p>
      <w:pPr>
        <w:jc w:val="both"/>
        <w:spacing w:after="0" w:line="226" w:lineRule="auto"/>
        <w:rPr>
          <w:sz w:val="20"/>
          <w:szCs w:val="20"/>
          <w:color w:val="auto"/>
        </w:rPr>
      </w:pPr>
      <w:r>
        <w:rPr>
          <w:rFonts w:ascii="Times New Roman" w:cs="Times New Roman" w:eastAsia="Times New Roman" w:hAnsi="Times New Roman"/>
          <w:sz w:val="20"/>
          <w:szCs w:val="20"/>
          <w:color w:val="auto"/>
        </w:rPr>
        <w:t>therewith), Transfer Agent fee or other incidental expense in respect of the issuance, all of which such taxes and expenses shall be paid by the Company.</w:t>
      </w:r>
    </w:p>
    <w:p>
      <w:pPr>
        <w:spacing w:after="0" w:line="147" w:lineRule="exact"/>
        <w:rPr>
          <w:sz w:val="20"/>
          <w:szCs w:val="20"/>
          <w:color w:val="auto"/>
        </w:rPr>
      </w:pPr>
    </w:p>
    <w:p>
      <w:pPr>
        <w:jc w:val="both"/>
        <w:ind w:firstLine="642"/>
        <w:spacing w:after="0" w:line="237" w:lineRule="auto"/>
        <w:rPr>
          <w:sz w:val="20"/>
          <w:szCs w:val="20"/>
          <w:color w:val="auto"/>
        </w:rPr>
      </w:pPr>
      <w:r>
        <w:rPr>
          <w:rFonts w:ascii="Times New Roman" w:cs="Times New Roman" w:eastAsia="Times New Roman" w:hAnsi="Times New Roman"/>
          <w:sz w:val="20"/>
          <w:szCs w:val="20"/>
          <w:color w:val="010000"/>
        </w:rPr>
        <w:t xml:space="preserve">3.2 </w:t>
      </w:r>
      <w:r>
        <w:rPr>
          <w:rFonts w:ascii="Times New Roman" w:cs="Times New Roman" w:eastAsia="Times New Roman" w:hAnsi="Times New Roman"/>
          <w:sz w:val="20"/>
          <w:szCs w:val="20"/>
          <w:u w:val="single" w:color="auto"/>
          <w:color w:val="000000"/>
        </w:rPr>
        <w:t>Legend</w:t>
      </w:r>
      <w:r>
        <w:rPr>
          <w:rFonts w:ascii="Times New Roman" w:cs="Times New Roman" w:eastAsia="Times New Roman" w:hAnsi="Times New Roman"/>
          <w:sz w:val="20"/>
          <w:szCs w:val="20"/>
          <w:color w:val="000000"/>
        </w:rPr>
        <w:t>. Other than as provided below, the Warrant Shares issued upon the exercise of this Warrant shall bear a legend as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follows:</w:t>
      </w:r>
    </w:p>
    <w:p>
      <w:pPr>
        <w:spacing w:after="0" w:line="174" w:lineRule="exact"/>
        <w:rPr>
          <w:sz w:val="20"/>
          <w:szCs w:val="20"/>
          <w:color w:val="auto"/>
        </w:rPr>
      </w:pPr>
    </w:p>
    <w:p>
      <w:pPr>
        <w:jc w:val="both"/>
        <w:ind w:firstLine="642"/>
        <w:spacing w:after="0" w:line="263" w:lineRule="auto"/>
        <w:rPr>
          <w:sz w:val="20"/>
          <w:szCs w:val="20"/>
          <w:color w:val="auto"/>
        </w:rPr>
      </w:pPr>
      <w:r>
        <w:rPr>
          <w:rFonts w:ascii="Times New Roman" w:cs="Times New Roman" w:eastAsia="Times New Roman" w:hAnsi="Times New Roman"/>
          <w:sz w:val="19"/>
          <w:szCs w:val="19"/>
          <w:color w:val="auto"/>
        </w:rPr>
        <w:t>“THESE SECURITIES HAVE NOT BEEN REGISTERED UNDER THE SECURITIES ACT OF 1933, AS AMENDED (THE “SECURITIES ACT”). THESE SECURITIES MAY NOT BE SOLD, OFFERED FOR SALE, PLEDGED OR HYPOTHECATED EXCEPT PURSUANT TO A REGISTRATION STATEMENT IN EFFECT UNDER THE SECURITIES ACT OR PURSUANT TO AN EXEMPTION FROM REGISTRATION THEREUNDER, IN EACH CASE IN ACCORDANCE WITH ALL APPLICABLE SECURITIES LAWS OF THE STATES OR OTHER JURISDICTIONS, AND, IN THE CASE OF A TRANSACTION EXEMPT FROM REGISTRATION, SUCH SECURITIES MAY ONLY BE TRANSFERRED IF THE COMPANY HAS RECEIVED DOCUMENTATION REASONABLY SATISFACTORY TO IT THAT SUCH TRANSACTION DOES NOT REQUIRE REGISTRATION UNDER THE SECURITIES ACT.”</w:t>
      </w:r>
    </w:p>
    <w:p>
      <w:pPr>
        <w:spacing w:after="0" w:line="183" w:lineRule="exact"/>
        <w:rPr>
          <w:sz w:val="20"/>
          <w:szCs w:val="20"/>
          <w:color w:val="auto"/>
        </w:rPr>
      </w:pPr>
    </w:p>
    <w:p>
      <w:pPr>
        <w:jc w:val="both"/>
        <w:ind w:firstLine="642"/>
        <w:spacing w:after="0" w:line="250" w:lineRule="auto"/>
        <w:rPr>
          <w:sz w:val="20"/>
          <w:szCs w:val="20"/>
          <w:color w:val="auto"/>
        </w:rPr>
      </w:pPr>
      <w:r>
        <w:rPr>
          <w:rFonts w:ascii="Times New Roman" w:cs="Times New Roman" w:eastAsia="Times New Roman" w:hAnsi="Times New Roman"/>
          <w:sz w:val="20"/>
          <w:szCs w:val="20"/>
          <w:color w:val="auto"/>
        </w:rPr>
        <w:t>If this Warrant is exercised and (A) there is then an effective registration statement permitting the issuance of the Warrant Shares to, or resale of the Warrant Shares by, Holder, or (B) the Warrant Shares are (x) eligible for resale by Holder pursuant to Rule 144 at the time of sale of such Warrant Shares or (y) eligible for resale by Holder without volume or manner-of-sale limitations pursuant to Rule 144, then the Company shall cause the Warrant Shares purchased hereunder to be transmitted by the Transfer Agent to Holder by crediting the account of Holder’s or its designee’s balance account with The Depository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Company through its Deposit or Withdrawal at Custodian system. The Company shall, at the request of Holder, promptly deliver all the necessary documentation to cause the Transfer Agent to promptly remove all restrictive legends from any of the Warrant Shares pursuant to the foregoing, and promptly deliver or cause its legal counsel to promptly deliver to the Transfer Agent the necessary legal opinions or instruction letters required by the Transfer Agent, if any, to promptly effectuate the foregoing, subject to receipt of customary representation letters from Holder and, if applicable, its broker.</w:t>
      </w:r>
    </w:p>
    <w:p>
      <w:pPr>
        <w:spacing w:after="0" w:line="176" w:lineRule="exact"/>
        <w:rPr>
          <w:sz w:val="20"/>
          <w:szCs w:val="20"/>
          <w:color w:val="auto"/>
        </w:rPr>
      </w:pPr>
    </w:p>
    <w:p>
      <w:pPr>
        <w:ind w:left="640" w:hanging="633"/>
        <w:spacing w:after="0"/>
        <w:tabs>
          <w:tab w:leader="none" w:pos="640" w:val="left"/>
        </w:tabs>
        <w:numPr>
          <w:ilvl w:val="0"/>
          <w:numId w:val="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Transfer</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firstLine="642"/>
        <w:spacing w:after="0" w:line="227" w:lineRule="auto"/>
        <w:rPr>
          <w:sz w:val="20"/>
          <w:szCs w:val="20"/>
          <w:color w:val="auto"/>
        </w:rPr>
      </w:pPr>
      <w:r>
        <w:rPr>
          <w:rFonts w:ascii="Times New Roman" w:cs="Times New Roman" w:eastAsia="Times New Roman" w:hAnsi="Times New Roman"/>
          <w:sz w:val="19"/>
          <w:szCs w:val="19"/>
          <w:color w:val="010000"/>
        </w:rPr>
        <w:t xml:space="preserve">4.1 </w:t>
      </w:r>
      <w:r>
        <w:rPr>
          <w:rFonts w:ascii="Times New Roman" w:cs="Times New Roman" w:eastAsia="Times New Roman" w:hAnsi="Times New Roman"/>
          <w:sz w:val="19"/>
          <w:szCs w:val="19"/>
          <w:u w:val="single" w:color="auto"/>
          <w:color w:val="000000"/>
        </w:rPr>
        <w:t>General Restrictions</w:t>
      </w:r>
      <w:r>
        <w:rPr>
          <w:rFonts w:ascii="Times New Roman" w:cs="Times New Roman" w:eastAsia="Times New Roman" w:hAnsi="Times New Roman"/>
          <w:sz w:val="19"/>
          <w:szCs w:val="19"/>
          <w:color w:val="000000"/>
        </w:rPr>
        <w:t>. Holder may sell, transfer, assign, pledge or hypothecate (“</w:t>
      </w:r>
      <w:r>
        <w:rPr>
          <w:rFonts w:ascii="Times New Roman" w:cs="Times New Roman" w:eastAsia="Times New Roman" w:hAnsi="Times New Roman"/>
          <w:sz w:val="19"/>
          <w:szCs w:val="19"/>
          <w:b w:val="1"/>
          <w:bCs w:val="1"/>
          <w:u w:val="single" w:color="auto"/>
          <w:color w:val="000000"/>
        </w:rPr>
        <w:t>Transfer</w:t>
      </w:r>
      <w:r>
        <w:rPr>
          <w:rFonts w:ascii="Times New Roman" w:cs="Times New Roman" w:eastAsia="Times New Roman" w:hAnsi="Times New Roman"/>
          <w:sz w:val="19"/>
          <w:szCs w:val="19"/>
          <w:color w:val="000000"/>
        </w:rPr>
        <w:t>”) this Warrant, in whole or in part,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subject to compliance with applicable securities laws and the terms of this Warrant. In order to make any Transfer, Holder must deliver to the</w:t>
      </w:r>
    </w:p>
    <w:p>
      <w:pPr>
        <w:spacing w:after="0" w:line="220" w:lineRule="auto"/>
        <w:rPr>
          <w:sz w:val="20"/>
          <w:szCs w:val="20"/>
          <w:color w:val="auto"/>
        </w:rPr>
      </w:pPr>
      <w:r>
        <w:rPr>
          <w:rFonts w:ascii="Times New Roman" w:cs="Times New Roman" w:eastAsia="Times New Roman" w:hAnsi="Times New Roman"/>
          <w:sz w:val="19"/>
          <w:szCs w:val="19"/>
          <w:color w:val="auto"/>
        </w:rPr>
        <w:t xml:space="preserve">Company the form of Notice of Transfer attached hereto as </w:t>
      </w:r>
      <w:r>
        <w:rPr>
          <w:rFonts w:ascii="Times New Roman" w:cs="Times New Roman" w:eastAsia="Times New Roman" w:hAnsi="Times New Roman"/>
          <w:sz w:val="19"/>
          <w:szCs w:val="19"/>
          <w:u w:val="single" w:color="auto"/>
          <w:color w:val="auto"/>
        </w:rPr>
        <w:t>Annex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Transfer Form</w:t>
      </w:r>
      <w:r>
        <w:rPr>
          <w:rFonts w:ascii="Times New Roman" w:cs="Times New Roman" w:eastAsia="Times New Roman" w:hAnsi="Times New Roman"/>
          <w:sz w:val="19"/>
          <w:szCs w:val="19"/>
          <w:color w:val="auto"/>
        </w:rPr>
        <w:t>”), duly executed and completed by Holder, together</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with this Warrant for the surrender and cancellation thereof and remit the payment of all transfer taxes, if any, payable in connection therewith. Within two (2) Business Days of the Company’s receipt of such Transfer Form, this Warrant and reasonably satisfactory evidence of the</w:t>
      </w:r>
    </w:p>
    <w:p>
      <w:pPr>
        <w:spacing w:after="0" w:line="220" w:lineRule="auto"/>
        <w:rPr>
          <w:sz w:val="20"/>
          <w:szCs w:val="20"/>
          <w:color w:val="auto"/>
        </w:rPr>
      </w:pPr>
      <w:r>
        <w:rPr>
          <w:rFonts w:ascii="Times New Roman" w:cs="Times New Roman" w:eastAsia="Times New Roman" w:hAnsi="Times New Roman"/>
          <w:sz w:val="19"/>
          <w:szCs w:val="19"/>
          <w:color w:val="auto"/>
        </w:rPr>
        <w:t>remittal of payment for all applicable transfer taxes, if any, the Company shall transfer the rights under this Warrant, in whole or in part, on the</w:t>
      </w:r>
    </w:p>
    <w:p>
      <w:pPr>
        <w:spacing w:after="0" w:line="202" w:lineRule="auto"/>
        <w:rPr>
          <w:sz w:val="20"/>
          <w:szCs w:val="20"/>
          <w:color w:val="auto"/>
        </w:rPr>
      </w:pPr>
      <w:r>
        <w:rPr>
          <w:rFonts w:ascii="Times New Roman" w:cs="Times New Roman" w:eastAsia="Times New Roman" w:hAnsi="Times New Roman"/>
          <w:sz w:val="20"/>
          <w:szCs w:val="20"/>
          <w:color w:val="auto"/>
        </w:rPr>
        <w:t xml:space="preserve">books of the Company, cancel this Warrant and execute and deliver a new warrant or warrants of like tenor to the appropriate Transferee(s) expressly evidencing the right to purchase the aggregate number of Warrant Shares Transferred pursuant to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(subject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execution thereof by such Transferee(s)) and, if applicable, to Holder in accordance with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2"/>
        <w:spacing w:after="0" w:line="213" w:lineRule="auto"/>
        <w:rPr>
          <w:sz w:val="20"/>
          <w:szCs w:val="20"/>
          <w:color w:val="auto"/>
        </w:rPr>
      </w:pPr>
      <w:r>
        <w:rPr>
          <w:rFonts w:ascii="Times New Roman" w:cs="Times New Roman" w:eastAsia="Times New Roman" w:hAnsi="Times New Roman"/>
          <w:sz w:val="20"/>
          <w:szCs w:val="20"/>
          <w:color w:val="010000"/>
        </w:rPr>
        <w:t xml:space="preserve">4.2 </w:t>
      </w:r>
      <w:r>
        <w:rPr>
          <w:rFonts w:ascii="Times New Roman" w:cs="Times New Roman" w:eastAsia="Times New Roman" w:hAnsi="Times New Roman"/>
          <w:sz w:val="20"/>
          <w:szCs w:val="20"/>
          <w:u w:val="single" w:color="auto"/>
          <w:color w:val="000000"/>
        </w:rPr>
        <w:t>Restrictions Imposed by the Securities Act</w:t>
      </w:r>
      <w:r>
        <w:rPr>
          <w:rFonts w:ascii="Times New Roman" w:cs="Times New Roman" w:eastAsia="Times New Roman" w:hAnsi="Times New Roman"/>
          <w:sz w:val="20"/>
          <w:szCs w:val="20"/>
          <w:color w:val="000000"/>
        </w:rPr>
        <w:t>. This Warrant and the Warrant Shares issuable upon the exercise hereof shall not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Transferred unless and until: (a) the Company has received an opinion of counsel for Holder reasonably acceptable to the Company that the</w:t>
      </w:r>
    </w:p>
    <w:p>
      <w:pPr>
        <w:spacing w:after="0" w:line="211" w:lineRule="auto"/>
        <w:rPr>
          <w:sz w:val="20"/>
          <w:szCs w:val="20"/>
          <w:color w:val="auto"/>
        </w:rPr>
      </w:pPr>
      <w:r>
        <w:rPr>
          <w:rFonts w:ascii="Times New Roman" w:cs="Times New Roman" w:eastAsia="Times New Roman" w:hAnsi="Times New Roman"/>
          <w:sz w:val="20"/>
          <w:szCs w:val="20"/>
          <w:color w:val="auto"/>
        </w:rPr>
        <w:t>securities may be transferred pursuant to an exemption from registration under the Securities Act and applicable state securities laws, the</w:t>
      </w:r>
    </w:p>
    <w:p>
      <w:pPr>
        <w:spacing w:after="0" w:line="213" w:lineRule="auto"/>
        <w:rPr>
          <w:sz w:val="20"/>
          <w:szCs w:val="20"/>
          <w:color w:val="auto"/>
        </w:rPr>
      </w:pPr>
      <w:r>
        <w:rPr>
          <w:rFonts w:ascii="Times New Roman" w:cs="Times New Roman" w:eastAsia="Times New Roman" w:hAnsi="Times New Roman"/>
          <w:sz w:val="19"/>
          <w:szCs w:val="19"/>
          <w:color w:val="auto"/>
        </w:rPr>
        <w:t>availability of which is established to the reasonable satisfaction of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opinion of counsel shall be required in connection with sales of Warrant Shares under Rule 144 of the Securities Act); or (b) a registration statement or a post-effective amendment to</w:t>
      </w:r>
    </w:p>
    <w:p>
      <w:pPr>
        <w:spacing w:after="0" w:line="213" w:lineRule="auto"/>
        <w:rPr>
          <w:sz w:val="20"/>
          <w:szCs w:val="20"/>
          <w:color w:val="auto"/>
        </w:rPr>
      </w:pPr>
      <w:r>
        <w:rPr>
          <w:rFonts w:ascii="Times New Roman" w:cs="Times New Roman" w:eastAsia="Times New Roman" w:hAnsi="Times New Roman"/>
          <w:sz w:val="19"/>
          <w:szCs w:val="19"/>
          <w:color w:val="auto"/>
        </w:rPr>
        <w:t>a registration statement relating to the offer and sale of such securities has been filed by the Company and declared effective by the Commission and compliance with applicable state securities law has been established to the Company’s satisfaction, acting reasonably and in</w:t>
      </w:r>
    </w:p>
    <w:p>
      <w:pPr>
        <w:spacing w:after="0"/>
        <w:rPr>
          <w:sz w:val="20"/>
          <w:szCs w:val="20"/>
          <w:color w:val="auto"/>
        </w:rPr>
      </w:pPr>
      <w:r>
        <w:rPr>
          <w:rFonts w:ascii="Times New Roman" w:cs="Times New Roman" w:eastAsia="Times New Roman" w:hAnsi="Times New Roman"/>
          <w:sz w:val="20"/>
          <w:szCs w:val="20"/>
          <w:color w:val="auto"/>
        </w:rPr>
        <w:t>good faith.</w:t>
      </w:r>
    </w:p>
    <w:p>
      <w:pPr>
        <w:spacing w:after="0" w:line="159" w:lineRule="exact"/>
        <w:rPr>
          <w:sz w:val="20"/>
          <w:szCs w:val="20"/>
          <w:color w:val="auto"/>
        </w:rPr>
      </w:pPr>
    </w:p>
    <w:p>
      <w:pPr>
        <w:ind w:left="640" w:hanging="633"/>
        <w:spacing w:after="0"/>
        <w:tabs>
          <w:tab w:leader="none" w:pos="640"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New Warrants to be Issued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2"/>
        <w:spacing w:after="0" w:line="220" w:lineRule="auto"/>
        <w:rPr>
          <w:sz w:val="20"/>
          <w:szCs w:val="20"/>
          <w:color w:val="auto"/>
        </w:rPr>
      </w:pPr>
      <w:r>
        <w:rPr>
          <w:rFonts w:ascii="Times New Roman" w:cs="Times New Roman" w:eastAsia="Times New Roman" w:hAnsi="Times New Roman"/>
          <w:sz w:val="20"/>
          <w:szCs w:val="20"/>
          <w:color w:val="010000"/>
        </w:rPr>
        <w:t xml:space="preserve">5.1 </w:t>
      </w:r>
      <w:r>
        <w:rPr>
          <w:rFonts w:ascii="Times New Roman" w:cs="Times New Roman" w:eastAsia="Times New Roman" w:hAnsi="Times New Roman"/>
          <w:sz w:val="20"/>
          <w:szCs w:val="20"/>
          <w:u w:val="single" w:color="auto"/>
          <w:color w:val="000000"/>
        </w:rPr>
        <w:t>Partial Exercise or Transfer</w:t>
      </w:r>
      <w:r>
        <w:rPr>
          <w:rFonts w:ascii="Times New Roman" w:cs="Times New Roman" w:eastAsia="Times New Roman" w:hAnsi="Times New Roman"/>
          <w:sz w:val="20"/>
          <w:szCs w:val="20"/>
          <w:color w:val="000000"/>
        </w:rPr>
        <w:t>. Subject to the restrictions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Article 4</w:t>
      </w:r>
      <w:r>
        <w:rPr>
          <w:rFonts w:ascii="Times New Roman" w:cs="Times New Roman" w:eastAsia="Times New Roman" w:hAnsi="Times New Roman"/>
          <w:sz w:val="20"/>
          <w:szCs w:val="20"/>
          <w:color w:val="000000"/>
        </w:rPr>
        <w:t>, this Warrant may be exercised or Transferred in whole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part. In the event that the exercise or the Transfer hereof is in part only, upon surrender of this Warrant for cancellation, together with the</w:t>
      </w:r>
    </w:p>
    <w:p>
      <w:pPr>
        <w:spacing w:after="0" w:line="2"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duly executed Exercise Form or Transfer Form, as applicable, and funds sufficient to pay any Exercise Price and/or transfer tax, the Company shall cause to be delivered to Holder without charge a new warrant of like tenor to this Warrant in the name of Holder evidencing the right of</w:t>
      </w:r>
    </w:p>
    <w:p>
      <w:pPr>
        <w:spacing w:after="0" w:line="226" w:lineRule="auto"/>
        <w:rPr>
          <w:sz w:val="20"/>
          <w:szCs w:val="20"/>
          <w:color w:val="auto"/>
        </w:rPr>
      </w:pPr>
      <w:r>
        <w:rPr>
          <w:rFonts w:ascii="Times New Roman" w:cs="Times New Roman" w:eastAsia="Times New Roman" w:hAnsi="Times New Roman"/>
          <w:sz w:val="20"/>
          <w:szCs w:val="20"/>
          <w:color w:val="auto"/>
        </w:rPr>
        <w:t>Holder to purchase the number of Warrant Shares purchasable hereunder as to which this Warrant has not been exercised or Transferred (subject to Holder’s execution thereof).</w:t>
      </w:r>
    </w:p>
    <w:p>
      <w:pPr>
        <w:spacing w:after="0" w:line="147" w:lineRule="exact"/>
        <w:rPr>
          <w:sz w:val="20"/>
          <w:szCs w:val="20"/>
          <w:color w:val="auto"/>
        </w:rPr>
      </w:pPr>
    </w:p>
    <w:p>
      <w:pPr>
        <w:jc w:val="both"/>
        <w:ind w:firstLine="642"/>
        <w:spacing w:after="0" w:line="232" w:lineRule="auto"/>
        <w:rPr>
          <w:sz w:val="20"/>
          <w:szCs w:val="20"/>
          <w:color w:val="auto"/>
        </w:rPr>
      </w:pPr>
      <w:r>
        <w:rPr>
          <w:rFonts w:ascii="Times New Roman" w:cs="Times New Roman" w:eastAsia="Times New Roman" w:hAnsi="Times New Roman"/>
          <w:sz w:val="19"/>
          <w:szCs w:val="19"/>
          <w:color w:val="010000"/>
        </w:rPr>
        <w:t xml:space="preserve">5.2 </w:t>
      </w:r>
      <w:r>
        <w:rPr>
          <w:rFonts w:ascii="Times New Roman" w:cs="Times New Roman" w:eastAsia="Times New Roman" w:hAnsi="Times New Roman"/>
          <w:sz w:val="19"/>
          <w:szCs w:val="19"/>
          <w:u w:val="single" w:color="auto"/>
          <w:color w:val="000000"/>
        </w:rPr>
        <w:t>Lost Certificate</w:t>
      </w:r>
      <w:r>
        <w:rPr>
          <w:rFonts w:ascii="Times New Roman" w:cs="Times New Roman" w:eastAsia="Times New Roman" w:hAnsi="Times New Roman"/>
          <w:sz w:val="19"/>
          <w:szCs w:val="19"/>
          <w:color w:val="000000"/>
        </w:rPr>
        <w:t>. Upon receipt by the Company of evidence reasonably satisfactory to it of the loss, theft, destruction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mutilation of this Warrant, including a certification by Holder thereof, and of reasonably satisfactory indemnification or the posting of a bond,</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the Company shall execute and deliver a new warrant of like tenor and date (subject to Holder’s execution thereof). Any such new warrant executed and delivered as a result of such loss, theft, mutilation or destruction shall constitute a substitute contractual obligation on the part of</w:t>
      </w:r>
    </w:p>
    <w:p>
      <w:pPr>
        <w:spacing w:after="0"/>
        <w:rPr>
          <w:sz w:val="20"/>
          <w:szCs w:val="20"/>
          <w:color w:val="auto"/>
        </w:rPr>
      </w:pPr>
      <w:r>
        <w:rPr>
          <w:rFonts w:ascii="Times New Roman" w:cs="Times New Roman" w:eastAsia="Times New Roman" w:hAnsi="Times New Roman"/>
          <w:sz w:val="20"/>
          <w:szCs w:val="20"/>
          <w:color w:val="auto"/>
        </w:rPr>
        <w:t>the Company.</w:t>
      </w:r>
    </w:p>
    <w:p>
      <w:pPr>
        <w:spacing w:after="0" w:line="163" w:lineRule="exact"/>
        <w:rPr>
          <w:sz w:val="20"/>
          <w:szCs w:val="20"/>
          <w:color w:val="auto"/>
        </w:rPr>
      </w:pPr>
    </w:p>
    <w:p>
      <w:pPr>
        <w:ind w:firstLine="642"/>
        <w:spacing w:after="0" w:line="213" w:lineRule="auto"/>
        <w:rPr>
          <w:sz w:val="20"/>
          <w:szCs w:val="20"/>
          <w:color w:val="auto"/>
        </w:rPr>
      </w:pPr>
      <w:r>
        <w:rPr>
          <w:rFonts w:ascii="Times New Roman" w:cs="Times New Roman" w:eastAsia="Times New Roman" w:hAnsi="Times New Roman"/>
          <w:sz w:val="20"/>
          <w:szCs w:val="20"/>
          <w:color w:val="010000"/>
        </w:rPr>
        <w:t xml:space="preserve">5.3 </w:t>
      </w:r>
      <w:r>
        <w:rPr>
          <w:rFonts w:ascii="Times New Roman" w:cs="Times New Roman" w:eastAsia="Times New Roman" w:hAnsi="Times New Roman"/>
          <w:sz w:val="20"/>
          <w:szCs w:val="20"/>
          <w:u w:val="single" w:color="auto"/>
          <w:color w:val="000000"/>
        </w:rPr>
        <w:t>Maximum Percentage</w:t>
      </w:r>
      <w:r>
        <w:rPr>
          <w:rFonts w:ascii="Times New Roman" w:cs="Times New Roman" w:eastAsia="Times New Roman" w:hAnsi="Times New Roman"/>
          <w:sz w:val="20"/>
          <w:szCs w:val="20"/>
          <w:color w:val="000000"/>
        </w:rPr>
        <w:t>. The Holder may notify the Company in writing in the event it elects to be subject to the provisions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contained in this </w:t>
      </w:r>
      <w:r>
        <w:rPr>
          <w:rFonts w:ascii="Times New Roman" w:cs="Times New Roman" w:eastAsia="Times New Roman" w:hAnsi="Times New Roman"/>
          <w:sz w:val="20"/>
          <w:szCs w:val="20"/>
          <w:u w:val="single" w:color="auto"/>
          <w:color w:val="000000"/>
        </w:rPr>
        <w:t>Section 5.3</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xml:space="preserve"> the Holder shall not be subject to this </w:t>
      </w:r>
      <w:r>
        <w:rPr>
          <w:rFonts w:ascii="Times New Roman" w:cs="Times New Roman" w:eastAsia="Times New Roman" w:hAnsi="Times New Roman"/>
          <w:sz w:val="20"/>
          <w:szCs w:val="20"/>
          <w:u w:val="single" w:color="auto"/>
          <w:color w:val="000000"/>
        </w:rPr>
        <w:t>Section 5.3</w:t>
      </w:r>
      <w:r>
        <w:rPr>
          <w:rFonts w:ascii="Times New Roman" w:cs="Times New Roman" w:eastAsia="Times New Roman" w:hAnsi="Times New Roman"/>
          <w:sz w:val="20"/>
          <w:szCs w:val="20"/>
          <w:color w:val="000000"/>
        </w:rPr>
        <w:t xml:space="preserve"> unless he, she or it makes such election. If the</w:t>
      </w:r>
    </w:p>
    <w:p>
      <w:pPr>
        <w:spacing w:after="0" w:line="211" w:lineRule="auto"/>
        <w:rPr>
          <w:sz w:val="20"/>
          <w:szCs w:val="20"/>
          <w:color w:val="auto"/>
        </w:rPr>
      </w:pPr>
      <w:r>
        <w:rPr>
          <w:rFonts w:ascii="Times New Roman" w:cs="Times New Roman" w:eastAsia="Times New Roman" w:hAnsi="Times New Roman"/>
          <w:sz w:val="20"/>
          <w:szCs w:val="20"/>
          <w:color w:val="auto"/>
        </w:rPr>
        <w:t>election is made by the Holder, the Holder shall not have the right to exercise such Warrant, to the extent that after giving effect to such</w:t>
      </w:r>
    </w:p>
    <w:p>
      <w:pPr>
        <w:spacing w:after="0" w:line="219" w:lineRule="auto"/>
        <w:rPr>
          <w:sz w:val="20"/>
          <w:szCs w:val="20"/>
          <w:color w:val="auto"/>
        </w:rPr>
      </w:pPr>
      <w:r>
        <w:rPr>
          <w:rFonts w:ascii="Times New Roman" w:cs="Times New Roman" w:eastAsia="Times New Roman" w:hAnsi="Times New Roman"/>
          <w:sz w:val="20"/>
          <w:szCs w:val="20"/>
          <w:color w:val="auto"/>
        </w:rPr>
        <w:t>exercise, the Holder (together with the Holder’s Affiliates) or any “group” of which Holder or its Affiliates is a member, would beneficially own in excess of 4.9% or 9.8% (or such other amount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 may specify) (the “</w:t>
      </w:r>
      <w:r>
        <w:rPr>
          <w:rFonts w:ascii="Times New Roman" w:cs="Times New Roman" w:eastAsia="Times New Roman" w:hAnsi="Times New Roman"/>
          <w:sz w:val="20"/>
          <w:szCs w:val="20"/>
          <w:b w:val="1"/>
          <w:bCs w:val="1"/>
          <w:u w:val="single" w:color="auto"/>
          <w:color w:val="auto"/>
        </w:rPr>
        <w:t>Maximum Percentage</w:t>
      </w:r>
      <w:r>
        <w:rPr>
          <w:rFonts w:ascii="Times New Roman" w:cs="Times New Roman" w:eastAsia="Times New Roman" w:hAnsi="Times New Roman"/>
          <w:sz w:val="20"/>
          <w:szCs w:val="20"/>
          <w:color w:val="auto"/>
        </w:rPr>
        <w:t>”) of the shares of Common Stock outstanding immediately after giving effect to such</w:t>
      </w:r>
    </w:p>
    <w:p>
      <w:pPr>
        <w:spacing w:after="0" w:line="213" w:lineRule="auto"/>
        <w:rPr>
          <w:sz w:val="20"/>
          <w:szCs w:val="20"/>
          <w:color w:val="auto"/>
        </w:rPr>
      </w:pPr>
      <w:r>
        <w:rPr>
          <w:rFonts w:ascii="Times New Roman" w:cs="Times New Roman" w:eastAsia="Times New Roman" w:hAnsi="Times New Roman"/>
          <w:sz w:val="19"/>
          <w:szCs w:val="19"/>
          <w:color w:val="auto"/>
        </w:rPr>
        <w:t>exercise. For purposes of the foregoing sentence, the aggregate number of shares of Common Stock beneficially owned by the Holders and its Affiliates, or any group of which the Holder and its Affiliates is a member, shall include the number of shares of Common Stock issuable upon</w:t>
      </w:r>
    </w:p>
    <w:p>
      <w:pPr>
        <w:spacing w:after="0" w:line="209" w:lineRule="auto"/>
        <w:rPr>
          <w:sz w:val="20"/>
          <w:szCs w:val="20"/>
          <w:color w:val="auto"/>
        </w:rPr>
      </w:pPr>
      <w:r>
        <w:rPr>
          <w:rFonts w:ascii="Times New Roman" w:cs="Times New Roman" w:eastAsia="Times New Roman" w:hAnsi="Times New Roman"/>
          <w:sz w:val="20"/>
          <w:szCs w:val="20"/>
          <w:color w:val="auto"/>
        </w:rPr>
        <w:t>exercise of the Warrant with respect to which the determination of such sentence is being made, but shall exclude shares of Common Stock</w:t>
      </w:r>
    </w:p>
    <w:p>
      <w:pPr>
        <w:spacing w:after="0" w:line="202" w:lineRule="auto"/>
        <w:rPr>
          <w:sz w:val="20"/>
          <w:szCs w:val="20"/>
          <w:color w:val="auto"/>
        </w:rPr>
      </w:pPr>
      <w:r>
        <w:rPr>
          <w:rFonts w:ascii="Times New Roman" w:cs="Times New Roman" w:eastAsia="Times New Roman" w:hAnsi="Times New Roman"/>
          <w:sz w:val="20"/>
          <w:szCs w:val="20"/>
          <w:color w:val="auto"/>
        </w:rPr>
        <w:t>that would be issuable upon (x) exercise of the remaining, unexercised portion of the Warrant beneficially owned by the Holder and its Affiliates, or any group of which the Holder and its Affiliates is a member, and (y) exercise or conversion of the unexercised or unconverted</w:t>
      </w:r>
    </w:p>
    <w:p>
      <w:pPr>
        <w:spacing w:after="0" w:line="210" w:lineRule="auto"/>
        <w:rPr>
          <w:sz w:val="20"/>
          <w:szCs w:val="20"/>
          <w:color w:val="auto"/>
        </w:rPr>
      </w:pPr>
      <w:r>
        <w:rPr>
          <w:rFonts w:ascii="Times New Roman" w:cs="Times New Roman" w:eastAsia="Times New Roman" w:hAnsi="Times New Roman"/>
          <w:sz w:val="20"/>
          <w:szCs w:val="20"/>
          <w:color w:val="auto"/>
        </w:rPr>
        <w:t>portion of any other securities of the Company beneficially owned by the Holder and its Affiliates, or any group of which the Holder and its</w:t>
      </w:r>
    </w:p>
    <w:p>
      <w:pPr>
        <w:spacing w:after="0" w:line="213" w:lineRule="auto"/>
        <w:rPr>
          <w:sz w:val="20"/>
          <w:szCs w:val="20"/>
          <w:color w:val="auto"/>
        </w:rPr>
      </w:pPr>
      <w:r>
        <w:rPr>
          <w:rFonts w:ascii="Times New Roman" w:cs="Times New Roman" w:eastAsia="Times New Roman" w:hAnsi="Times New Roman"/>
          <w:sz w:val="19"/>
          <w:szCs w:val="19"/>
          <w:color w:val="auto"/>
        </w:rPr>
        <w:t>Affiliates is a member (including, without limitation, any convertible notes or convertible preference shares or warrants) subject to a limitation on conversion or exercise analogous to the limitation contained herein. Except as set forth in the preceding sentence, for purposes of this</w:t>
      </w:r>
    </w:p>
    <w:p>
      <w:pPr>
        <w:spacing w:after="0" w:line="220" w:lineRule="auto"/>
        <w:rPr>
          <w:sz w:val="20"/>
          <w:szCs w:val="20"/>
          <w:color w:val="auto"/>
        </w:rPr>
      </w:pPr>
      <w:r>
        <w:rPr>
          <w:rFonts w:ascii="Times New Roman" w:cs="Times New Roman" w:eastAsia="Times New Roman" w:hAnsi="Times New Roman"/>
          <w:sz w:val="19"/>
          <w:szCs w:val="19"/>
          <w:color w:val="auto"/>
        </w:rPr>
        <w:t>paragraph, beneficial ownership shall be calculated in accordance with Section 13(d) of the Exchange Act and the applicable regulations of the</w:t>
      </w:r>
    </w:p>
    <w:p>
      <w:pPr>
        <w:spacing w:after="0" w:line="202" w:lineRule="auto"/>
        <w:rPr>
          <w:sz w:val="20"/>
          <w:szCs w:val="20"/>
          <w:color w:val="auto"/>
        </w:rPr>
      </w:pPr>
      <w:r>
        <w:rPr>
          <w:rFonts w:ascii="Times New Roman" w:cs="Times New Roman" w:eastAsia="Times New Roman" w:hAnsi="Times New Roman"/>
          <w:sz w:val="20"/>
          <w:szCs w:val="20"/>
          <w:color w:val="auto"/>
        </w:rPr>
        <w:t>Commission. For purposes hereof, “group” has the meaning set forth in Section 13(d) of the Exchange Act and applicable regulations of the Commission, and the percentage held by the Holder shall be determined in a manner consistent with the provisions of Section 13(d) of the</w:t>
      </w:r>
    </w:p>
    <w:p>
      <w:pPr>
        <w:spacing w:after="0" w:line="221" w:lineRule="auto"/>
        <w:rPr>
          <w:sz w:val="20"/>
          <w:szCs w:val="20"/>
          <w:color w:val="auto"/>
        </w:rPr>
      </w:pPr>
      <w:r>
        <w:rPr>
          <w:rFonts w:ascii="Times New Roman" w:cs="Times New Roman" w:eastAsia="Times New Roman" w:hAnsi="Times New Roman"/>
          <w:sz w:val="19"/>
          <w:szCs w:val="19"/>
          <w:color w:val="auto"/>
        </w:rPr>
        <w:t xml:space="preserve">Exchange Act. To the extent that the Holder makes the election described in this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the Company shall not effect the exercise of the</w:t>
      </w:r>
    </w:p>
    <w:p>
      <w:pPr>
        <w:spacing w:after="0" w:line="213" w:lineRule="auto"/>
        <w:rPr>
          <w:sz w:val="20"/>
          <w:szCs w:val="20"/>
          <w:color w:val="auto"/>
        </w:rPr>
      </w:pPr>
      <w:r>
        <w:rPr>
          <w:rFonts w:ascii="Times New Roman" w:cs="Times New Roman" w:eastAsia="Times New Roman" w:hAnsi="Times New Roman"/>
          <w:sz w:val="19"/>
          <w:szCs w:val="19"/>
          <w:color w:val="auto"/>
        </w:rPr>
        <w:t>Holder’s Warrant, and the Holder shall not have the right to exercise such Warrant, unless the Holder provides to the Company in its Exercise Form, a certification that, upon after giving effect to such exercise, the Holder (together with the Holder’s Affiliates) or any “group” of which</w:t>
      </w:r>
    </w:p>
    <w:p>
      <w:pPr>
        <w:spacing w:after="0" w:line="209" w:lineRule="auto"/>
        <w:rPr>
          <w:sz w:val="20"/>
          <w:szCs w:val="20"/>
          <w:color w:val="auto"/>
        </w:rPr>
      </w:pPr>
      <w:r>
        <w:rPr>
          <w:rFonts w:ascii="Times New Roman" w:cs="Times New Roman" w:eastAsia="Times New Roman" w:hAnsi="Times New Roman"/>
          <w:sz w:val="20"/>
          <w:szCs w:val="20"/>
          <w:color w:val="auto"/>
        </w:rPr>
        <w:t>the Holder or its Affiliates is a member, would not beneficially own in excess of the Maximum Percentage of the shares of Common Stock</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outstanding immediately after giving effect to such exercise as determined in accordance with this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For purposes of the Warrant, in determining the number of issued and outstanding shares of Common Stock, the Holder may rely on the number of issued and outstanding</w:t>
      </w:r>
    </w:p>
    <w:p>
      <w:pPr>
        <w:spacing w:after="0" w:line="202" w:lineRule="auto"/>
        <w:rPr>
          <w:sz w:val="20"/>
          <w:szCs w:val="20"/>
          <w:color w:val="auto"/>
        </w:rPr>
      </w:pPr>
      <w:r>
        <w:rPr>
          <w:rFonts w:ascii="Times New Roman" w:cs="Times New Roman" w:eastAsia="Times New Roman" w:hAnsi="Times New Roman"/>
          <w:sz w:val="20"/>
          <w:szCs w:val="20"/>
          <w:color w:val="auto"/>
        </w:rPr>
        <w:t>shares of Common Stock as reflected in (1) the Company’s most recent Annual Report on Form 10-K, Quarterly Report on Form 10-Q, Current Report on Form 8-K or other public filing with the Commission as the case may be, (2) a more recent public announcement by the</w:t>
      </w:r>
    </w:p>
    <w:p>
      <w:pPr>
        <w:spacing w:after="0" w:line="221" w:lineRule="auto"/>
        <w:rPr>
          <w:sz w:val="20"/>
          <w:szCs w:val="20"/>
          <w:color w:val="auto"/>
        </w:rPr>
      </w:pPr>
      <w:r>
        <w:rPr>
          <w:rFonts w:ascii="Times New Roman" w:cs="Times New Roman" w:eastAsia="Times New Roman" w:hAnsi="Times New Roman"/>
          <w:sz w:val="19"/>
          <w:szCs w:val="19"/>
          <w:color w:val="auto"/>
        </w:rPr>
        <w:t>Company or (3) any other notice by the Company setting forth the number of shares of Common Stock issued and outstanding. For any reason</w:t>
      </w:r>
    </w:p>
    <w:p>
      <w:pPr>
        <w:spacing w:after="0" w:line="213" w:lineRule="auto"/>
        <w:rPr>
          <w:sz w:val="20"/>
          <w:szCs w:val="20"/>
          <w:color w:val="auto"/>
        </w:rPr>
      </w:pPr>
      <w:r>
        <w:rPr>
          <w:rFonts w:ascii="Times New Roman" w:cs="Times New Roman" w:eastAsia="Times New Roman" w:hAnsi="Times New Roman"/>
          <w:sz w:val="19"/>
          <w:szCs w:val="19"/>
          <w:color w:val="auto"/>
        </w:rPr>
        <w:t>at any time, upon the written request of the Holder, the Company shall, within two (2) Business Days, confirm orally and in writing to the Holder the number of shares of Common Stock then outstanding. In any case, the number of issued and outstanding shares of Common Stock</w:t>
      </w:r>
    </w:p>
    <w:p>
      <w:pPr>
        <w:spacing w:after="0" w:line="220" w:lineRule="auto"/>
        <w:rPr>
          <w:sz w:val="20"/>
          <w:szCs w:val="20"/>
          <w:color w:val="auto"/>
        </w:rPr>
      </w:pPr>
      <w:r>
        <w:rPr>
          <w:rFonts w:ascii="Times New Roman" w:cs="Times New Roman" w:eastAsia="Times New Roman" w:hAnsi="Times New Roman"/>
          <w:sz w:val="19"/>
          <w:szCs w:val="19"/>
          <w:color w:val="auto"/>
        </w:rPr>
        <w:t>shall be determined after giving effect to the conversion or exercise of equity securities of the Company by the Holder and its Affiliates since</w:t>
      </w:r>
    </w:p>
    <w:p>
      <w:pPr>
        <w:spacing w:after="0" w:line="213" w:lineRule="auto"/>
        <w:rPr>
          <w:sz w:val="20"/>
          <w:szCs w:val="20"/>
          <w:color w:val="auto"/>
        </w:rPr>
      </w:pPr>
      <w:r>
        <w:rPr>
          <w:rFonts w:ascii="Times New Roman" w:cs="Times New Roman" w:eastAsia="Times New Roman" w:hAnsi="Times New Roman"/>
          <w:sz w:val="19"/>
          <w:szCs w:val="19"/>
          <w:color w:val="auto"/>
        </w:rPr>
        <w:t>the date as of which such number of issued and outstanding shares of Common Stock was reported. By written notice to the Company, the Holder may from time to time increase or decrease the Maximum Percentage applicable to the Holder to any other percentage specified in such</w:t>
      </w:r>
    </w:p>
    <w:p>
      <w:pPr>
        <w:spacing w:after="0" w:line="226" w:lineRule="auto"/>
        <w:rPr>
          <w:sz w:val="20"/>
          <w:szCs w:val="20"/>
          <w:color w:val="auto"/>
        </w:rPr>
      </w:pPr>
      <w:r>
        <w:rPr>
          <w:rFonts w:ascii="Times New Roman" w:cs="Times New Roman" w:eastAsia="Times New Roman" w:hAnsi="Times New Roman"/>
          <w:sz w:val="20"/>
          <w:szCs w:val="20"/>
          <w:color w:val="auto"/>
        </w:rPr>
        <w:t xml:space="preserve">notice or remove the applicability of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any such increase, decrease or removal shall not be effective until the sixty-first (61st) day after such notice is delivered to the Company.</w:t>
      </w:r>
    </w:p>
    <w:p>
      <w:pPr>
        <w:spacing w:after="0" w:line="143" w:lineRule="exact"/>
        <w:rPr>
          <w:sz w:val="20"/>
          <w:szCs w:val="20"/>
          <w:color w:val="auto"/>
        </w:rPr>
      </w:pPr>
    </w:p>
    <w:p>
      <w:pPr>
        <w:ind w:left="640" w:hanging="633"/>
        <w:spacing w:after="0"/>
        <w:tabs>
          <w:tab w:leader="none" w:pos="640" w:val="left"/>
        </w:tabs>
        <w:numPr>
          <w:ilvl w:val="0"/>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Adjustments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6.1</w:t>
      </w:r>
      <w:r>
        <w:rPr>
          <w:sz w:val="20"/>
          <w:szCs w:val="20"/>
          <w:color w:val="auto"/>
        </w:rPr>
        <w:tab/>
      </w:r>
      <w:r>
        <w:rPr>
          <w:rFonts w:ascii="Times New Roman" w:cs="Times New Roman" w:eastAsia="Times New Roman" w:hAnsi="Times New Roman"/>
          <w:sz w:val="19"/>
          <w:szCs w:val="19"/>
          <w:u w:val="single" w:color="auto"/>
          <w:color w:val="auto"/>
        </w:rPr>
        <w:t>Adjustments to Number of Warrant Shares</w:t>
      </w:r>
      <w:r>
        <w:rPr>
          <w:rFonts w:ascii="Times New Roman" w:cs="Times New Roman" w:eastAsia="Times New Roman" w:hAnsi="Times New Roman"/>
          <w:sz w:val="19"/>
          <w:szCs w:val="19"/>
          <w:color w:val="auto"/>
        </w:rPr>
        <w:t>. In the event that the Company (a) pays a dividend in shares of Common Stock or</w:t>
      </w:r>
    </w:p>
    <w:p>
      <w:pPr>
        <w:spacing w:after="0" w:line="213" w:lineRule="auto"/>
        <w:rPr>
          <w:sz w:val="20"/>
          <w:szCs w:val="20"/>
          <w:color w:val="auto"/>
        </w:rPr>
      </w:pPr>
      <w:r>
        <w:rPr>
          <w:rFonts w:ascii="Times New Roman" w:cs="Times New Roman" w:eastAsia="Times New Roman" w:hAnsi="Times New Roman"/>
          <w:sz w:val="19"/>
          <w:szCs w:val="19"/>
          <w:color w:val="auto"/>
        </w:rPr>
        <w:t>makes a distribution in shares of Common Stock or any other equity or equity equivalent security payable in shares of Common Stock to holders of its outstanding Common Stock, (b) subdivides (by any split, recapitalization or otherwise) its outstanding shares of Common Stock</w:t>
      </w:r>
    </w:p>
    <w:p>
      <w:pPr>
        <w:spacing w:after="0" w:line="209" w:lineRule="auto"/>
        <w:rPr>
          <w:sz w:val="20"/>
          <w:szCs w:val="20"/>
          <w:color w:val="auto"/>
        </w:rPr>
      </w:pPr>
      <w:r>
        <w:rPr>
          <w:rFonts w:ascii="Times New Roman" w:cs="Times New Roman" w:eastAsia="Times New Roman" w:hAnsi="Times New Roman"/>
          <w:sz w:val="20"/>
          <w:szCs w:val="20"/>
          <w:color w:val="auto"/>
        </w:rPr>
        <w:t>into a greater number of shares Common Stock, or (c) combines (by any combination, reverse split or otherwise) its outstanding shares of</w:t>
      </w:r>
    </w:p>
    <w:p>
      <w:pPr>
        <w:spacing w:after="0" w:line="213" w:lineRule="auto"/>
        <w:rPr>
          <w:sz w:val="20"/>
          <w:szCs w:val="20"/>
          <w:color w:val="auto"/>
        </w:rPr>
      </w:pPr>
      <w:r>
        <w:rPr>
          <w:rFonts w:ascii="Times New Roman" w:cs="Times New Roman" w:eastAsia="Times New Roman" w:hAnsi="Times New Roman"/>
          <w:sz w:val="19"/>
          <w:szCs w:val="19"/>
          <w:color w:val="auto"/>
        </w:rPr>
        <w:t>Common Stock into a smaller number of shares of Common Stock, then the remaining number of Warrant Shares issuable upon the exercise of this Warrant in full immediately prior to any such dividend, distribution, subdivision, or combination shall be proportionately adjusted such</w:t>
      </w:r>
    </w:p>
    <w:p>
      <w:pPr>
        <w:spacing w:after="0" w:line="220" w:lineRule="auto"/>
        <w:rPr>
          <w:sz w:val="20"/>
          <w:szCs w:val="20"/>
          <w:color w:val="auto"/>
        </w:rPr>
      </w:pPr>
      <w:r>
        <w:rPr>
          <w:rFonts w:ascii="Times New Roman" w:cs="Times New Roman" w:eastAsia="Times New Roman" w:hAnsi="Times New Roman"/>
          <w:sz w:val="19"/>
          <w:szCs w:val="19"/>
          <w:color w:val="auto"/>
        </w:rPr>
        <w:t>that Holder will thereafter receive upon exercise in full of this Warrant the aggregate number of Warrant Shares that Holder would have owned</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immediately following such action if this Warrant had been exercised in full immediately before the record date, if any, for such action. Any adjustment made pursuant to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shall become effective immediately after the effective date of such event retroactive to the record</w:t>
      </w:r>
    </w:p>
    <w:p>
      <w:pPr>
        <w:spacing w:after="0"/>
        <w:rPr>
          <w:sz w:val="20"/>
          <w:szCs w:val="20"/>
          <w:color w:val="auto"/>
        </w:rPr>
      </w:pPr>
      <w:r>
        <w:rPr>
          <w:rFonts w:ascii="Times New Roman" w:cs="Times New Roman" w:eastAsia="Times New Roman" w:hAnsi="Times New Roman"/>
          <w:sz w:val="20"/>
          <w:szCs w:val="20"/>
          <w:color w:val="auto"/>
        </w:rPr>
        <w:t>date, if any, for such event.</w:t>
      </w:r>
    </w:p>
    <w:p>
      <w:pPr>
        <w:spacing w:after="0" w:line="163" w:lineRule="exact"/>
        <w:rPr>
          <w:sz w:val="20"/>
          <w:szCs w:val="20"/>
          <w:color w:val="auto"/>
        </w:rPr>
      </w:pPr>
    </w:p>
    <w:p>
      <w:pPr>
        <w:ind w:firstLine="642"/>
        <w:spacing w:after="0" w:line="225" w:lineRule="auto"/>
        <w:rPr>
          <w:sz w:val="20"/>
          <w:szCs w:val="20"/>
          <w:color w:val="auto"/>
        </w:rPr>
      </w:pPr>
      <w:r>
        <w:rPr>
          <w:rFonts w:ascii="Times New Roman" w:cs="Times New Roman" w:eastAsia="Times New Roman" w:hAnsi="Times New Roman"/>
          <w:sz w:val="19"/>
          <w:szCs w:val="19"/>
          <w:color w:val="010000"/>
        </w:rPr>
        <w:t xml:space="preserve">6.2 </w:t>
      </w:r>
      <w:r>
        <w:rPr>
          <w:rFonts w:ascii="Times New Roman" w:cs="Times New Roman" w:eastAsia="Times New Roman" w:hAnsi="Times New Roman"/>
          <w:sz w:val="19"/>
          <w:szCs w:val="19"/>
          <w:u w:val="single" w:color="auto"/>
          <w:color w:val="000000"/>
        </w:rPr>
        <w:t>Rights Offerings</w:t>
      </w:r>
      <w:r>
        <w:rPr>
          <w:rFonts w:ascii="Times New Roman" w:cs="Times New Roman" w:eastAsia="Times New Roman" w:hAnsi="Times New Roman"/>
          <w:sz w:val="19"/>
          <w:szCs w:val="19"/>
          <w:color w:val="000000"/>
        </w:rPr>
        <w:t>. In addition to any adjustments pursuant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Section 6.1</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above, if at any time the Company grants, issues 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sells any Common Stock equivalents or rights to purchase stock, warrants or securities or other property pro rata to all (or substantially all) of</w:t>
      </w:r>
    </w:p>
    <w:p>
      <w:pPr>
        <w:spacing w:after="0"/>
        <w:rPr>
          <w:sz w:val="20"/>
          <w:szCs w:val="20"/>
          <w:color w:val="auto"/>
        </w:rPr>
      </w:pPr>
      <w:r>
        <w:rPr>
          <w:rFonts w:ascii="Times New Roman" w:cs="Times New Roman" w:eastAsia="Times New Roman" w:hAnsi="Times New Roman"/>
          <w:sz w:val="20"/>
          <w:szCs w:val="20"/>
          <w:color w:val="auto"/>
        </w:rPr>
        <w:t>the record holders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of shares of Common Stock (“</w:t>
      </w:r>
      <w:r>
        <w:rPr>
          <w:rFonts w:ascii="Times New Roman" w:cs="Times New Roman" w:eastAsia="Times New Roman" w:hAnsi="Times New Roman"/>
          <w:sz w:val="20"/>
          <w:szCs w:val="20"/>
          <w:b w:val="1"/>
          <w:bCs w:val="1"/>
          <w:u w:val="single" w:color="auto"/>
          <w:color w:val="auto"/>
        </w:rPr>
        <w:t>Purchase Rights</w:t>
      </w:r>
      <w:r>
        <w:rPr>
          <w:rFonts w:ascii="Times New Roman" w:cs="Times New Roman" w:eastAsia="Times New Roman" w:hAnsi="Times New Roman"/>
          <w:sz w:val="20"/>
          <w:szCs w:val="20"/>
          <w:color w:val="auto"/>
        </w:rPr>
        <w:t>”), then Holder will be entitled to acquire, upon the terms applicable to such Purchase</w:t>
      </w:r>
    </w:p>
    <w:p>
      <w:pPr>
        <w:spacing w:after="0" w:line="213" w:lineRule="auto"/>
        <w:rPr>
          <w:sz w:val="20"/>
          <w:szCs w:val="20"/>
          <w:color w:val="auto"/>
        </w:rPr>
      </w:pPr>
      <w:r>
        <w:rPr>
          <w:rFonts w:ascii="Times New Roman" w:cs="Times New Roman" w:eastAsia="Times New Roman" w:hAnsi="Times New Roman"/>
          <w:sz w:val="19"/>
          <w:szCs w:val="19"/>
          <w:color w:val="auto"/>
        </w:rPr>
        <w:t>Rights, the aggregate Purchase Rights which Holder would have acquired if Holder had held the number of shares of Common Stock acquirable upon complete exercise of this Warrant (without regard to any limitations on exercise hereof) immediately before the date on which</w:t>
      </w:r>
    </w:p>
    <w:p>
      <w:pPr>
        <w:ind w:right="20"/>
        <w:spacing w:after="0" w:line="226" w:lineRule="auto"/>
        <w:rPr>
          <w:sz w:val="20"/>
          <w:szCs w:val="20"/>
          <w:color w:val="auto"/>
        </w:rPr>
      </w:pPr>
      <w:r>
        <w:rPr>
          <w:rFonts w:ascii="Times New Roman" w:cs="Times New Roman" w:eastAsia="Times New Roman" w:hAnsi="Times New Roman"/>
          <w:sz w:val="20"/>
          <w:szCs w:val="20"/>
          <w:color w:val="auto"/>
        </w:rPr>
        <w:t>a record is taken for the grant, issuance or sale of such Purchase Rights, or, if no such record date is taken, the date as of which the record holders of shares of Common Stock are to be determined for the grant, issuance or sale of such Purchase Rights.</w:t>
      </w:r>
    </w:p>
    <w:p>
      <w:pPr>
        <w:spacing w:after="0" w:line="147" w:lineRule="exact"/>
        <w:rPr>
          <w:sz w:val="20"/>
          <w:szCs w:val="20"/>
          <w:color w:val="auto"/>
        </w:rPr>
      </w:pPr>
    </w:p>
    <w:p>
      <w:pPr>
        <w:ind w:firstLine="642"/>
        <w:spacing w:after="0" w:line="220" w:lineRule="auto"/>
        <w:rPr>
          <w:sz w:val="20"/>
          <w:szCs w:val="20"/>
          <w:color w:val="auto"/>
        </w:rPr>
      </w:pPr>
      <w:r>
        <w:rPr>
          <w:rFonts w:ascii="Times New Roman" w:cs="Times New Roman" w:eastAsia="Times New Roman" w:hAnsi="Times New Roman"/>
          <w:sz w:val="20"/>
          <w:szCs w:val="20"/>
          <w:color w:val="010000"/>
        </w:rPr>
        <w:t xml:space="preserve">6.3 </w:t>
      </w:r>
      <w:r>
        <w:rPr>
          <w:rFonts w:ascii="Times New Roman" w:cs="Times New Roman" w:eastAsia="Times New Roman" w:hAnsi="Times New Roman"/>
          <w:sz w:val="20"/>
          <w:szCs w:val="20"/>
          <w:u w:val="single" w:color="auto"/>
          <w:color w:val="000000"/>
        </w:rPr>
        <w:t>Extraordinary Transactions</w:t>
      </w:r>
      <w:r>
        <w:rPr>
          <w:rFonts w:ascii="Times New Roman" w:cs="Times New Roman" w:eastAsia="Times New Roman" w:hAnsi="Times New Roman"/>
          <w:sz w:val="20"/>
          <w:szCs w:val="20"/>
          <w:color w:val="000000"/>
        </w:rPr>
        <w:t>. If the Company effects any Extraordinary Transaction, then upon consummation of such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Extraordinary Transaction, this Warrant shall automatically become exercisable for the kind and amount of securities, cash or other assets</w:t>
      </w:r>
    </w:p>
    <w:p>
      <w:pPr>
        <w:spacing w:after="0" w:line="2"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which Holder would have owned immediately after the consummation of such Extraordinary Transaction if Holder had exercised in full this Warrant immediately before the consummation of such Extraordinary Transaction. If holders of Common Stock are given any choice as to the</w:t>
      </w:r>
    </w:p>
    <w:p>
      <w:pPr>
        <w:spacing w:after="0" w:line="220" w:lineRule="auto"/>
        <w:rPr>
          <w:sz w:val="20"/>
          <w:szCs w:val="20"/>
          <w:color w:val="auto"/>
        </w:rPr>
      </w:pPr>
      <w:r>
        <w:rPr>
          <w:rFonts w:ascii="Times New Roman" w:cs="Times New Roman" w:eastAsia="Times New Roman" w:hAnsi="Times New Roman"/>
          <w:sz w:val="19"/>
          <w:szCs w:val="19"/>
          <w:color w:val="auto"/>
        </w:rPr>
        <w:t>kind or amount of securities, cash or other assets receivable upon the consummation of such Extraordinary Transaction, then Holder shall be</w:t>
      </w:r>
    </w:p>
    <w:p>
      <w:pPr>
        <w:spacing w:after="0" w:line="219" w:lineRule="auto"/>
        <w:rPr>
          <w:sz w:val="20"/>
          <w:szCs w:val="20"/>
          <w:color w:val="auto"/>
        </w:rPr>
      </w:pPr>
      <w:r>
        <w:rPr>
          <w:rFonts w:ascii="Times New Roman" w:cs="Times New Roman" w:eastAsia="Times New Roman" w:hAnsi="Times New Roman"/>
          <w:sz w:val="20"/>
          <w:szCs w:val="20"/>
          <w:color w:val="auto"/>
        </w:rPr>
        <w:t xml:space="preserve">given the same choice as to such consideration it receives upon any exercise of this Warrant following such Extraordinary Transaction. For the avoidance of doubt, if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applies to transaction,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shall not apply.</w:t>
      </w:r>
    </w:p>
    <w:p>
      <w:pPr>
        <w:spacing w:after="0" w:line="15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6.4</w:t>
      </w:r>
      <w:r>
        <w:rPr>
          <w:sz w:val="20"/>
          <w:szCs w:val="20"/>
          <w:color w:val="auto"/>
        </w:rPr>
        <w:tab/>
      </w:r>
      <w:r>
        <w:rPr>
          <w:rFonts w:ascii="Times New Roman" w:cs="Times New Roman" w:eastAsia="Times New Roman" w:hAnsi="Times New Roman"/>
          <w:sz w:val="19"/>
          <w:szCs w:val="19"/>
          <w:u w:val="single" w:color="auto"/>
          <w:color w:val="auto"/>
        </w:rPr>
        <w:t>Adjustments to Exercise Price</w:t>
      </w:r>
      <w:r>
        <w:rPr>
          <w:rFonts w:ascii="Times New Roman" w:cs="Times New Roman" w:eastAsia="Times New Roman" w:hAnsi="Times New Roman"/>
          <w:sz w:val="19"/>
          <w:szCs w:val="19"/>
          <w:color w:val="auto"/>
        </w:rPr>
        <w:t>. Upon any adjustment to the number of Warrant Shares subject to this Warrant pursuant to this</w:t>
      </w:r>
    </w:p>
    <w:p>
      <w:pPr>
        <w:spacing w:after="0" w:line="202" w:lineRule="auto"/>
        <w:rPr>
          <w:sz w:val="20"/>
          <w:szCs w:val="20"/>
          <w:color w:val="auto"/>
        </w:rPr>
      </w:pP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the Exercise Price shall be adjusted concurrently therewith to equal the product of (a) the Exercise Price (as it may have been previously adjusted pursuant to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and (b) a fraction, the numerator of which is the total number of Warrant Shares subject to</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auto"/>
        </w:rPr>
        <w:t xml:space="preserve">issuance upon the exercise of this Warrant in full before giving effect to such adjustment, and the denominator of which is the total number of Warrant Shares subject to issuance upon the exercise of this Warrant as so adjusted pursuant to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13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6.5</w:t>
      </w:r>
      <w:r>
        <w:rPr>
          <w:sz w:val="20"/>
          <w:szCs w:val="20"/>
          <w:color w:val="auto"/>
        </w:rPr>
        <w:tab/>
      </w:r>
      <w:r>
        <w:rPr>
          <w:rFonts w:ascii="Times New Roman" w:cs="Times New Roman" w:eastAsia="Times New Roman" w:hAnsi="Times New Roman"/>
          <w:sz w:val="20"/>
          <w:szCs w:val="20"/>
          <w:u w:val="single" w:color="auto"/>
          <w:color w:val="auto"/>
        </w:rPr>
        <w:t>No Changes in Form of Warrant</w:t>
      </w:r>
      <w:r>
        <w:rPr>
          <w:rFonts w:ascii="Times New Roman" w:cs="Times New Roman" w:eastAsia="Times New Roman" w:hAnsi="Times New Roman"/>
          <w:sz w:val="20"/>
          <w:szCs w:val="20"/>
          <w:color w:val="auto"/>
        </w:rPr>
        <w:t>. This Warrant need not be amended or modified because of any adjustment pursuant to this</w:t>
      </w:r>
    </w:p>
    <w:p>
      <w:pPr>
        <w:spacing w:after="0" w:line="213" w:lineRule="auto"/>
        <w:rPr>
          <w:sz w:val="20"/>
          <w:szCs w:val="20"/>
          <w:color w:val="auto"/>
        </w:rPr>
      </w:pP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and any Warrant issued after the occurrence of an event requiring an adjustment under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may state the same Exercise Price and the same number of Warrant Shares as are stated in this Warrant, subject to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The acceptance by Holder of the issuance of</w:t>
      </w:r>
    </w:p>
    <w:p>
      <w:pPr>
        <w:spacing w:after="0" w:line="226" w:lineRule="auto"/>
        <w:rPr>
          <w:sz w:val="20"/>
          <w:szCs w:val="20"/>
          <w:color w:val="auto"/>
        </w:rPr>
      </w:pPr>
      <w:r>
        <w:rPr>
          <w:rFonts w:ascii="Times New Roman" w:cs="Times New Roman" w:eastAsia="Times New Roman" w:hAnsi="Times New Roman"/>
          <w:sz w:val="20"/>
          <w:szCs w:val="20"/>
          <w:color w:val="auto"/>
        </w:rPr>
        <w:t>any new warrant reflecting a required or permissive change shall not be deemed to waive any rights to an adjustment occurring after the Issuance Date or the computation thereof.</w:t>
      </w:r>
    </w:p>
    <w:p>
      <w:pPr>
        <w:spacing w:after="0" w:line="147" w:lineRule="exact"/>
        <w:rPr>
          <w:sz w:val="20"/>
          <w:szCs w:val="20"/>
          <w:color w:val="auto"/>
        </w:rPr>
      </w:pPr>
    </w:p>
    <w:p>
      <w:pPr>
        <w:ind w:firstLine="642"/>
        <w:spacing w:after="0" w:line="232" w:lineRule="auto"/>
        <w:rPr>
          <w:sz w:val="20"/>
          <w:szCs w:val="20"/>
          <w:color w:val="auto"/>
        </w:rPr>
      </w:pPr>
      <w:r>
        <w:rPr>
          <w:rFonts w:ascii="Times New Roman" w:cs="Times New Roman" w:eastAsia="Times New Roman" w:hAnsi="Times New Roman"/>
          <w:sz w:val="19"/>
          <w:szCs w:val="19"/>
          <w:color w:val="010000"/>
        </w:rPr>
        <w:t xml:space="preserve">6.6 </w:t>
      </w:r>
      <w:r>
        <w:rPr>
          <w:rFonts w:ascii="Times New Roman" w:cs="Times New Roman" w:eastAsia="Times New Roman" w:hAnsi="Times New Roman"/>
          <w:sz w:val="19"/>
          <w:szCs w:val="19"/>
          <w:u w:val="single" w:color="auto"/>
          <w:color w:val="000000"/>
        </w:rPr>
        <w:t>Elimination of Fractional Interests</w:t>
      </w:r>
      <w:r>
        <w:rPr>
          <w:rFonts w:ascii="Times New Roman" w:cs="Times New Roman" w:eastAsia="Times New Roman" w:hAnsi="Times New Roman"/>
          <w:sz w:val="19"/>
          <w:szCs w:val="19"/>
          <w:color w:val="000000"/>
        </w:rPr>
        <w:t>. The Company shall not be required to issue fractional shares of Common Stock upon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exercise of this Warrant, nor shall it be required to issue scrip or pay cash in lieu of any fractional interests, it being the intent of the parties that</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all fractional interests shall be eliminated by rounding any fraction up or down, as the case may be, to the nearest whole number of Warrant Shares or other securities, properties or rights.</w:t>
      </w:r>
    </w:p>
    <w:p>
      <w:pPr>
        <w:spacing w:after="0" w:line="156" w:lineRule="exact"/>
        <w:rPr>
          <w:sz w:val="20"/>
          <w:szCs w:val="20"/>
          <w:color w:val="auto"/>
        </w:rPr>
      </w:pPr>
    </w:p>
    <w:p>
      <w:pPr>
        <w:jc w:val="both"/>
        <w:ind w:firstLine="7"/>
        <w:spacing w:after="0" w:line="213" w:lineRule="auto"/>
        <w:tabs>
          <w:tab w:leader="none" w:pos="642"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Reservation; Listing</w:t>
      </w:r>
      <w:r>
        <w:rPr>
          <w:rFonts w:ascii="Times New Roman" w:cs="Times New Roman" w:eastAsia="Times New Roman" w:hAnsi="Times New Roman"/>
          <w:sz w:val="20"/>
          <w:szCs w:val="20"/>
          <w:color w:val="auto"/>
        </w:rPr>
        <w:t>. The Company shall at all times reserve and keep available out of its authorized shares of Common Stock, solely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the purpose of issuance upon exercise of this Warrant, such number of Warrant Shares as shall be issuable upon the full exercise of this Warrant. The Company covenants and agrees that, upon exercise of this Warrant and payment of the Exercise Price therefor (whether in cash or by the cashless exercise procedure described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in accordance with the terms hereof, all Warrant Shares and other securities issuable upon such exercise shall be duly and validly issued, fully paid and non-assessable. Notwithstanding anything to the contrary herein, no Warrant Shares shall be issued at less than their par value. The Company shall use its best efforts to cause all Warrant Shares to be approved for listing, subject to official notice of issuance, on each securities exchange or automated quotation system on which the Common Stock has been listed.</w:t>
      </w:r>
    </w:p>
    <w:p>
      <w:pPr>
        <w:spacing w:after="0" w:line="145" w:lineRule="exact"/>
        <w:rPr>
          <w:rFonts w:ascii="Times New Roman" w:cs="Times New Roman" w:eastAsia="Times New Roman" w:hAnsi="Times New Roman"/>
          <w:sz w:val="20"/>
          <w:szCs w:val="20"/>
          <w:color w:val="010000"/>
        </w:rPr>
      </w:pPr>
    </w:p>
    <w:p>
      <w:pPr>
        <w:ind w:left="640" w:hanging="633"/>
        <w:spacing w:after="0"/>
        <w:tabs>
          <w:tab w:leader="none" w:pos="640"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Registration Requirements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8.1</w:t>
      </w:r>
      <w:r>
        <w:rPr>
          <w:sz w:val="20"/>
          <w:szCs w:val="20"/>
          <w:color w:val="auto"/>
        </w:rPr>
        <w:tab/>
      </w:r>
      <w:r>
        <w:rPr>
          <w:rFonts w:ascii="Times New Roman" w:cs="Times New Roman" w:eastAsia="Times New Roman" w:hAnsi="Times New Roman"/>
          <w:sz w:val="19"/>
          <w:szCs w:val="19"/>
          <w:color w:val="auto"/>
        </w:rPr>
        <w:t>The Company agrees that, within 90 calendar days following the Issuance Date, the Company shall file with the Commission</w:t>
      </w:r>
    </w:p>
    <w:p>
      <w:pPr>
        <w:spacing w:after="0" w:line="213" w:lineRule="auto"/>
        <w:rPr>
          <w:sz w:val="20"/>
          <w:szCs w:val="20"/>
          <w:color w:val="auto"/>
        </w:rPr>
      </w:pPr>
      <w:r>
        <w:rPr>
          <w:rFonts w:ascii="Times New Roman" w:cs="Times New Roman" w:eastAsia="Times New Roman" w:hAnsi="Times New Roman"/>
          <w:sz w:val="19"/>
          <w:szCs w:val="19"/>
          <w:color w:val="auto"/>
        </w:rPr>
        <w:t>a shelf registration statement (the “</w:t>
      </w:r>
      <w:r>
        <w:rPr>
          <w:rFonts w:ascii="Times New Roman" w:cs="Times New Roman" w:eastAsia="Times New Roman" w:hAnsi="Times New Roman"/>
          <w:sz w:val="19"/>
          <w:szCs w:val="19"/>
          <w:b w:val="1"/>
          <w:bCs w:val="1"/>
          <w:u w:val="single" w:color="auto"/>
          <w:color w:val="auto"/>
        </w:rPr>
        <w:t>Registration Statement</w:t>
      </w:r>
      <w:r>
        <w:rPr>
          <w:rFonts w:ascii="Times New Roman" w:cs="Times New Roman" w:eastAsia="Times New Roman" w:hAnsi="Times New Roman"/>
          <w:sz w:val="19"/>
          <w:szCs w:val="19"/>
          <w:color w:val="auto"/>
        </w:rPr>
        <w:t>”) registering the resale of the Warrant Shares on a delayed and continuous basis, and the Company shall use commercially reasonable efforts to have the Registration Statement declared effective as soon as reasonably</w:t>
      </w:r>
    </w:p>
    <w:p>
      <w:pPr>
        <w:spacing w:after="0"/>
        <w:rPr>
          <w:sz w:val="20"/>
          <w:szCs w:val="20"/>
          <w:color w:val="auto"/>
        </w:rPr>
      </w:pPr>
      <w:r>
        <w:rPr>
          <w:rFonts w:ascii="Times New Roman" w:cs="Times New Roman" w:eastAsia="Times New Roman" w:hAnsi="Times New Roman"/>
          <w:sz w:val="20"/>
          <w:szCs w:val="20"/>
          <w:color w:val="auto"/>
        </w:rPr>
        <w:t>practicable thereafter and maintain the effectiveness of the Registration Statement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earlier of such time as (a) all of the Warrant Shares have been sold thereunder and (b) all of the Warrant Shares are eligible for resale without</w:t>
      </w:r>
    </w:p>
    <w:p>
      <w:pPr>
        <w:spacing w:after="0" w:line="4"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 xml:space="preserve">restriction and without the need for current public information pursuant to Rule 144(b) under the Securities Act;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Company’s obligation to include the resale of the Warrant Shares in the Registration Statement is contingent upon Holder furnishing in writing</w:t>
      </w:r>
    </w:p>
    <w:p>
      <w:pPr>
        <w:spacing w:after="0" w:line="209" w:lineRule="auto"/>
        <w:rPr>
          <w:sz w:val="20"/>
          <w:szCs w:val="20"/>
          <w:color w:val="auto"/>
        </w:rPr>
      </w:pPr>
      <w:r>
        <w:rPr>
          <w:rFonts w:ascii="Times New Roman" w:cs="Times New Roman" w:eastAsia="Times New Roman" w:hAnsi="Times New Roman"/>
          <w:sz w:val="20"/>
          <w:szCs w:val="20"/>
          <w:color w:val="auto"/>
        </w:rPr>
        <w:t>to the Company such information regarding Holder, the securities of the Company held by Holder and the intended method of disposition of</w:t>
      </w:r>
    </w:p>
    <w:p>
      <w:pPr>
        <w:spacing w:after="0" w:line="213" w:lineRule="auto"/>
        <w:rPr>
          <w:sz w:val="20"/>
          <w:szCs w:val="20"/>
          <w:color w:val="auto"/>
        </w:rPr>
      </w:pPr>
      <w:r>
        <w:rPr>
          <w:rFonts w:ascii="Times New Roman" w:cs="Times New Roman" w:eastAsia="Times New Roman" w:hAnsi="Times New Roman"/>
          <w:sz w:val="19"/>
          <w:szCs w:val="19"/>
          <w:color w:val="auto"/>
        </w:rPr>
        <w:t>the Warrant Shares as shall be reasonably requested by the Company to effect the registration of the Warrant Shares, and executing such documents in connection with such registration as the Company may reasonably request that are customary of a selling shareholder in similar</w:t>
      </w:r>
    </w:p>
    <w:p>
      <w:pPr>
        <w:spacing w:after="0" w:line="209" w:lineRule="auto"/>
        <w:rPr>
          <w:sz w:val="20"/>
          <w:szCs w:val="20"/>
          <w:color w:val="auto"/>
        </w:rPr>
      </w:pPr>
      <w:r>
        <w:rPr>
          <w:rFonts w:ascii="Times New Roman" w:cs="Times New Roman" w:eastAsia="Times New Roman" w:hAnsi="Times New Roman"/>
          <w:sz w:val="20"/>
          <w:szCs w:val="20"/>
          <w:color w:val="auto"/>
        </w:rPr>
        <w:t>situations. The Company shall bear all fees and expenses attendant to the registration of the Warrant Shares but Holder shall pay any and all</w:t>
      </w:r>
    </w:p>
    <w:p>
      <w:pPr>
        <w:spacing w:after="0" w:line="219" w:lineRule="auto"/>
        <w:rPr>
          <w:sz w:val="20"/>
          <w:szCs w:val="20"/>
          <w:color w:val="auto"/>
        </w:rPr>
      </w:pPr>
      <w:r>
        <w:rPr>
          <w:rFonts w:ascii="Times New Roman" w:cs="Times New Roman" w:eastAsia="Times New Roman" w:hAnsi="Times New Roman"/>
          <w:sz w:val="20"/>
          <w:szCs w:val="20"/>
          <w:color w:val="auto"/>
        </w:rPr>
        <w:t>underwriting commissions and the expenses of any legal counsel selected by Holder to represent it in connection with the sale of the Warrant Shares.</w:t>
      </w:r>
    </w:p>
    <w:p>
      <w:pPr>
        <w:spacing w:after="0" w:line="15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8.2</w:t>
      </w:r>
      <w:r>
        <w:rPr>
          <w:sz w:val="20"/>
          <w:szCs w:val="20"/>
          <w:color w:val="auto"/>
        </w:rPr>
        <w:tab/>
      </w:r>
      <w:r>
        <w:rPr>
          <w:rFonts w:ascii="Times New Roman" w:cs="Times New Roman" w:eastAsia="Times New Roman" w:hAnsi="Times New Roman"/>
          <w:sz w:val="20"/>
          <w:szCs w:val="20"/>
          <w:color w:val="auto"/>
        </w:rPr>
        <w:t>Notwithstanding anything to the contrary contained herein, the Company may, upon written notice to Holder, (a) delay the</w:t>
      </w:r>
    </w:p>
    <w:p>
      <w:pPr>
        <w:spacing w:after="0" w:line="202" w:lineRule="auto"/>
        <w:rPr>
          <w:sz w:val="20"/>
          <w:szCs w:val="20"/>
          <w:color w:val="auto"/>
        </w:rPr>
      </w:pPr>
      <w:r>
        <w:rPr>
          <w:rFonts w:ascii="Times New Roman" w:cs="Times New Roman" w:eastAsia="Times New Roman" w:hAnsi="Times New Roman"/>
          <w:sz w:val="20"/>
          <w:szCs w:val="20"/>
          <w:color w:val="auto"/>
        </w:rPr>
        <w:t>filing of the Registration Statement, (b) delay requesting effectiveness of such Registration Statement or (c) if such Registration Statement has already become effective, suspend the use of any prospectus which is a part of the Registration Statement if the board of directors of the</w:t>
      </w:r>
    </w:p>
    <w:p>
      <w:pPr>
        <w:spacing w:after="0" w:line="210" w:lineRule="auto"/>
        <w:rPr>
          <w:sz w:val="20"/>
          <w:szCs w:val="20"/>
          <w:color w:val="auto"/>
        </w:rPr>
      </w:pPr>
      <w:r>
        <w:rPr>
          <w:rFonts w:ascii="Times New Roman" w:cs="Times New Roman" w:eastAsia="Times New Roman" w:hAnsi="Times New Roman"/>
          <w:sz w:val="20"/>
          <w:szCs w:val="20"/>
          <w:color w:val="auto"/>
        </w:rPr>
        <w:t>Company (the “</w:t>
      </w:r>
      <w:r>
        <w:rPr>
          <w:rFonts w:ascii="Times New Roman" w:cs="Times New Roman" w:eastAsia="Times New Roman" w:hAnsi="Times New Roman"/>
          <w:sz w:val="20"/>
          <w:szCs w:val="20"/>
          <w:b w:val="1"/>
          <w:bCs w:val="1"/>
          <w:u w:val="single" w:color="auto"/>
          <w:color w:val="auto"/>
        </w:rPr>
        <w:t>Board</w:t>
      </w:r>
      <w:r>
        <w:rPr>
          <w:rFonts w:ascii="Times New Roman" w:cs="Times New Roman" w:eastAsia="Times New Roman" w:hAnsi="Times New Roman"/>
          <w:sz w:val="20"/>
          <w:szCs w:val="20"/>
          <w:color w:val="auto"/>
        </w:rPr>
        <w:t>”) determines in its reasonable good faith judgment that such use or filing would: (i) materially interfere with a</w:t>
      </w:r>
    </w:p>
    <w:p>
      <w:pPr>
        <w:spacing w:after="0" w:line="202" w:lineRule="auto"/>
        <w:rPr>
          <w:sz w:val="20"/>
          <w:szCs w:val="20"/>
          <w:color w:val="auto"/>
        </w:rPr>
      </w:pPr>
      <w:r>
        <w:rPr>
          <w:rFonts w:ascii="Times New Roman" w:cs="Times New Roman" w:eastAsia="Times New Roman" w:hAnsi="Times New Roman"/>
          <w:sz w:val="20"/>
          <w:szCs w:val="20"/>
          <w:color w:val="auto"/>
        </w:rPr>
        <w:t>significant acquisition, corporate organization, financing, securities offering or other similar transaction involving the Company or its subsidiaries; (ii) require premature disclosure of material non-public information regarding the Company and its subsidiaries (“</w:t>
      </w:r>
      <w:r>
        <w:rPr>
          <w:rFonts w:ascii="Times New Roman" w:cs="Times New Roman" w:eastAsia="Times New Roman" w:hAnsi="Times New Roman"/>
          <w:sz w:val="20"/>
          <w:szCs w:val="20"/>
          <w:b w:val="1"/>
          <w:bCs w:val="1"/>
          <w:u w:val="single" w:color="auto"/>
          <w:color w:val="auto"/>
        </w:rPr>
        <w:t>Non-Public</w:t>
      </w:r>
    </w:p>
    <w:p>
      <w:pPr>
        <w:spacing w:after="0" w:line="210" w:lineRule="auto"/>
        <w:rPr>
          <w:sz w:val="20"/>
          <w:szCs w:val="20"/>
          <w:color w:val="auto"/>
        </w:rPr>
      </w:pPr>
      <w:r>
        <w:rPr>
          <w:rFonts w:ascii="Times New Roman" w:cs="Times New Roman" w:eastAsia="Times New Roman" w:hAnsi="Times New Roman"/>
          <w:sz w:val="20"/>
          <w:szCs w:val="20"/>
          <w:b w:val="1"/>
          <w:bCs w:val="1"/>
          <w:u w:val="single" w:color="auto"/>
          <w:color w:val="auto"/>
        </w:rPr>
        <w:t>Information</w:t>
      </w:r>
      <w:r>
        <w:rPr>
          <w:rFonts w:ascii="Times New Roman" w:cs="Times New Roman" w:eastAsia="Times New Roman" w:hAnsi="Times New Roman"/>
          <w:sz w:val="20"/>
          <w:szCs w:val="20"/>
          <w:color w:val="auto"/>
        </w:rPr>
        <w:t>”) that the Company has a bona fide business purpose for preserving as confidential; or (iii) render the Company unable to</w:t>
      </w:r>
    </w:p>
    <w:p>
      <w:pPr>
        <w:spacing w:after="0" w:line="213" w:lineRule="auto"/>
        <w:rPr>
          <w:sz w:val="20"/>
          <w:szCs w:val="20"/>
          <w:color w:val="auto"/>
        </w:rPr>
      </w:pPr>
      <w:r>
        <w:rPr>
          <w:rFonts w:ascii="Times New Roman" w:cs="Times New Roman" w:eastAsia="Times New Roman" w:hAnsi="Times New Roman"/>
          <w:sz w:val="19"/>
          <w:szCs w:val="19"/>
          <w:color w:val="auto"/>
        </w:rPr>
        <w:t>materially comply with requirements under the Securities Act or the Exchange Act (each of items (a) through (c) above, an “</w:t>
      </w:r>
      <w:r>
        <w:rPr>
          <w:rFonts w:ascii="Times New Roman" w:cs="Times New Roman" w:eastAsia="Times New Roman" w:hAnsi="Times New Roman"/>
          <w:sz w:val="19"/>
          <w:szCs w:val="19"/>
          <w:b w:val="1"/>
          <w:bCs w:val="1"/>
          <w:u w:val="single" w:color="auto"/>
          <w:color w:val="auto"/>
        </w:rPr>
        <w:t>Allowed Delay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shall promptly (A) notify Holder in writing of the commencement of an Allowed Delay, and (B) advise Holder in</w:t>
      </w:r>
    </w:p>
    <w:p>
      <w:pPr>
        <w:spacing w:after="0" w:line="213" w:lineRule="auto"/>
        <w:rPr>
          <w:sz w:val="20"/>
          <w:szCs w:val="20"/>
          <w:color w:val="auto"/>
        </w:rPr>
      </w:pPr>
      <w:r>
        <w:rPr>
          <w:rFonts w:ascii="Times New Roman" w:cs="Times New Roman" w:eastAsia="Times New Roman" w:hAnsi="Times New Roman"/>
          <w:sz w:val="19"/>
          <w:szCs w:val="19"/>
          <w:color w:val="auto"/>
        </w:rPr>
        <w:t>writing to cease all sales under the Registration Statement until the end of such Allowed Delay (in which event Holder shall discontinue sales of Warrant Shares pursuant to such Registration Statement but Holder may settle any contracted sales of Warrant Shares), in both cases which</w:t>
      </w:r>
    </w:p>
    <w:p>
      <w:pPr>
        <w:spacing w:after="0" w:line="209" w:lineRule="auto"/>
        <w:rPr>
          <w:sz w:val="20"/>
          <w:szCs w:val="20"/>
          <w:color w:val="auto"/>
        </w:rPr>
      </w:pPr>
      <w:r>
        <w:rPr>
          <w:rFonts w:ascii="Times New Roman" w:cs="Times New Roman" w:eastAsia="Times New Roman" w:hAnsi="Times New Roman"/>
          <w:sz w:val="20"/>
          <w:szCs w:val="20"/>
          <w:color w:val="auto"/>
        </w:rPr>
        <w:t xml:space="preserve">notice shall not contain any material non-public information regarding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 no event shall the Company</w:t>
      </w:r>
    </w:p>
    <w:p>
      <w:pPr>
        <w:jc w:val="both"/>
        <w:spacing w:after="0" w:line="213" w:lineRule="auto"/>
        <w:rPr>
          <w:sz w:val="20"/>
          <w:szCs w:val="20"/>
          <w:color w:val="auto"/>
        </w:rPr>
      </w:pPr>
      <w:r>
        <w:rPr>
          <w:rFonts w:ascii="Times New Roman" w:cs="Times New Roman" w:eastAsia="Times New Roman" w:hAnsi="Times New Roman"/>
          <w:sz w:val="19"/>
          <w:szCs w:val="19"/>
          <w:color w:val="auto"/>
        </w:rPr>
        <w:t xml:space="preserve">delay or suspend under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for a period that, in aggregate, exceeds 90 calendar days during any 180-day period or 120 calendar days during any 365-day period. Upon notice by the Company to Holder of any determination to delay the filing of the Registration Statement,</w:t>
      </w:r>
    </w:p>
    <w:p>
      <w:pPr>
        <w:spacing w:after="0" w:line="220" w:lineRule="auto"/>
        <w:rPr>
          <w:sz w:val="20"/>
          <w:szCs w:val="20"/>
          <w:color w:val="auto"/>
        </w:rPr>
      </w:pPr>
      <w:r>
        <w:rPr>
          <w:rFonts w:ascii="Times New Roman" w:cs="Times New Roman" w:eastAsia="Times New Roman" w:hAnsi="Times New Roman"/>
          <w:sz w:val="19"/>
          <w:szCs w:val="19"/>
          <w:color w:val="auto"/>
        </w:rPr>
        <w:t>delay requesting effectiveness of the Registration Statement or suspend the use of any prospectus which is a part of the Registration Statement,</w:t>
      </w:r>
    </w:p>
    <w:p>
      <w:pPr>
        <w:spacing w:after="0" w:line="202" w:lineRule="auto"/>
        <w:rPr>
          <w:sz w:val="20"/>
          <w:szCs w:val="20"/>
          <w:color w:val="auto"/>
        </w:rPr>
      </w:pPr>
      <w:r>
        <w:rPr>
          <w:rFonts w:ascii="Times New Roman" w:cs="Times New Roman" w:eastAsia="Times New Roman" w:hAnsi="Times New Roman"/>
          <w:sz w:val="20"/>
          <w:szCs w:val="20"/>
          <w:color w:val="auto"/>
        </w:rPr>
        <w:t>Holder shall keep the fact of any such suspension strictly confidential and shall not use or disclose such notice or information to any Person other than Holder’s legal counsel or as required by applicable Law. Upon disclosure of such information or the termination of the condition</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auto"/>
        </w:rPr>
        <w:t xml:space="preserve">described above, the Company shall provide prompt notice to Holder and shall promptly terminate any suspension of sales it has put into effect and shall take such other actions to permit registered sales of Warrant Shares as contemplated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47" w:lineRule="exact"/>
        <w:rPr>
          <w:sz w:val="20"/>
          <w:szCs w:val="20"/>
          <w:color w:val="auto"/>
        </w:rPr>
      </w:pPr>
    </w:p>
    <w:p>
      <w:pPr>
        <w:ind w:firstLine="642"/>
        <w:spacing w:after="0" w:line="232" w:lineRule="auto"/>
        <w:rPr>
          <w:sz w:val="20"/>
          <w:szCs w:val="20"/>
          <w:color w:val="auto"/>
        </w:rPr>
      </w:pPr>
      <w:r>
        <w:rPr>
          <w:rFonts w:ascii="Times New Roman" w:cs="Times New Roman" w:eastAsia="Times New Roman" w:hAnsi="Times New Roman"/>
          <w:sz w:val="19"/>
          <w:szCs w:val="19"/>
          <w:color w:val="010000"/>
        </w:rPr>
        <w:t xml:space="preserve">8.3 </w:t>
      </w:r>
      <w:r>
        <w:rPr>
          <w:rFonts w:ascii="Times New Roman" w:cs="Times New Roman" w:eastAsia="Times New Roman" w:hAnsi="Times New Roman"/>
          <w:sz w:val="19"/>
          <w:szCs w:val="19"/>
          <w:color w:val="000000"/>
        </w:rPr>
        <w:t>The Company shall promptly advise Holder: (A) when a Registration Statement or any amendment thereto has been filed with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Commission and when such Registration Statement or any post-effective amendment thereto has become effective; (B) of any request by</w:t>
      </w:r>
    </w:p>
    <w:p>
      <w:pPr>
        <w:spacing w:after="0" w:line="1" w:lineRule="exact"/>
        <w:rPr>
          <w:sz w:val="20"/>
          <w:szCs w:val="20"/>
          <w:color w:val="auto"/>
        </w:rPr>
      </w:pPr>
    </w:p>
    <w:p>
      <w:pPr>
        <w:spacing w:after="0" w:line="202" w:lineRule="auto"/>
        <w:rPr>
          <w:sz w:val="20"/>
          <w:szCs w:val="20"/>
          <w:color w:val="auto"/>
        </w:rPr>
      </w:pPr>
      <w:r>
        <w:rPr>
          <w:rFonts w:ascii="Times New Roman" w:cs="Times New Roman" w:eastAsia="Times New Roman" w:hAnsi="Times New Roman"/>
          <w:sz w:val="20"/>
          <w:szCs w:val="20"/>
          <w:color w:val="auto"/>
        </w:rPr>
        <w:t>the Commission for amendments or supplements to any Registration Statement or the prospectus included therein or for additional information; (C) of the issuance by the Commission of any stop order suspending the effectiveness of any Registration Statement or the</w:t>
      </w:r>
    </w:p>
    <w:p>
      <w:pPr>
        <w:spacing w:after="0" w:line="210" w:lineRule="auto"/>
        <w:rPr>
          <w:sz w:val="20"/>
          <w:szCs w:val="20"/>
          <w:color w:val="auto"/>
        </w:rPr>
      </w:pPr>
      <w:r>
        <w:rPr>
          <w:rFonts w:ascii="Times New Roman" w:cs="Times New Roman" w:eastAsia="Times New Roman" w:hAnsi="Times New Roman"/>
          <w:sz w:val="20"/>
          <w:szCs w:val="20"/>
          <w:color w:val="auto"/>
        </w:rPr>
        <w:t>initiation of any proceedings for such purpose; (D) of the receipt by the Company of any notification with respect to the suspension of the</w:t>
      </w:r>
    </w:p>
    <w:p>
      <w:pPr>
        <w:spacing w:after="0" w:line="202" w:lineRule="auto"/>
        <w:rPr>
          <w:sz w:val="20"/>
          <w:szCs w:val="20"/>
          <w:color w:val="auto"/>
        </w:rPr>
      </w:pPr>
      <w:r>
        <w:rPr>
          <w:rFonts w:ascii="Times New Roman" w:cs="Times New Roman" w:eastAsia="Times New Roman" w:hAnsi="Times New Roman"/>
          <w:sz w:val="20"/>
          <w:szCs w:val="20"/>
          <w:color w:val="auto"/>
        </w:rPr>
        <w:t>qualification of the Warrant Shares included therein for sale in any jurisdiction or the initiation or threatening of any proceeding for such purpose; and (E) subject to the provisions in this Warrant, of the occurrence of any event that requires the making of any changes in any</w:t>
      </w:r>
    </w:p>
    <w:p>
      <w:pPr>
        <w:spacing w:after="0" w:line="221" w:lineRule="auto"/>
        <w:rPr>
          <w:sz w:val="20"/>
          <w:szCs w:val="20"/>
          <w:color w:val="auto"/>
        </w:rPr>
      </w:pPr>
      <w:r>
        <w:rPr>
          <w:rFonts w:ascii="Times New Roman" w:cs="Times New Roman" w:eastAsia="Times New Roman" w:hAnsi="Times New Roman"/>
          <w:sz w:val="19"/>
          <w:szCs w:val="19"/>
          <w:color w:val="auto"/>
        </w:rPr>
        <w:t>Registration Statement or prospectus so that, as of such date, the statements therein are not misleading and do not omit to state a material fact</w:t>
      </w:r>
    </w:p>
    <w:p>
      <w:pPr>
        <w:spacing w:after="0" w:line="202" w:lineRule="auto"/>
        <w:rPr>
          <w:sz w:val="20"/>
          <w:szCs w:val="20"/>
          <w:color w:val="auto"/>
        </w:rPr>
      </w:pPr>
      <w:r>
        <w:rPr>
          <w:rFonts w:ascii="Times New Roman" w:cs="Times New Roman" w:eastAsia="Times New Roman" w:hAnsi="Times New Roman"/>
          <w:sz w:val="20"/>
          <w:szCs w:val="20"/>
          <w:color w:val="auto"/>
        </w:rPr>
        <w:t>required to be stated therein or necessary to make the statements therein (in the case of a prospectus, in the light of the circumstances under which they were made) not misleading. Notwithstanding anything to the contrary set forth herein, the Company shall not, when so advising</w:t>
      </w:r>
    </w:p>
    <w:p>
      <w:pPr>
        <w:spacing w:after="0" w:line="210" w:lineRule="auto"/>
        <w:rPr>
          <w:sz w:val="20"/>
          <w:szCs w:val="20"/>
          <w:color w:val="auto"/>
        </w:rPr>
      </w:pPr>
      <w:r>
        <w:rPr>
          <w:rFonts w:ascii="Times New Roman" w:cs="Times New Roman" w:eastAsia="Times New Roman" w:hAnsi="Times New Roman"/>
          <w:sz w:val="20"/>
          <w:szCs w:val="20"/>
          <w:color w:val="auto"/>
        </w:rPr>
        <w:t>Holder of such events, provide Holder with any Non-Public Information other than to the extent that providing notice to Holder of the</w:t>
      </w:r>
    </w:p>
    <w:p>
      <w:pPr>
        <w:spacing w:after="0" w:line="213" w:lineRule="auto"/>
        <w:rPr>
          <w:sz w:val="20"/>
          <w:szCs w:val="20"/>
          <w:color w:val="auto"/>
        </w:rPr>
      </w:pPr>
      <w:r>
        <w:rPr>
          <w:rFonts w:ascii="Times New Roman" w:cs="Times New Roman" w:eastAsia="Times New Roman" w:hAnsi="Times New Roman"/>
          <w:sz w:val="19"/>
          <w:szCs w:val="19"/>
          <w:color w:val="auto"/>
        </w:rPr>
        <w:t>occurrence of the events listed in clauses (A) through (E) above constitutes Non-Public Information or subjects the Holder to any duty of confidentiality. The Company shall use its commercially reasonable efforts to obtain the withdrawal of any order suspending the effectiveness</w:t>
      </w:r>
    </w:p>
    <w:p>
      <w:pPr>
        <w:spacing w:after="0"/>
        <w:rPr>
          <w:sz w:val="20"/>
          <w:szCs w:val="20"/>
          <w:color w:val="auto"/>
        </w:rPr>
      </w:pPr>
      <w:r>
        <w:rPr>
          <w:rFonts w:ascii="Times New Roman" w:cs="Times New Roman" w:eastAsia="Times New Roman" w:hAnsi="Times New Roman"/>
          <w:sz w:val="20"/>
          <w:szCs w:val="20"/>
          <w:color w:val="auto"/>
        </w:rPr>
        <w:t>of any Registration Statement if such order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issued. Except for such times as the Company is permitted under this Warrant to suspend, and has suspended, the use of a prospectus</w:t>
      </w:r>
    </w:p>
    <w:p>
      <w:pPr>
        <w:spacing w:after="0" w:line="202" w:lineRule="auto"/>
        <w:rPr>
          <w:sz w:val="20"/>
          <w:szCs w:val="20"/>
          <w:color w:val="auto"/>
        </w:rPr>
      </w:pPr>
      <w:r>
        <w:rPr>
          <w:rFonts w:ascii="Times New Roman" w:cs="Times New Roman" w:eastAsia="Times New Roman" w:hAnsi="Times New Roman"/>
          <w:sz w:val="20"/>
          <w:szCs w:val="20"/>
          <w:color w:val="auto"/>
        </w:rPr>
        <w:t>forming part of a Registration Statement as contemplated by this Warrant, the Company shall use its commercially reasonable efforts to as soon as reasonably practicable and as applicable prepare a post-effective amendment to such Registration Statement or a supplement to the</w:t>
      </w:r>
    </w:p>
    <w:p>
      <w:pPr>
        <w:spacing w:after="0" w:line="210" w:lineRule="auto"/>
        <w:rPr>
          <w:sz w:val="20"/>
          <w:szCs w:val="20"/>
          <w:color w:val="auto"/>
        </w:rPr>
      </w:pPr>
      <w:r>
        <w:rPr>
          <w:rFonts w:ascii="Times New Roman" w:cs="Times New Roman" w:eastAsia="Times New Roman" w:hAnsi="Times New Roman"/>
          <w:sz w:val="20"/>
          <w:szCs w:val="20"/>
          <w:color w:val="auto"/>
        </w:rPr>
        <w:t>related prospectus, or file any other required document so that, as thereafter delivered to purchasers of the Warrant Shares included therein,</w:t>
      </w:r>
    </w:p>
    <w:p>
      <w:pPr>
        <w:spacing w:after="0" w:line="219" w:lineRule="auto"/>
        <w:rPr>
          <w:sz w:val="20"/>
          <w:szCs w:val="20"/>
          <w:color w:val="auto"/>
        </w:rPr>
      </w:pPr>
      <w:r>
        <w:rPr>
          <w:rFonts w:ascii="Times New Roman" w:cs="Times New Roman" w:eastAsia="Times New Roman" w:hAnsi="Times New Roman"/>
          <w:sz w:val="20"/>
          <w:szCs w:val="20"/>
          <w:color w:val="auto"/>
        </w:rPr>
        <w:t>such prospectus will not include any untrue statement of a material fact or omit to state any material fact necessary to make the statements therein, in the light of the circumstances under which they were made, not misleading.</w:t>
      </w:r>
    </w:p>
    <w:p>
      <w:pPr>
        <w:spacing w:after="0" w:line="15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8.4</w:t>
      </w:r>
      <w:r>
        <w:rPr>
          <w:sz w:val="20"/>
          <w:szCs w:val="20"/>
          <w:color w:val="auto"/>
        </w:rPr>
        <w:tab/>
      </w:r>
      <w:r>
        <w:rPr>
          <w:rFonts w:ascii="Times New Roman" w:cs="Times New Roman" w:eastAsia="Times New Roman" w:hAnsi="Times New Roman"/>
          <w:sz w:val="20"/>
          <w:szCs w:val="20"/>
          <w:color w:val="auto"/>
        </w:rPr>
        <w:t>The Company agrees to indemnify and hold harmless, to the extent permitted by Law, Holder, its directors, and officers,</w:t>
      </w:r>
    </w:p>
    <w:p>
      <w:pPr>
        <w:jc w:val="both"/>
        <w:spacing w:after="0" w:line="213" w:lineRule="auto"/>
        <w:rPr>
          <w:sz w:val="20"/>
          <w:szCs w:val="20"/>
          <w:color w:val="auto"/>
        </w:rPr>
      </w:pPr>
      <w:r>
        <w:rPr>
          <w:rFonts w:ascii="Times New Roman" w:cs="Times New Roman" w:eastAsia="Times New Roman" w:hAnsi="Times New Roman"/>
          <w:sz w:val="19"/>
          <w:szCs w:val="19"/>
          <w:color w:val="auto"/>
        </w:rPr>
        <w:t>employees, and agents, and each Person who controls Holder (within the meaning of the Securities Act or the Exchange Act) and each Affiliate of Holder (within the meaning of Rule 405 under the Securities Act), to the extent Holder is a seller under the Registration Statement,</w:t>
      </w:r>
    </w:p>
    <w:p>
      <w:pPr>
        <w:spacing w:after="0" w:line="220" w:lineRule="auto"/>
        <w:rPr>
          <w:sz w:val="20"/>
          <w:szCs w:val="20"/>
          <w:color w:val="auto"/>
        </w:rPr>
      </w:pPr>
      <w:r>
        <w:rPr>
          <w:rFonts w:ascii="Times New Roman" w:cs="Times New Roman" w:eastAsia="Times New Roman" w:hAnsi="Times New Roman"/>
          <w:sz w:val="19"/>
          <w:szCs w:val="19"/>
          <w:color w:val="auto"/>
        </w:rPr>
        <w:t>from and against any and all losses, claims, damages, liabilities and expenses (including, without limitation, any reasonable attorneys’ fees and</w:t>
      </w:r>
    </w:p>
    <w:p>
      <w:pPr>
        <w:spacing w:after="0" w:line="213" w:lineRule="auto"/>
        <w:rPr>
          <w:sz w:val="20"/>
          <w:szCs w:val="20"/>
          <w:color w:val="auto"/>
        </w:rPr>
      </w:pPr>
      <w:r>
        <w:rPr>
          <w:rFonts w:ascii="Times New Roman" w:cs="Times New Roman" w:eastAsia="Times New Roman" w:hAnsi="Times New Roman"/>
          <w:sz w:val="19"/>
          <w:szCs w:val="19"/>
          <w:color w:val="auto"/>
        </w:rPr>
        <w:t>expenses incurred in connection with defending or investigating any such action or claim) caused by any untrue or alleged untrue statement of material fact contained in any Registration Statement, prospectus included in any Registration Statement or preliminary prospectus or any</w:t>
      </w:r>
    </w:p>
    <w:p>
      <w:pPr>
        <w:spacing w:after="0" w:line="209" w:lineRule="auto"/>
        <w:rPr>
          <w:sz w:val="20"/>
          <w:szCs w:val="20"/>
          <w:color w:val="auto"/>
        </w:rPr>
      </w:pPr>
      <w:r>
        <w:rPr>
          <w:rFonts w:ascii="Times New Roman" w:cs="Times New Roman" w:eastAsia="Times New Roman" w:hAnsi="Times New Roman"/>
          <w:sz w:val="20"/>
          <w:szCs w:val="20"/>
          <w:color w:val="auto"/>
        </w:rPr>
        <w:t>amendment thereof or supplement thereto or any omission or alleged omission of a material fact required to be stated therein or necessary to</w:t>
      </w:r>
    </w:p>
    <w:p>
      <w:pPr>
        <w:spacing w:after="0" w:line="213" w:lineRule="auto"/>
        <w:rPr>
          <w:sz w:val="20"/>
          <w:szCs w:val="20"/>
          <w:color w:val="auto"/>
        </w:rPr>
      </w:pPr>
      <w:r>
        <w:rPr>
          <w:rFonts w:ascii="Times New Roman" w:cs="Times New Roman" w:eastAsia="Times New Roman" w:hAnsi="Times New Roman"/>
          <w:sz w:val="19"/>
          <w:szCs w:val="19"/>
          <w:color w:val="auto"/>
        </w:rPr>
        <w:t>make the statements therein (in the case of a prospectus, in light of the circumstances in which they were made) not misleading, except insofar as the same are caused by or contained in any information furnished in writing to the Company by or on behalf of Holder expressly for use</w:t>
      </w:r>
    </w:p>
    <w:p>
      <w:pPr>
        <w:spacing w:after="0" w:line="220" w:lineRule="auto"/>
        <w:rPr>
          <w:sz w:val="20"/>
          <w:szCs w:val="20"/>
          <w:color w:val="auto"/>
        </w:rPr>
      </w:pPr>
      <w:r>
        <w:rPr>
          <w:rFonts w:ascii="Times New Roman" w:cs="Times New Roman" w:eastAsia="Times New Roman" w:hAnsi="Times New Roman"/>
          <w:sz w:val="19"/>
          <w:szCs w:val="19"/>
          <w:color w:val="auto"/>
        </w:rPr>
        <w:t>therein. Holder agrees, in connection with any Registration Statement under which Holder is a seller, severally and not jointly with any other</w:t>
      </w:r>
    </w:p>
    <w:p>
      <w:pPr>
        <w:jc w:val="both"/>
        <w:spacing w:after="0" w:line="202" w:lineRule="auto"/>
        <w:rPr>
          <w:sz w:val="20"/>
          <w:szCs w:val="20"/>
          <w:color w:val="auto"/>
        </w:rPr>
      </w:pPr>
      <w:r>
        <w:rPr>
          <w:rFonts w:ascii="Times New Roman" w:cs="Times New Roman" w:eastAsia="Times New Roman" w:hAnsi="Times New Roman"/>
          <w:sz w:val="20"/>
          <w:szCs w:val="20"/>
          <w:color w:val="auto"/>
        </w:rPr>
        <w:t>Holder, to indemnify and hold harmless the Company, its Affiliates and its and its Affiliates’ directors, officers, employees and agents, and each Person who controls the Company (within the meaning of the Securities Act or the Exchange Act) against any losses, claims, damages,</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liabilities and expenses (including, without limitation, reasonable attorneys’ fees and expenses incurred in connection with defending or investigating any such action or claim) resulting from any untrue statement of material fact contained in the Registration Statement, prospectus</w:t>
      </w:r>
    </w:p>
    <w:p>
      <w:pPr>
        <w:spacing w:after="0" w:line="220" w:lineRule="auto"/>
        <w:rPr>
          <w:sz w:val="20"/>
          <w:szCs w:val="20"/>
          <w:color w:val="auto"/>
        </w:rPr>
      </w:pPr>
      <w:r>
        <w:rPr>
          <w:rFonts w:ascii="Times New Roman" w:cs="Times New Roman" w:eastAsia="Times New Roman" w:hAnsi="Times New Roman"/>
          <w:sz w:val="19"/>
          <w:szCs w:val="19"/>
          <w:color w:val="auto"/>
        </w:rPr>
        <w:t>or preliminary prospectus or any amendment thereof or supplement thereto or any omission or alleged omission of a material fact required to</w:t>
      </w:r>
    </w:p>
    <w:p>
      <w:pPr>
        <w:jc w:val="both"/>
        <w:spacing w:after="0" w:line="213" w:lineRule="auto"/>
        <w:rPr>
          <w:sz w:val="20"/>
          <w:szCs w:val="20"/>
          <w:color w:val="auto"/>
        </w:rPr>
      </w:pPr>
      <w:r>
        <w:rPr>
          <w:rFonts w:ascii="Times New Roman" w:cs="Times New Roman" w:eastAsia="Times New Roman" w:hAnsi="Times New Roman"/>
          <w:sz w:val="19"/>
          <w:szCs w:val="19"/>
          <w:color w:val="auto"/>
        </w:rPr>
        <w:t>be stated therein or necessary to make the statements therein (in the case of a prospectus, in the light of the circumstances in which they were made) not misleading, but only to the extent that such untrue statement or omission is contained (or not contained, in the case of an omission)</w:t>
      </w:r>
    </w:p>
    <w:p>
      <w:pPr>
        <w:spacing w:after="0" w:line="209" w:lineRule="auto"/>
        <w:rPr>
          <w:sz w:val="20"/>
          <w:szCs w:val="20"/>
          <w:color w:val="auto"/>
        </w:rPr>
      </w:pPr>
      <w:r>
        <w:rPr>
          <w:rFonts w:ascii="Times New Roman" w:cs="Times New Roman" w:eastAsia="Times New Roman" w:hAnsi="Times New Roman"/>
          <w:sz w:val="20"/>
          <w:szCs w:val="20"/>
          <w:color w:val="auto"/>
        </w:rPr>
        <w:t>in any information or affidavit so furnished by or on behalf of Holder expressly for use therein. In no event shall the liability of Holder be</w:t>
      </w:r>
    </w:p>
    <w:p>
      <w:pPr>
        <w:spacing w:after="0" w:line="213" w:lineRule="auto"/>
        <w:rPr>
          <w:sz w:val="20"/>
          <w:szCs w:val="20"/>
          <w:color w:val="auto"/>
        </w:rPr>
      </w:pPr>
      <w:r>
        <w:rPr>
          <w:rFonts w:ascii="Times New Roman" w:cs="Times New Roman" w:eastAsia="Times New Roman" w:hAnsi="Times New Roman"/>
          <w:sz w:val="19"/>
          <w:szCs w:val="19"/>
          <w:color w:val="auto"/>
        </w:rPr>
        <w:t>greater in amount than the dollar amount of the net proceeds received by Holder upon the sale of the Warrant Shares giving rise to such indemnification obligation. Any Person entitled to indemnification herein shall (i) give prompt written notice to the indemnifying party of any</w:t>
      </w:r>
    </w:p>
    <w:p>
      <w:pPr>
        <w:spacing w:after="0" w:line="209" w:lineRule="auto"/>
        <w:rPr>
          <w:sz w:val="20"/>
          <w:szCs w:val="20"/>
          <w:color w:val="auto"/>
        </w:rPr>
      </w:pPr>
      <w:r>
        <w:rPr>
          <w:rFonts w:ascii="Times New Roman" w:cs="Times New Roman" w:eastAsia="Times New Roman" w:hAnsi="Times New Roman"/>
          <w:sz w:val="20"/>
          <w:szCs w:val="20"/>
          <w:color w:val="auto"/>
        </w:rPr>
        <w:t>claim with respect to which it seeks indemnification (provided that the failure to give prompt notice shall not impair any Person’s right to</w:t>
      </w:r>
    </w:p>
    <w:p>
      <w:pPr>
        <w:spacing w:after="0" w:line="213" w:lineRule="auto"/>
        <w:rPr>
          <w:sz w:val="20"/>
          <w:szCs w:val="20"/>
          <w:color w:val="auto"/>
        </w:rPr>
      </w:pPr>
      <w:r>
        <w:rPr>
          <w:rFonts w:ascii="Times New Roman" w:cs="Times New Roman" w:eastAsia="Times New Roman" w:hAnsi="Times New Roman"/>
          <w:sz w:val="19"/>
          <w:szCs w:val="19"/>
          <w:color w:val="auto"/>
        </w:rPr>
        <w:t>indemnification hereunder to the extent such failure has not prejudiced the indemnifying party) and (ii) permit such indemnifying party to assume the defense of such claim with counsel reasonably satisfactory to the indemnified party. If such defense is assumed, the indemnifying</w:t>
      </w:r>
    </w:p>
    <w:p>
      <w:pPr>
        <w:spacing w:after="0" w:line="209" w:lineRule="auto"/>
        <w:rPr>
          <w:sz w:val="20"/>
          <w:szCs w:val="20"/>
          <w:color w:val="auto"/>
        </w:rPr>
      </w:pPr>
      <w:r>
        <w:rPr>
          <w:rFonts w:ascii="Times New Roman" w:cs="Times New Roman" w:eastAsia="Times New Roman" w:hAnsi="Times New Roman"/>
          <w:sz w:val="20"/>
          <w:szCs w:val="20"/>
          <w:color w:val="auto"/>
        </w:rPr>
        <w:t>party shall not be subject to any liability for any settlement made by the indemnified party without its consent. An indemnifying party who</w:t>
      </w:r>
    </w:p>
    <w:p>
      <w:pPr>
        <w:spacing w:after="0" w:line="202" w:lineRule="auto"/>
        <w:rPr>
          <w:sz w:val="20"/>
          <w:szCs w:val="20"/>
          <w:color w:val="auto"/>
        </w:rPr>
      </w:pPr>
      <w:r>
        <w:rPr>
          <w:rFonts w:ascii="Times New Roman" w:cs="Times New Roman" w:eastAsia="Times New Roman" w:hAnsi="Times New Roman"/>
          <w:sz w:val="20"/>
          <w:szCs w:val="20"/>
          <w:color w:val="auto"/>
        </w:rPr>
        <w:t>elects not to assume the defense of a claim shall not be obligated to pay the fees and expenses of more than one counsel for all parties indemnified by such indemnifying party with respect to such claim, unless in the reasonable judgment of legal counsel to any indemnified</w:t>
      </w:r>
    </w:p>
    <w:p>
      <w:pPr>
        <w:spacing w:after="0" w:line="210" w:lineRule="auto"/>
        <w:rPr>
          <w:sz w:val="20"/>
          <w:szCs w:val="20"/>
          <w:color w:val="auto"/>
        </w:rPr>
      </w:pPr>
      <w:r>
        <w:rPr>
          <w:rFonts w:ascii="Times New Roman" w:cs="Times New Roman" w:eastAsia="Times New Roman" w:hAnsi="Times New Roman"/>
          <w:sz w:val="20"/>
          <w:szCs w:val="20"/>
          <w:color w:val="auto"/>
        </w:rPr>
        <w:t>party a conflict of interest exists between such indemnified party and any other of such indemnified parties with respect to such claim. No</w:t>
      </w:r>
    </w:p>
    <w:p>
      <w:pPr>
        <w:spacing w:after="0" w:line="213" w:lineRule="auto"/>
        <w:rPr>
          <w:sz w:val="20"/>
          <w:szCs w:val="20"/>
          <w:color w:val="auto"/>
        </w:rPr>
      </w:pPr>
      <w:r>
        <w:rPr>
          <w:rFonts w:ascii="Times New Roman" w:cs="Times New Roman" w:eastAsia="Times New Roman" w:hAnsi="Times New Roman"/>
          <w:sz w:val="19"/>
          <w:szCs w:val="19"/>
          <w:color w:val="auto"/>
        </w:rPr>
        <w:t>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w:t>
      </w:r>
    </w:p>
    <w:p>
      <w:pPr>
        <w:spacing w:after="0" w:line="209" w:lineRule="auto"/>
        <w:rPr>
          <w:sz w:val="20"/>
          <w:szCs w:val="20"/>
          <w:color w:val="auto"/>
        </w:rPr>
      </w:pPr>
      <w:r>
        <w:rPr>
          <w:rFonts w:ascii="Times New Roman" w:cs="Times New Roman" w:eastAsia="Times New Roman" w:hAnsi="Times New Roman"/>
          <w:sz w:val="20"/>
          <w:szCs w:val="20"/>
          <w:color w:val="auto"/>
        </w:rPr>
        <w:t>settlement) or which settlement does not include as an unconditional term thereof the giving by the claimant or plaintiff to such indemnified</w:t>
      </w:r>
    </w:p>
    <w:p>
      <w:pPr>
        <w:jc w:val="both"/>
        <w:spacing w:after="0" w:line="202" w:lineRule="auto"/>
        <w:rPr>
          <w:sz w:val="20"/>
          <w:szCs w:val="20"/>
          <w:color w:val="auto"/>
        </w:rPr>
      </w:pPr>
      <w:r>
        <w:rPr>
          <w:rFonts w:ascii="Times New Roman" w:cs="Times New Roman" w:eastAsia="Times New Roman" w:hAnsi="Times New Roman"/>
          <w:sz w:val="20"/>
          <w:szCs w:val="20"/>
          <w:color w:val="auto"/>
        </w:rPr>
        <w:t>party of a release from all liability in respect to such claim or litigation. The indemnification provided for under this Warrant shall remain in full force and effect regardless of any investigation made by or on behalf of the indemnified party or any officer, director, employee, agent,</w:t>
      </w:r>
    </w:p>
    <w:p>
      <w:pPr>
        <w:spacing w:after="0" w:line="221" w:lineRule="auto"/>
        <w:rPr>
          <w:sz w:val="20"/>
          <w:szCs w:val="20"/>
          <w:color w:val="auto"/>
        </w:rPr>
      </w:pPr>
      <w:r>
        <w:rPr>
          <w:rFonts w:ascii="Times New Roman" w:cs="Times New Roman" w:eastAsia="Times New Roman" w:hAnsi="Times New Roman"/>
          <w:sz w:val="19"/>
          <w:szCs w:val="19"/>
          <w:color w:val="auto"/>
        </w:rPr>
        <w:t>Affiliate or controlling Person of such indemnified party and shall survive the transfer of the Warrant or Warrant Shares. If the indemnification</w:t>
      </w:r>
    </w:p>
    <w:p>
      <w:pPr>
        <w:jc w:val="both"/>
        <w:spacing w:after="0" w:line="213" w:lineRule="auto"/>
        <w:rPr>
          <w:sz w:val="20"/>
          <w:szCs w:val="20"/>
          <w:color w:val="auto"/>
        </w:rPr>
      </w:pPr>
      <w:r>
        <w:rPr>
          <w:rFonts w:ascii="Times New Roman" w:cs="Times New Roman" w:eastAsia="Times New Roman" w:hAnsi="Times New Roman"/>
          <w:sz w:val="19"/>
          <w:szCs w:val="19"/>
          <w:color w:val="auto"/>
        </w:rPr>
        <w:t xml:space="preserve">provided under this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w:t>
      </w:r>
    </w:p>
    <w:p>
      <w:pPr>
        <w:spacing w:after="0"/>
        <w:rPr>
          <w:sz w:val="20"/>
          <w:szCs w:val="20"/>
          <w:color w:val="auto"/>
        </w:rPr>
      </w:pPr>
      <w:r>
        <w:rPr>
          <w:rFonts w:ascii="Times New Roman" w:cs="Times New Roman" w:eastAsia="Times New Roman" w:hAnsi="Times New Roman"/>
          <w:sz w:val="20"/>
          <w:szCs w:val="20"/>
          <w:color w:val="auto"/>
        </w:rPr>
        <w:t>shall contribute to the amount paid or payable by the indemnified party as a result of such losses, claims, damages, liabilities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expenses in such proportion as is appropriate to reflect the relative fault of the indemnifying party and the indemnified party, as well as any</w:t>
      </w:r>
    </w:p>
    <w:p>
      <w:pPr>
        <w:spacing w:after="0" w:line="213" w:lineRule="auto"/>
        <w:rPr>
          <w:sz w:val="20"/>
          <w:szCs w:val="20"/>
          <w:color w:val="auto"/>
        </w:rPr>
      </w:pPr>
      <w:r>
        <w:rPr>
          <w:rFonts w:ascii="Times New Roman" w:cs="Times New Roman" w:eastAsia="Times New Roman" w:hAnsi="Times New Roman"/>
          <w:sz w:val="19"/>
          <w:szCs w:val="19"/>
          <w:color w:val="auto"/>
        </w:rPr>
        <w:t>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w:t>
      </w:r>
    </w:p>
    <w:p>
      <w:pPr>
        <w:spacing w:after="0" w:line="220" w:lineRule="auto"/>
        <w:rPr>
          <w:sz w:val="20"/>
          <w:szCs w:val="20"/>
          <w:color w:val="auto"/>
        </w:rPr>
      </w:pPr>
      <w:r>
        <w:rPr>
          <w:rFonts w:ascii="Times New Roman" w:cs="Times New Roman" w:eastAsia="Times New Roman" w:hAnsi="Times New Roman"/>
          <w:sz w:val="19"/>
          <w:szCs w:val="19"/>
          <w:color w:val="auto"/>
        </w:rPr>
        <w:t>omission to state a material fact, was made (or not made, in the case of an omission) by, or relates to information supplied (or not supplied, in</w:t>
      </w:r>
    </w:p>
    <w:p>
      <w:pPr>
        <w:spacing w:after="0" w:line="202" w:lineRule="auto"/>
        <w:rPr>
          <w:sz w:val="20"/>
          <w:szCs w:val="20"/>
          <w:color w:val="auto"/>
        </w:rPr>
      </w:pPr>
      <w:r>
        <w:rPr>
          <w:rFonts w:ascii="Times New Roman" w:cs="Times New Roman" w:eastAsia="Times New Roman" w:hAnsi="Times New Roman"/>
          <w:sz w:val="20"/>
          <w:szCs w:val="20"/>
          <w:color w:val="auto"/>
        </w:rPr>
        <w:t>the case of an omission) by or on behalf of, such indemnifying party or indemnified party, and the indemnifying party’s and indemnified party’s relative intent, knowledge, access to information and opportunity to correct or prevent such action. The amount paid or payable by a</w:t>
      </w:r>
    </w:p>
    <w:p>
      <w:pPr>
        <w:spacing w:after="0" w:line="210" w:lineRule="auto"/>
        <w:rPr>
          <w:sz w:val="20"/>
          <w:szCs w:val="20"/>
          <w:color w:val="auto"/>
        </w:rPr>
      </w:pPr>
      <w:r>
        <w:rPr>
          <w:rFonts w:ascii="Times New Roman" w:cs="Times New Roman" w:eastAsia="Times New Roman" w:hAnsi="Times New Roman"/>
          <w:sz w:val="20"/>
          <w:szCs w:val="20"/>
          <w:color w:val="auto"/>
        </w:rPr>
        <w:t>party as a result of the losses or other liabilities referred to above shall be deemed to include, subject to the other limitations set forth in this</w:t>
      </w:r>
    </w:p>
    <w:p>
      <w:pPr>
        <w:spacing w:after="0" w:line="202" w:lineRule="auto"/>
        <w:rPr>
          <w:sz w:val="20"/>
          <w:szCs w:val="20"/>
          <w:color w:val="auto"/>
        </w:rPr>
      </w:pP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any legal or other fees, charges or expenses reasonably incurred by such party in connection with any investigation or proceeding. No Person guilty of fraudulent misrepresentation (within the meaning of Section 11(f) of the Securities Act) shall be entitled to contribution</w:t>
      </w:r>
    </w:p>
    <w:p>
      <w:pPr>
        <w:spacing w:after="0" w:line="221" w:lineRule="auto"/>
        <w:rPr>
          <w:sz w:val="20"/>
          <w:szCs w:val="20"/>
          <w:color w:val="auto"/>
        </w:rPr>
      </w:pPr>
      <w:r>
        <w:rPr>
          <w:rFonts w:ascii="Times New Roman" w:cs="Times New Roman" w:eastAsia="Times New Roman" w:hAnsi="Times New Roman"/>
          <w:sz w:val="19"/>
          <w:szCs w:val="19"/>
          <w:color w:val="auto"/>
        </w:rPr>
        <w:t xml:space="preserve">pursuant to this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from any Person who was not guilty of such fraudulent misrepresentation. Any contribution pursuant to this </w:t>
      </w:r>
      <w:r>
        <w:rPr>
          <w:rFonts w:ascii="Times New Roman" w:cs="Times New Roman" w:eastAsia="Times New Roman" w:hAnsi="Times New Roman"/>
          <w:sz w:val="19"/>
          <w:szCs w:val="19"/>
          <w:u w:val="single" w:color="auto"/>
          <w:color w:val="auto"/>
        </w:rPr>
        <w:t>Article 8</w:t>
      </w:r>
    </w:p>
    <w:p>
      <w:pPr>
        <w:spacing w:after="0" w:line="213" w:lineRule="auto"/>
        <w:rPr>
          <w:sz w:val="20"/>
          <w:szCs w:val="20"/>
          <w:color w:val="auto"/>
        </w:rPr>
      </w:pPr>
      <w:r>
        <w:rPr>
          <w:rFonts w:ascii="Times New Roman" w:cs="Times New Roman" w:eastAsia="Times New Roman" w:hAnsi="Times New Roman"/>
          <w:sz w:val="19"/>
          <w:szCs w:val="19"/>
          <w:color w:val="auto"/>
        </w:rPr>
        <w:t>by any seller of Warrant Shares shall be limited in amount to the amount of net proceeds received by such seller from the sale of such Warrant Shares pursuant to the Registration Statement. Notwithstanding anything to the contrary herein, in no event will any party be liable for</w:t>
      </w:r>
    </w:p>
    <w:p>
      <w:pPr>
        <w:spacing w:after="0"/>
        <w:rPr>
          <w:sz w:val="20"/>
          <w:szCs w:val="20"/>
          <w:color w:val="auto"/>
        </w:rPr>
      </w:pPr>
      <w:r>
        <w:rPr>
          <w:rFonts w:ascii="Times New Roman" w:cs="Times New Roman" w:eastAsia="Times New Roman" w:hAnsi="Times New Roman"/>
          <w:sz w:val="20"/>
          <w:szCs w:val="20"/>
          <w:color w:val="auto"/>
        </w:rPr>
        <w:t>consequential, special, exemplary or punitive damages in connection with this Warrant.</w:t>
      </w:r>
    </w:p>
    <w:p>
      <w:pPr>
        <w:spacing w:after="0" w:line="159" w:lineRule="exact"/>
        <w:rPr>
          <w:sz w:val="20"/>
          <w:szCs w:val="20"/>
          <w:color w:val="auto"/>
        </w:rPr>
      </w:pPr>
    </w:p>
    <w:p>
      <w:pPr>
        <w:ind w:firstLine="7"/>
        <w:spacing w:after="0" w:line="232" w:lineRule="auto"/>
        <w:tabs>
          <w:tab w:leader="none" w:pos="642" w:val="left"/>
        </w:tabs>
        <w:numPr>
          <w:ilvl w:val="0"/>
          <w:numId w:val="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Representations and Warranties of Holder</w:t>
      </w:r>
      <w:r>
        <w:rPr>
          <w:rFonts w:ascii="Times New Roman" w:cs="Times New Roman" w:eastAsia="Times New Roman" w:hAnsi="Times New Roman"/>
          <w:sz w:val="20"/>
          <w:szCs w:val="20"/>
          <w:color w:val="auto"/>
        </w:rPr>
        <w:t>. Holder hereby represents and warrants to, acknowledges to and agrees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as of the date hereof:</w:t>
      </w:r>
    </w:p>
    <w:p>
      <w:pPr>
        <w:spacing w:after="0" w:line="161" w:lineRule="exact"/>
        <w:rPr>
          <w:rFonts w:ascii="Times New Roman" w:cs="Times New Roman" w:eastAsia="Times New Roman" w:hAnsi="Times New Roman"/>
          <w:sz w:val="20"/>
          <w:szCs w:val="20"/>
          <w:color w:val="010000"/>
        </w:rPr>
      </w:pPr>
    </w:p>
    <w:p>
      <w:pPr>
        <w:ind w:left="1300" w:hanging="651"/>
        <w:spacing w:after="0" w:line="237" w:lineRule="auto"/>
        <w:tabs>
          <w:tab w:leader="none" w:pos="1290" w:val="left"/>
        </w:tabs>
        <w:numPr>
          <w:ilvl w:val="1"/>
          <w:numId w:val="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Organization, Existence and Qualification</w:t>
      </w:r>
      <w:r>
        <w:rPr>
          <w:rFonts w:ascii="Times New Roman" w:cs="Times New Roman" w:eastAsia="Times New Roman" w:hAnsi="Times New Roman"/>
          <w:sz w:val="20"/>
          <w:szCs w:val="20"/>
          <w:color w:val="auto"/>
        </w:rPr>
        <w:t>. Holder is an entity that has been duly organized and is validly existing and in good standing under the Laws of its jurisdiction of organization.</w:t>
      </w:r>
    </w:p>
    <w:p>
      <w:pPr>
        <w:spacing w:after="0" w:line="147" w:lineRule="exact"/>
        <w:rPr>
          <w:rFonts w:ascii="Times New Roman" w:cs="Times New Roman" w:eastAsia="Times New Roman" w:hAnsi="Times New Roman"/>
          <w:sz w:val="20"/>
          <w:szCs w:val="20"/>
          <w:color w:val="010000"/>
        </w:rPr>
      </w:pPr>
    </w:p>
    <w:p>
      <w:pPr>
        <w:jc w:val="both"/>
        <w:ind w:left="1300" w:hanging="651"/>
        <w:spacing w:after="0" w:line="213" w:lineRule="auto"/>
        <w:tabs>
          <w:tab w:leader="none" w:pos="1288" w:val="left"/>
        </w:tabs>
        <w:numPr>
          <w:ilvl w:val="1"/>
          <w:numId w:val="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Authorization and Enforceability</w:t>
      </w:r>
      <w:r>
        <w:rPr>
          <w:rFonts w:ascii="Times New Roman" w:cs="Times New Roman" w:eastAsia="Times New Roman" w:hAnsi="Times New Roman"/>
          <w:sz w:val="20"/>
          <w:szCs w:val="20"/>
          <w:color w:val="auto"/>
        </w:rPr>
        <w:t>. Holder has the requisite power and authority to execute and deliver this Warrant and to consummate the transactions contemplated hereby. The execution, delivery and performance by Holder of this Warrant have been duly and validly authorized by all necessary requisite action on the part of Holder. This Warrant has been duly executed and delivered by Holder and constitutes a valid and binding obligation of Holder, enforceable against Holder in accordance with its terms, except as such enforceability may be limited by applicable bankruptcy or other similar Laws affecting the rights and remedies of creditors generally as well as to general principles of equity (regardless of whether such enforceability is considered in a proceeding in equity or at law).</w:t>
      </w:r>
    </w:p>
    <w:p>
      <w:pPr>
        <w:spacing w:after="0" w:line="162" w:lineRule="exact"/>
        <w:rPr>
          <w:rFonts w:ascii="Times New Roman" w:cs="Times New Roman" w:eastAsia="Times New Roman" w:hAnsi="Times New Roman"/>
          <w:sz w:val="20"/>
          <w:szCs w:val="20"/>
          <w:color w:val="010000"/>
        </w:rPr>
      </w:pPr>
    </w:p>
    <w:p>
      <w:pPr>
        <w:jc w:val="both"/>
        <w:ind w:left="1300" w:hanging="651"/>
        <w:spacing w:after="0" w:line="211" w:lineRule="auto"/>
        <w:tabs>
          <w:tab w:leader="none" w:pos="1290" w:val="left"/>
        </w:tabs>
        <w:numPr>
          <w:ilvl w:val="1"/>
          <w:numId w:val="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Violation</w:t>
      </w:r>
      <w:r>
        <w:rPr>
          <w:rFonts w:ascii="Times New Roman" w:cs="Times New Roman" w:eastAsia="Times New Roman" w:hAnsi="Times New Roman"/>
          <w:sz w:val="20"/>
          <w:szCs w:val="20"/>
          <w:color w:val="auto"/>
        </w:rPr>
        <w:t>. The execution, delivery and performance by Holder of this Warrant do not and will not, with or without notice or the passage of time or both: (i) violate any provision of the organizational documents of Holder; (ii) conflict with or violate or breach the terms of, result in a default under, result in the creation of any lien under or give rise to any right of termination, cancellation, forfeiture, suspension, adverse modification, or acceleration under any note, bond, mortgage, indenture, credit agreement or other contract to which Holder is a party or by which it is bound; (iii) violate any judgment, order, ruling, regulation or decree applicable to Holder as a party in interest; or (iv) violate any Law applicable to Holder or any of its assets, except any matters described in clauses (ii), (iii) and (iv) above which would not have a material adverse effect on the ability of Holder to consummate the transactions contemplated hereby.</w:t>
      </w:r>
    </w:p>
    <w:p>
      <w:pPr>
        <w:spacing w:after="0" w:line="161" w:lineRule="exact"/>
        <w:rPr>
          <w:rFonts w:ascii="Times New Roman" w:cs="Times New Roman" w:eastAsia="Times New Roman" w:hAnsi="Times New Roman"/>
          <w:sz w:val="20"/>
          <w:szCs w:val="20"/>
          <w:color w:val="010000"/>
        </w:rPr>
      </w:pPr>
    </w:p>
    <w:p>
      <w:pPr>
        <w:jc w:val="both"/>
        <w:ind w:left="1300" w:hanging="651"/>
        <w:spacing w:after="0" w:line="219" w:lineRule="auto"/>
        <w:tabs>
          <w:tab w:leader="none" w:pos="1288" w:val="left"/>
        </w:tabs>
        <w:numPr>
          <w:ilvl w:val="1"/>
          <w:numId w:val="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Consents, Approvals or Waivers</w:t>
      </w:r>
      <w:r>
        <w:rPr>
          <w:rFonts w:ascii="Times New Roman" w:cs="Times New Roman" w:eastAsia="Times New Roman" w:hAnsi="Times New Roman"/>
          <w:sz w:val="20"/>
          <w:szCs w:val="20"/>
          <w:color w:val="auto"/>
        </w:rPr>
        <w:t>. All consents, approvals, authorizations or waivers from, and any registrations or filings with or notifications to, any Governmental Authority required on the part of Holder in connection with Holder’s execution, delivery or performance of this Warrant and the consummation of the transactions contemplated hereby have been obtained and are effective as of the date hereof.</w:t>
      </w:r>
    </w:p>
    <w:p>
      <w:pPr>
        <w:spacing w:after="0" w:line="163" w:lineRule="exact"/>
        <w:rPr>
          <w:rFonts w:ascii="Times New Roman" w:cs="Times New Roman" w:eastAsia="Times New Roman" w:hAnsi="Times New Roman"/>
          <w:sz w:val="20"/>
          <w:szCs w:val="20"/>
          <w:color w:val="010000"/>
        </w:rPr>
      </w:pPr>
    </w:p>
    <w:p>
      <w:pPr>
        <w:jc w:val="both"/>
        <w:ind w:left="1300" w:hanging="651"/>
        <w:spacing w:after="0" w:line="223" w:lineRule="auto"/>
        <w:tabs>
          <w:tab w:leader="none" w:pos="1290" w:val="left"/>
        </w:tabs>
        <w:numPr>
          <w:ilvl w:val="1"/>
          <w:numId w:val="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Investment Intent</w:t>
      </w:r>
      <w:r>
        <w:rPr>
          <w:rFonts w:ascii="Times New Roman" w:cs="Times New Roman" w:eastAsia="Times New Roman" w:hAnsi="Times New Roman"/>
          <w:sz w:val="20"/>
          <w:szCs w:val="20"/>
          <w:color w:val="auto"/>
        </w:rPr>
        <w:t>. Holder understands that this Warrant and the Warrant Shares, as applicable, are “restricted securities” and as of the date hereof, have not been registered under the Securities Act or any applicable federal and state securities laws. Holder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color w:val="auto"/>
        </w:rPr>
        <w:t>acquiring this Warrant and, upon exercise of this Warrant, the Warrant Shares, as principal for its own account for investment</w:t>
      </w:r>
    </w:p>
    <w:p>
      <w:pPr>
        <w:spacing w:after="0" w:line="4" w:lineRule="exact"/>
        <w:rPr>
          <w:sz w:val="20"/>
          <w:szCs w:val="20"/>
          <w:color w:val="auto"/>
        </w:rPr>
      </w:pPr>
    </w:p>
    <w:p>
      <w:pPr>
        <w:ind w:left="1100"/>
        <w:spacing w:after="0" w:line="202" w:lineRule="auto"/>
        <w:rPr>
          <w:sz w:val="20"/>
          <w:szCs w:val="20"/>
          <w:color w:val="auto"/>
        </w:rPr>
      </w:pPr>
      <w:r>
        <w:rPr>
          <w:rFonts w:ascii="Times New Roman" w:cs="Times New Roman" w:eastAsia="Times New Roman" w:hAnsi="Times New Roman"/>
          <w:sz w:val="20"/>
          <w:szCs w:val="20"/>
          <w:color w:val="auto"/>
        </w:rPr>
        <w:t>purposes only and not with a view to or for distributing or reselling such Warrant or Warrant Shares, as applicable, has no present intention of distributing any of such Warrant or Warrant Shares, as applicable, and has no arrangement or</w:t>
      </w:r>
    </w:p>
    <w:p>
      <w:pPr>
        <w:ind w:left="1100"/>
        <w:spacing w:after="0" w:line="210" w:lineRule="auto"/>
        <w:rPr>
          <w:sz w:val="20"/>
          <w:szCs w:val="20"/>
          <w:color w:val="auto"/>
        </w:rPr>
      </w:pPr>
      <w:r>
        <w:rPr>
          <w:rFonts w:ascii="Times New Roman" w:cs="Times New Roman" w:eastAsia="Times New Roman" w:hAnsi="Times New Roman"/>
          <w:sz w:val="20"/>
          <w:szCs w:val="20"/>
          <w:color w:val="auto"/>
        </w:rPr>
        <w:t>understanding with any other Persons regarding the distribution of such Warrant or Warrant Shares, as applicable, in any</w:t>
      </w:r>
    </w:p>
    <w:p>
      <w:pPr>
        <w:ind w:left="1100"/>
        <w:spacing w:after="0" w:line="213" w:lineRule="auto"/>
        <w:rPr>
          <w:sz w:val="20"/>
          <w:szCs w:val="20"/>
          <w:color w:val="auto"/>
        </w:rPr>
      </w:pPr>
      <w:r>
        <w:rPr>
          <w:rFonts w:ascii="Times New Roman" w:cs="Times New Roman" w:eastAsia="Times New Roman" w:hAnsi="Times New Roman"/>
          <w:sz w:val="19"/>
          <w:szCs w:val="19"/>
          <w:color w:val="auto"/>
        </w:rPr>
        <w:t>transaction in violation of the applicable federal and state securities laws in the United States (this representation and warranty not limiting Holder’s right to sell or otherwise dispose of this Warrant or the Warrant Shares, as applicable, in compliance with</w:t>
      </w:r>
    </w:p>
    <w:p>
      <w:pPr>
        <w:ind w:left="1100"/>
        <w:spacing w:after="0" w:line="220" w:lineRule="auto"/>
        <w:rPr>
          <w:sz w:val="20"/>
          <w:szCs w:val="20"/>
          <w:color w:val="auto"/>
        </w:rPr>
      </w:pPr>
      <w:r>
        <w:rPr>
          <w:rFonts w:ascii="Times New Roman" w:cs="Times New Roman" w:eastAsia="Times New Roman" w:hAnsi="Times New Roman"/>
          <w:sz w:val="19"/>
          <w:szCs w:val="19"/>
          <w:color w:val="auto"/>
        </w:rPr>
        <w:t>applicable federal and state securities laws in the United States and in compliance with other agreed restrictions). Holder does</w:t>
      </w:r>
    </w:p>
    <w:p>
      <w:pPr>
        <w:jc w:val="both"/>
        <w:ind w:left="1100"/>
        <w:spacing w:after="0" w:line="213" w:lineRule="auto"/>
        <w:rPr>
          <w:sz w:val="20"/>
          <w:szCs w:val="20"/>
          <w:color w:val="auto"/>
        </w:rPr>
      </w:pPr>
      <w:r>
        <w:rPr>
          <w:rFonts w:ascii="Times New Roman" w:cs="Times New Roman" w:eastAsia="Times New Roman" w:hAnsi="Times New Roman"/>
          <w:sz w:val="19"/>
          <w:szCs w:val="19"/>
          <w:color w:val="auto"/>
        </w:rPr>
        <w:t>not have any agreement or understanding, directly or indirectly, with any Person to distribute any part of this Warrant or the Warrant Shares, as applicable. Holder understands and acknowledges that this Warrant and the Warrant Shares, as applicable,</w:t>
      </w:r>
    </w:p>
    <w:p>
      <w:pPr>
        <w:ind w:left="1100"/>
        <w:spacing w:after="0" w:line="209" w:lineRule="auto"/>
        <w:rPr>
          <w:sz w:val="20"/>
          <w:szCs w:val="20"/>
          <w:color w:val="auto"/>
        </w:rPr>
      </w:pPr>
      <w:r>
        <w:rPr>
          <w:rFonts w:ascii="Times New Roman" w:cs="Times New Roman" w:eastAsia="Times New Roman" w:hAnsi="Times New Roman"/>
          <w:sz w:val="20"/>
          <w:szCs w:val="20"/>
          <w:color w:val="auto"/>
        </w:rPr>
        <w:t>may be subject to certain resale restrictions under applicable securities laws. Holder also acknowledges that it has been</w:t>
      </w:r>
    </w:p>
    <w:p>
      <w:pPr>
        <w:ind w:left="1100"/>
        <w:spacing w:after="0" w:line="213" w:lineRule="auto"/>
        <w:rPr>
          <w:sz w:val="20"/>
          <w:szCs w:val="20"/>
          <w:color w:val="auto"/>
        </w:rPr>
      </w:pPr>
      <w:r>
        <w:rPr>
          <w:rFonts w:ascii="Times New Roman" w:cs="Times New Roman" w:eastAsia="Times New Roman" w:hAnsi="Times New Roman"/>
          <w:sz w:val="19"/>
          <w:szCs w:val="19"/>
          <w:color w:val="auto"/>
        </w:rPr>
        <w:t>advised to consult its own legal counsel with respect to applicable resale restrictions and that it is solely responsible for complying with such restrictions (and that, without limiting the representations and warranties made by the Company in this</w:t>
      </w:r>
    </w:p>
    <w:p>
      <w:pPr>
        <w:ind w:left="1100"/>
        <w:spacing w:after="0"/>
        <w:rPr>
          <w:sz w:val="20"/>
          <w:szCs w:val="20"/>
          <w:color w:val="auto"/>
        </w:rPr>
      </w:pPr>
      <w:r>
        <w:rPr>
          <w:rFonts w:ascii="Times New Roman" w:cs="Times New Roman" w:eastAsia="Times New Roman" w:hAnsi="Times New Roman"/>
          <w:sz w:val="20"/>
          <w:szCs w:val="20"/>
          <w:color w:val="auto"/>
        </w:rPr>
        <w:t>Warrant, the Company is not in any manner responsible for ensuring compliance by Holder with such restrictions).</w:t>
      </w:r>
    </w:p>
    <w:p>
      <w:pPr>
        <w:spacing w:after="0" w:line="163" w:lineRule="exact"/>
        <w:rPr>
          <w:sz w:val="20"/>
          <w:szCs w:val="20"/>
          <w:color w:val="auto"/>
        </w:rPr>
      </w:pPr>
    </w:p>
    <w:p>
      <w:pPr>
        <w:ind w:left="1080" w:hanging="631"/>
        <w:spacing w:after="0"/>
        <w:tabs>
          <w:tab w:leader="none" w:pos="1080" w:val="left"/>
        </w:tabs>
        <w:numPr>
          <w:ilvl w:val="0"/>
          <w:numId w:val="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Holder Status</w:t>
      </w:r>
      <w:r>
        <w:rPr>
          <w:rFonts w:ascii="Times New Roman" w:cs="Times New Roman" w:eastAsia="Times New Roman" w:hAnsi="Times New Roman"/>
          <w:sz w:val="20"/>
          <w:szCs w:val="20"/>
          <w:color w:val="auto"/>
        </w:rPr>
        <w:t>. Holder is an “accredited investor” as defined in Rule 501(a) under the Securities Act.</w:t>
      </w:r>
    </w:p>
    <w:p>
      <w:pPr>
        <w:spacing w:after="0" w:line="171" w:lineRule="exact"/>
        <w:rPr>
          <w:rFonts w:ascii="Times New Roman" w:cs="Times New Roman" w:eastAsia="Times New Roman" w:hAnsi="Times New Roman"/>
          <w:sz w:val="20"/>
          <w:szCs w:val="20"/>
          <w:color w:val="010000"/>
        </w:rPr>
      </w:pPr>
    </w:p>
    <w:p>
      <w:pPr>
        <w:ind w:left="1080" w:hanging="631"/>
        <w:spacing w:after="0"/>
        <w:tabs>
          <w:tab w:leader="none" w:pos="1080" w:val="left"/>
        </w:tabs>
        <w:numPr>
          <w:ilvl w:val="0"/>
          <w:numId w:val="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xml:space="preserve">. Holder understands that the Warrant Shares will bear a restrictive legend at such time as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010000"/>
        </w:rPr>
      </w:pPr>
    </w:p>
    <w:p>
      <w:pPr>
        <w:jc w:val="both"/>
        <w:ind w:left="1100" w:hanging="651"/>
        <w:spacing w:after="0" w:line="215" w:lineRule="auto"/>
        <w:tabs>
          <w:tab w:leader="none" w:pos="1088" w:val="left"/>
        </w:tabs>
        <w:numPr>
          <w:ilvl w:val="0"/>
          <w:numId w:val="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Experience of Holder</w:t>
      </w:r>
      <w:r>
        <w:rPr>
          <w:rFonts w:ascii="Times New Roman" w:cs="Times New Roman" w:eastAsia="Times New Roman" w:hAnsi="Times New Roman"/>
          <w:sz w:val="20"/>
          <w:szCs w:val="20"/>
          <w:color w:val="auto"/>
        </w:rPr>
        <w:t>. Holder, either alone or together with its representatives, has such knowledge, sophistication and experience in business and financial matters so as to be capable of evaluating the merits and risks of the prospective investment in this Warrant and the Warrant Shares, as applicable, and has so evaluated the merits and risks of such investment. Holder is able to bear the economic risk of an investment in this Warrant and the Warrant Shares, as applicable, and, at the present time, is able to afford a complete loss of such investment.</w:t>
      </w:r>
    </w:p>
    <w:p>
      <w:pPr>
        <w:spacing w:after="0" w:line="160" w:lineRule="exact"/>
        <w:rPr>
          <w:rFonts w:ascii="Times New Roman" w:cs="Times New Roman" w:eastAsia="Times New Roman" w:hAnsi="Times New Roman"/>
          <w:sz w:val="20"/>
          <w:szCs w:val="20"/>
          <w:color w:val="010000"/>
        </w:rPr>
      </w:pPr>
    </w:p>
    <w:p>
      <w:pPr>
        <w:jc w:val="both"/>
        <w:ind w:left="1100" w:hanging="651"/>
        <w:spacing w:after="0" w:line="223" w:lineRule="auto"/>
        <w:tabs>
          <w:tab w:leader="none" w:pos="1098" w:val="left"/>
        </w:tabs>
        <w:numPr>
          <w:ilvl w:val="0"/>
          <w:numId w:val="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Access to Information</w:t>
      </w:r>
      <w:r>
        <w:rPr>
          <w:rFonts w:ascii="Times New Roman" w:cs="Times New Roman" w:eastAsia="Times New Roman" w:hAnsi="Times New Roman"/>
          <w:sz w:val="19"/>
          <w:szCs w:val="19"/>
          <w:color w:val="auto"/>
        </w:rPr>
        <w:t>. Holder acknowledges that it has been afforded (i) the opportunity to ask such questions as it has deemed necessary of, and to receive answers from, representatives of the Company concerning the terms and conditions of the offering of this Warrant and the Warrant Shares and the merits and risks of investing in this Warrant and the Warrant Shares;</w:t>
      </w:r>
    </w:p>
    <w:p>
      <w:pPr>
        <w:spacing w:after="0" w:line="1" w:lineRule="exact"/>
        <w:rPr>
          <w:rFonts w:ascii="Times New Roman" w:cs="Times New Roman" w:eastAsia="Times New Roman" w:hAnsi="Times New Roman"/>
          <w:sz w:val="19"/>
          <w:szCs w:val="19"/>
          <w:color w:val="010000"/>
        </w:rPr>
      </w:pPr>
    </w:p>
    <w:p>
      <w:pPr>
        <w:jc w:val="both"/>
        <w:ind w:left="1100" w:hanging="9"/>
        <w:spacing w:after="0" w:line="207" w:lineRule="auto"/>
        <w:tabs>
          <w:tab w:leader="none" w:pos="145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access to information about the Company and its financial condition, results of operations, business, properties, management and prospects sufficient to enable it to evaluate its investment; (iii) the opportunity to obtain such additional information that the Company possesses or can acquire without unreasonable effort or expense that is necessary to make an informed investment decision with respect to this Warrant and the purchase of the Warrant Shares; and (iv) the opportunity to ask questions of management. Holder has sought such accounting, legal and tax advice as it has considered necessary to make an informed decision with respect to its acquisition of this Warrant and the Warrant Shares, as applicable. Notwithstanding anything contained herein to the contrary, Holder acknowledges that the Company and its representatives may possess Non-Public Information not known to Holder that may be material to a reasonable investor, such as Holder, when making investment decisions, including the decision to enter into this Warrant or exercise this Warrant, and Holder’s decision to enter into this Warrant or exercise this Warrant, as applicable, is being made with full recognition and acknowledgment that the Company is privy to Non-Public Information, irrespective of whether such Non-Public Information has been provided to Holder. This </w:t>
      </w:r>
      <w:r>
        <w:rPr>
          <w:rFonts w:ascii="Times New Roman" w:cs="Times New Roman" w:eastAsia="Times New Roman" w:hAnsi="Times New Roman"/>
          <w:sz w:val="20"/>
          <w:szCs w:val="20"/>
          <w:u w:val="single" w:color="auto"/>
          <w:color w:val="auto"/>
        </w:rPr>
        <w:t>Section 9(i)</w:t>
      </w:r>
      <w:r>
        <w:rPr>
          <w:rFonts w:ascii="Times New Roman" w:cs="Times New Roman" w:eastAsia="Times New Roman" w:hAnsi="Times New Roman"/>
          <w:sz w:val="20"/>
          <w:szCs w:val="20"/>
          <w:color w:val="auto"/>
        </w:rPr>
        <w:t xml:space="preserve"> is not intended to, and shall not, limit the representations and warranties made by the Company in this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40"/>
          </w:cols>
          <w:pgMar w:left="520" w:top="1440" w:right="339" w:bottom="1440" w:gutter="0" w:footer="0" w:header="0"/>
        </w:sectPr>
      </w:pPr>
    </w:p>
    <w:bookmarkStart w:id="44" w:name="page45"/>
    <w:bookmarkEnd w:id="44"/>
    <w:p>
      <w:pPr>
        <w:spacing w:after="0" w:line="162" w:lineRule="exact"/>
        <w:rPr>
          <w:sz w:val="20"/>
          <w:szCs w:val="20"/>
          <w:color w:val="auto"/>
        </w:rPr>
      </w:pPr>
    </w:p>
    <w:p>
      <w:pPr>
        <w:jc w:val="both"/>
        <w:ind w:left="1293" w:hanging="651"/>
        <w:spacing w:after="0" w:line="212" w:lineRule="auto"/>
        <w:tabs>
          <w:tab w:leader="none" w:pos="1291" w:val="left"/>
        </w:tabs>
        <w:numPr>
          <w:ilvl w:val="1"/>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Independent Investment Decision</w:t>
      </w:r>
      <w:r>
        <w:rPr>
          <w:rFonts w:ascii="Times New Roman" w:cs="Times New Roman" w:eastAsia="Times New Roman" w:hAnsi="Times New Roman"/>
          <w:sz w:val="20"/>
          <w:szCs w:val="20"/>
          <w:color w:val="auto"/>
        </w:rPr>
        <w:t xml:space="preserve">. Holder has independently evaluated the merits of its decision to enter into this Warrant and purchase the Warrant Shares, as applicable, and Holder confirms that it has not relied on the advice of any other Person’s business and/or legal counsel in making such decision. Holder understands that nothing in this Warrant or any other materials presented by or on behalf of the Company to such Holder in connection with this Warrant or the purchase of the Warrant Shares, as applicable, constitutes legal, tax or investment advice. Holder has consulted such legal, tax and investment advisors as it, in its sole discretion, has deemed necessary or appropriate in connection with this Warrant and its purchase of the Warrant Shares, as applicable. This </w:t>
      </w:r>
      <w:r>
        <w:rPr>
          <w:rFonts w:ascii="Times New Roman" w:cs="Times New Roman" w:eastAsia="Times New Roman" w:hAnsi="Times New Roman"/>
          <w:sz w:val="20"/>
          <w:szCs w:val="20"/>
          <w:u w:val="single" w:color="auto"/>
          <w:color w:val="auto"/>
        </w:rPr>
        <w:t>Section 9(j)</w:t>
      </w:r>
      <w:r>
        <w:rPr>
          <w:rFonts w:ascii="Times New Roman" w:cs="Times New Roman" w:eastAsia="Times New Roman" w:hAnsi="Times New Roman"/>
          <w:sz w:val="20"/>
          <w:szCs w:val="20"/>
          <w:color w:val="auto"/>
        </w:rPr>
        <w:t xml:space="preserve"> is not intended to, and shall not, limit the representations and warranties made by the Company in this Warrant.</w:t>
      </w:r>
    </w:p>
    <w:p>
      <w:pPr>
        <w:spacing w:after="0" w:line="153" w:lineRule="exact"/>
        <w:rPr>
          <w:rFonts w:ascii="Times New Roman" w:cs="Times New Roman" w:eastAsia="Times New Roman" w:hAnsi="Times New Roman"/>
          <w:sz w:val="20"/>
          <w:szCs w:val="20"/>
          <w:color w:val="010000"/>
        </w:rPr>
      </w:pPr>
    </w:p>
    <w:p>
      <w:pPr>
        <w:ind w:left="1293" w:right="20" w:hanging="651"/>
        <w:spacing w:after="0" w:line="237" w:lineRule="auto"/>
        <w:tabs>
          <w:tab w:leader="none" w:pos="1281" w:val="left"/>
        </w:tabs>
        <w:numPr>
          <w:ilvl w:val="1"/>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Reliance</w:t>
      </w:r>
      <w:r>
        <w:rPr>
          <w:rFonts w:ascii="Times New Roman" w:cs="Times New Roman" w:eastAsia="Times New Roman" w:hAnsi="Times New Roman"/>
          <w:sz w:val="20"/>
          <w:szCs w:val="20"/>
          <w:color w:val="auto"/>
        </w:rPr>
        <w:t>. Holder has not relied on any representation or warranty in connection with this Warrant or purchase of the Warrant Shares, as applicable, other than those contained in this Warrant.</w:t>
      </w:r>
    </w:p>
    <w:p>
      <w:pPr>
        <w:spacing w:after="0" w:line="156" w:lineRule="exact"/>
        <w:rPr>
          <w:rFonts w:ascii="Times New Roman" w:cs="Times New Roman" w:eastAsia="Times New Roman" w:hAnsi="Times New Roman"/>
          <w:sz w:val="20"/>
          <w:szCs w:val="20"/>
          <w:color w:val="010000"/>
        </w:rPr>
      </w:pPr>
    </w:p>
    <w:p>
      <w:pPr>
        <w:ind w:left="-7" w:firstLine="7"/>
        <w:spacing w:after="0" w:line="232" w:lineRule="auto"/>
        <w:tabs>
          <w:tab w:leader="none" w:pos="626" w:val="left"/>
        </w:tabs>
        <w:numPr>
          <w:ilvl w:val="0"/>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Representations and Warranties of the Company</w:t>
      </w:r>
      <w:r>
        <w:rPr>
          <w:rFonts w:ascii="Times New Roman" w:cs="Times New Roman" w:eastAsia="Times New Roman" w:hAnsi="Times New Roman"/>
          <w:sz w:val="20"/>
          <w:szCs w:val="20"/>
          <w:color w:val="auto"/>
        </w:rPr>
        <w:t>. The Company hereby represents and warrants to Holder as follows as of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Warrant:</w:t>
      </w:r>
    </w:p>
    <w:p>
      <w:pPr>
        <w:spacing w:after="0" w:line="161" w:lineRule="exact"/>
        <w:rPr>
          <w:rFonts w:ascii="Times New Roman" w:cs="Times New Roman" w:eastAsia="Times New Roman" w:hAnsi="Times New Roman"/>
          <w:sz w:val="20"/>
          <w:szCs w:val="20"/>
          <w:color w:val="010000"/>
        </w:rPr>
      </w:pPr>
    </w:p>
    <w:p>
      <w:pPr>
        <w:jc w:val="both"/>
        <w:ind w:left="1293" w:hanging="651"/>
        <w:spacing w:after="0" w:line="219" w:lineRule="auto"/>
        <w:tabs>
          <w:tab w:leader="none" w:pos="1283" w:val="left"/>
        </w:tabs>
        <w:numPr>
          <w:ilvl w:val="1"/>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Organization; Existence and Qualification</w:t>
      </w:r>
      <w:r>
        <w:rPr>
          <w:rFonts w:ascii="Times New Roman" w:cs="Times New Roman" w:eastAsia="Times New Roman" w:hAnsi="Times New Roman"/>
          <w:sz w:val="20"/>
          <w:szCs w:val="20"/>
          <w:color w:val="auto"/>
        </w:rPr>
        <w:t>. The Company is duly incorporated and is validly existing and in good standing under the Laws of the state of its formation, is duly qualified to do business and is in good standing in each jurisdiction in which it is required to qualify in order to conduct its business, except where the failure to so qualify would not reasonably be expected, individually or in the aggregate, to have a Material Adverse Effect.</w:t>
      </w:r>
    </w:p>
    <w:p>
      <w:pPr>
        <w:spacing w:after="0" w:line="163" w:lineRule="exact"/>
        <w:rPr>
          <w:rFonts w:ascii="Times New Roman" w:cs="Times New Roman" w:eastAsia="Times New Roman" w:hAnsi="Times New Roman"/>
          <w:sz w:val="20"/>
          <w:szCs w:val="20"/>
          <w:color w:val="010000"/>
        </w:rPr>
      </w:pPr>
    </w:p>
    <w:p>
      <w:pPr>
        <w:ind w:left="1273" w:hanging="631"/>
        <w:spacing w:after="0"/>
        <w:tabs>
          <w:tab w:leader="none" w:pos="1273" w:val="left"/>
        </w:tabs>
        <w:numPr>
          <w:ilvl w:val="1"/>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Authorization and Enforceability</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010000"/>
        </w:rPr>
      </w:pPr>
    </w:p>
    <w:p>
      <w:pPr>
        <w:jc w:val="both"/>
        <w:ind w:left="1933" w:hanging="649"/>
        <w:spacing w:after="0" w:line="219" w:lineRule="auto"/>
        <w:tabs>
          <w:tab w:leader="none" w:pos="1929"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the requisite power and authority to execute and deliver this Warrant and to consummate the transactions contemplated hereby. The execution, delivery and performance by the Company of this Warrant and the consummation of the transactions contemplated hereby have been duly and validly authorized by all necessary corporate action on the part of the Company.</w:t>
      </w:r>
    </w:p>
    <w:p>
      <w:pPr>
        <w:spacing w:after="0" w:line="163" w:lineRule="exact"/>
        <w:rPr>
          <w:rFonts w:ascii="Times New Roman" w:cs="Times New Roman" w:eastAsia="Times New Roman" w:hAnsi="Times New Roman"/>
          <w:sz w:val="20"/>
          <w:szCs w:val="20"/>
          <w:color w:val="auto"/>
        </w:rPr>
      </w:pPr>
    </w:p>
    <w:p>
      <w:pPr>
        <w:jc w:val="both"/>
        <w:ind w:left="1933" w:hanging="649"/>
        <w:spacing w:after="0" w:line="226" w:lineRule="auto"/>
        <w:tabs>
          <w:tab w:leader="none" w:pos="1930" w:val="left"/>
        </w:tabs>
        <w:numPr>
          <w:ilvl w:val="2"/>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This Warrant has been duly executed and delivered by the Company and (B) this Warrant constitutes the valid and binding obligations of the Company, enforceable against the Company in accordance with its terms, except, in the case of clause (B) above, as such enforceability may be limited by applicable bankruptcy, insolvency, reorganization, moratorium or other similar Laws affecting the rights and remedies of creditors generally as well as to general principles of equity (regardless of whether such enforceability is considered in a proceeding in equity or at law).</w:t>
      </w:r>
    </w:p>
    <w:p>
      <w:pPr>
        <w:spacing w:after="0" w:line="161" w:lineRule="exact"/>
        <w:rPr>
          <w:rFonts w:ascii="Times New Roman" w:cs="Times New Roman" w:eastAsia="Times New Roman" w:hAnsi="Times New Roman"/>
          <w:sz w:val="19"/>
          <w:szCs w:val="19"/>
          <w:color w:val="auto"/>
        </w:rPr>
      </w:pPr>
    </w:p>
    <w:p>
      <w:pPr>
        <w:jc w:val="both"/>
        <w:ind w:left="1293" w:hanging="651"/>
        <w:spacing w:after="0" w:line="222" w:lineRule="auto"/>
        <w:tabs>
          <w:tab w:leader="none" w:pos="1283" w:val="left"/>
        </w:tabs>
        <w:numPr>
          <w:ilvl w:val="1"/>
          <w:numId w:val="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Violation</w:t>
      </w:r>
      <w:r>
        <w:rPr>
          <w:rFonts w:ascii="Times New Roman" w:cs="Times New Roman" w:eastAsia="Times New Roman" w:hAnsi="Times New Roman"/>
          <w:sz w:val="19"/>
          <w:szCs w:val="19"/>
          <w:color w:val="auto"/>
        </w:rPr>
        <w:t>. The execution, delivery and performance by the Company of this Warrant do not, and the consummation of the transactions contemplated hereby will not, with or without notice or the passage of time or both: (i) violate any provision of the organizational documents of the Company; (ii) violate or breach the terms of, result in a default under, result in the creation of any lien, or give rise to any right of termination, cancellation, forfeiture, suspension, adverse modification, or acceleration under (x) any note, bond, mortgage, indenture or credit agreement to which the Company is a party and (y) any other contract to which the Company is a party or by which it is bound or to which any of its assets are subject; (iii) violate any judgment, order, ruling, regulation or decree applicable to the Company or any of its properties or assets; or (iv) violate any Law applicable to the Company or any of its properties or assets, except for matters described in clauses (ii), (iii)or (iv) above which would not reasonably be expected, individually or in the aggregate,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3"/>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33"/>
          </w:cols>
          <w:pgMar w:left="327" w:top="1440" w:right="339" w:bottom="1440" w:gutter="0" w:footer="0" w:header="0"/>
        </w:sectPr>
      </w:pPr>
    </w:p>
    <w:bookmarkStart w:id="45" w:name="page46"/>
    <w:bookmarkEnd w:id="45"/>
    <w:p>
      <w:pPr>
        <w:spacing w:after="0" w:line="162" w:lineRule="exact"/>
        <w:rPr>
          <w:sz w:val="20"/>
          <w:szCs w:val="20"/>
          <w:color w:val="auto"/>
        </w:rPr>
      </w:pPr>
    </w:p>
    <w:p>
      <w:pPr>
        <w:jc w:val="both"/>
        <w:ind w:left="1300" w:hanging="651"/>
        <w:spacing w:after="0" w:line="225" w:lineRule="auto"/>
        <w:tabs>
          <w:tab w:leader="none" w:pos="1288" w:val="left"/>
        </w:tabs>
        <w:numPr>
          <w:ilvl w:val="1"/>
          <w:numId w:val="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Consents, Approvals or Waivers</w:t>
      </w:r>
      <w:r>
        <w:rPr>
          <w:rFonts w:ascii="Times New Roman" w:cs="Times New Roman" w:eastAsia="Times New Roman" w:hAnsi="Times New Roman"/>
          <w:sz w:val="19"/>
          <w:szCs w:val="19"/>
          <w:color w:val="auto"/>
        </w:rPr>
        <w:t>. The execution, delivery and performance by the Company of this Warrant (including the authorization, issuance and delivery of the Warrant Shares) will not be subject to or require any consent, approval, authorization, or waiver from, or any registration or filing with or notification to, any Person, except for (i) filings required by federal and state securities laws, (ii) the approval for listing on the Nasdaq of the Warrant Shares; and (iii) such consents as have been obtained or where the failure of the Company to obtain or make any such consent, approval, authorization, order, filing or registration would not reasonably be expected, individually or in the aggregate, to have a Material Adverse Effect.</w:t>
      </w:r>
    </w:p>
    <w:p>
      <w:pPr>
        <w:spacing w:after="0" w:line="157" w:lineRule="exact"/>
        <w:rPr>
          <w:rFonts w:ascii="Times New Roman" w:cs="Times New Roman" w:eastAsia="Times New Roman" w:hAnsi="Times New Roman"/>
          <w:sz w:val="19"/>
          <w:szCs w:val="19"/>
          <w:color w:val="010000"/>
        </w:rPr>
      </w:pPr>
    </w:p>
    <w:p>
      <w:pPr>
        <w:ind w:firstLine="7"/>
        <w:spacing w:after="0" w:line="239" w:lineRule="auto"/>
        <w:tabs>
          <w:tab w:leader="none" w:pos="625"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No Rights as Shareholder until Exercise</w:t>
      </w:r>
      <w:r>
        <w:rPr>
          <w:rFonts w:ascii="Times New Roman" w:cs="Times New Roman" w:eastAsia="Times New Roman" w:hAnsi="Times New Roman"/>
          <w:sz w:val="20"/>
          <w:szCs w:val="20"/>
          <w:color w:val="auto"/>
        </w:rPr>
        <w:t>. This Warrant does not entitle Holder to any voting rights or other rights as a shareholder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prior to the exercise hereof.</w:t>
      </w:r>
    </w:p>
    <w:p>
      <w:pPr>
        <w:spacing w:after="0" w:line="143" w:lineRule="exact"/>
        <w:rPr>
          <w:rFonts w:ascii="Times New Roman" w:cs="Times New Roman" w:eastAsia="Times New Roman" w:hAnsi="Times New Roman"/>
          <w:sz w:val="20"/>
          <w:szCs w:val="20"/>
          <w:color w:val="010000"/>
        </w:rPr>
      </w:pPr>
    </w:p>
    <w:p>
      <w:pPr>
        <w:ind w:left="640" w:hanging="633"/>
        <w:spacing w:after="0"/>
        <w:tabs>
          <w:tab w:leader="none" w:pos="640"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Certain Notice Requirements</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010000"/>
        </w:rPr>
      </w:pPr>
    </w:p>
    <w:p>
      <w:pPr>
        <w:ind w:left="64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010000"/>
        </w:rPr>
        <w:t xml:space="preserve">12.1   </w:t>
      </w:r>
      <w:r>
        <w:rPr>
          <w:rFonts w:ascii="Times New Roman" w:cs="Times New Roman" w:eastAsia="Times New Roman" w:hAnsi="Times New Roman"/>
          <w:sz w:val="20"/>
          <w:szCs w:val="20"/>
          <w:u w:val="single" w:color="auto"/>
          <w:color w:val="000000"/>
        </w:rPr>
        <w:t>Holder’s Right to Receive Notice</w:t>
      </w:r>
      <w:r>
        <w:rPr>
          <w:rFonts w:ascii="Times New Roman" w:cs="Times New Roman" w:eastAsia="Times New Roman" w:hAnsi="Times New Roman"/>
          <w:sz w:val="20"/>
          <w:szCs w:val="20"/>
          <w:color w:val="000000"/>
        </w:rPr>
        <w:t>. If at any time prior to the earlier to occur of the Expiration Time or the exercise of this</w:t>
      </w:r>
    </w:p>
    <w:p>
      <w:pPr>
        <w:spacing w:after="0" w:line="202" w:lineRule="auto"/>
        <w:rPr>
          <w:sz w:val="20"/>
          <w:szCs w:val="20"/>
          <w:color w:val="auto"/>
        </w:rPr>
      </w:pPr>
      <w:r>
        <w:rPr>
          <w:rFonts w:ascii="Times New Roman" w:cs="Times New Roman" w:eastAsia="Times New Roman" w:hAnsi="Times New Roman"/>
          <w:sz w:val="20"/>
          <w:szCs w:val="20"/>
          <w:color w:val="auto"/>
        </w:rPr>
        <w:t xml:space="preserve">Warrant in full, any of the events described in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shall occur, then, in one or more of said events, the Company shall give written notice of such event at least five (5) Business Days prior to the date fixed as a record date or the date of closing the transfer books for the</w:t>
      </w:r>
    </w:p>
    <w:p>
      <w:pPr>
        <w:spacing w:after="0" w:line="221" w:lineRule="auto"/>
        <w:rPr>
          <w:sz w:val="20"/>
          <w:szCs w:val="20"/>
          <w:color w:val="auto"/>
        </w:rPr>
      </w:pPr>
      <w:r>
        <w:rPr>
          <w:rFonts w:ascii="Times New Roman" w:cs="Times New Roman" w:eastAsia="Times New Roman" w:hAnsi="Times New Roman"/>
          <w:sz w:val="19"/>
          <w:szCs w:val="19"/>
          <w:color w:val="auto"/>
        </w:rPr>
        <w:t>determination of the shareholders entitled to such dividend, distribution, conversion or exchange of securities or subscription rights, or entitled</w:t>
      </w:r>
    </w:p>
    <w:p>
      <w:pPr>
        <w:spacing w:after="0" w:line="213" w:lineRule="auto"/>
        <w:rPr>
          <w:sz w:val="20"/>
          <w:szCs w:val="20"/>
          <w:color w:val="auto"/>
        </w:rPr>
      </w:pPr>
      <w:r>
        <w:rPr>
          <w:rFonts w:ascii="Times New Roman" w:cs="Times New Roman" w:eastAsia="Times New Roman" w:hAnsi="Times New Roman"/>
          <w:sz w:val="19"/>
          <w:szCs w:val="19"/>
          <w:color w:val="auto"/>
        </w:rPr>
        <w:t>to vote on such proposed dissolution, liquidation, winding up or sale. Such notice shall specify such record date or the date of the closing of the transfer books, as the case may be. Without limiting the foregoing, the Company shall deliver to Holder a copy of each notice given to any</w:t>
      </w:r>
    </w:p>
    <w:p>
      <w:pPr>
        <w:spacing w:after="0"/>
        <w:rPr>
          <w:sz w:val="20"/>
          <w:szCs w:val="20"/>
          <w:color w:val="auto"/>
        </w:rPr>
      </w:pPr>
      <w:r>
        <w:rPr>
          <w:rFonts w:ascii="Times New Roman" w:cs="Times New Roman" w:eastAsia="Times New Roman" w:hAnsi="Times New Roman"/>
          <w:sz w:val="20"/>
          <w:szCs w:val="20"/>
          <w:color w:val="auto"/>
        </w:rPr>
        <w:t>of the other shareholders of the Company at the same time and in the same manner that any such notice is given to the shareholders.</w:t>
      </w:r>
    </w:p>
    <w:p>
      <w:pPr>
        <w:spacing w:after="0" w:line="163" w:lineRule="exact"/>
        <w:rPr>
          <w:sz w:val="20"/>
          <w:szCs w:val="20"/>
          <w:color w:val="auto"/>
        </w:rPr>
      </w:pPr>
    </w:p>
    <w:p>
      <w:pPr>
        <w:ind w:firstLine="642"/>
        <w:spacing w:after="0" w:line="213" w:lineRule="auto"/>
        <w:rPr>
          <w:sz w:val="20"/>
          <w:szCs w:val="20"/>
          <w:color w:val="auto"/>
        </w:rPr>
      </w:pPr>
      <w:r>
        <w:rPr>
          <w:rFonts w:ascii="Times New Roman" w:cs="Times New Roman" w:eastAsia="Times New Roman" w:hAnsi="Times New Roman"/>
          <w:sz w:val="20"/>
          <w:szCs w:val="20"/>
          <w:color w:val="010000"/>
        </w:rPr>
        <w:t xml:space="preserve">12.2 </w:t>
      </w:r>
      <w:r>
        <w:rPr>
          <w:rFonts w:ascii="Times New Roman" w:cs="Times New Roman" w:eastAsia="Times New Roman" w:hAnsi="Times New Roman"/>
          <w:sz w:val="20"/>
          <w:szCs w:val="20"/>
          <w:u w:val="single" w:color="auto"/>
          <w:color w:val="000000"/>
        </w:rPr>
        <w:t>Events Requiring Notice</w:t>
      </w:r>
      <w:r>
        <w:rPr>
          <w:rFonts w:ascii="Times New Roman" w:cs="Times New Roman" w:eastAsia="Times New Roman" w:hAnsi="Times New Roman"/>
          <w:sz w:val="20"/>
          <w:szCs w:val="20"/>
          <w:color w:val="000000"/>
        </w:rPr>
        <w:t>. The Company shall be required to give the notice described in this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Article 12</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upon one or more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following events: (a) if the Company shall take a record of the holders of its Common Stock for the purpose of entitling them to receive</w:t>
      </w:r>
    </w:p>
    <w:p>
      <w:pPr>
        <w:spacing w:after="0" w:line="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9"/>
          <w:szCs w:val="19"/>
          <w:color w:val="auto"/>
        </w:rPr>
        <w:t>any dividend or other distribution, (b) the Company shall offer to all or substantially all of the holders of its Common Stock any additional shares of capital stock of the Company or securities convertible into or exchangeable for shares of capital stock of the Company, or any option,</w:t>
      </w:r>
    </w:p>
    <w:p>
      <w:pPr>
        <w:spacing w:after="0" w:line="209" w:lineRule="auto"/>
        <w:rPr>
          <w:sz w:val="20"/>
          <w:szCs w:val="20"/>
          <w:color w:val="auto"/>
        </w:rPr>
      </w:pPr>
      <w:r>
        <w:rPr>
          <w:rFonts w:ascii="Times New Roman" w:cs="Times New Roman" w:eastAsia="Times New Roman" w:hAnsi="Times New Roman"/>
          <w:sz w:val="20"/>
          <w:szCs w:val="20"/>
          <w:color w:val="auto"/>
        </w:rPr>
        <w:t>right or warrant to subscribe therefor, or (c) a dissolution, liquidation or winding up of the Company (other than in connection with a</w:t>
      </w:r>
    </w:p>
    <w:p>
      <w:pPr>
        <w:spacing w:after="0" w:line="213" w:lineRule="auto"/>
        <w:rPr>
          <w:sz w:val="20"/>
          <w:szCs w:val="20"/>
          <w:color w:val="auto"/>
        </w:rPr>
      </w:pPr>
      <w:r>
        <w:rPr>
          <w:rFonts w:ascii="Times New Roman" w:cs="Times New Roman" w:eastAsia="Times New Roman" w:hAnsi="Times New Roman"/>
          <w:sz w:val="19"/>
          <w:szCs w:val="19"/>
          <w:color w:val="auto"/>
        </w:rPr>
        <w:t xml:space="preserve">consolidation or share reconstruction or amalgamation) or a sale of all or substantially all of its property, assets and business shall be proposed. In addition to and not in limitation of the foregoing, the Company shall be required to give the notice described in this </w:t>
      </w:r>
      <w:r>
        <w:rPr>
          <w:rFonts w:ascii="Times New Roman" w:cs="Times New Roman" w:eastAsia="Times New Roman" w:hAnsi="Times New Roman"/>
          <w:sz w:val="19"/>
          <w:szCs w:val="19"/>
          <w:u w:val="single" w:color="auto"/>
          <w:color w:val="auto"/>
        </w:rPr>
        <w:t>Article 12</w:t>
      </w:r>
      <w:r>
        <w:rPr>
          <w:rFonts w:ascii="Times New Roman" w:cs="Times New Roman" w:eastAsia="Times New Roman" w:hAnsi="Times New Roman"/>
          <w:sz w:val="19"/>
          <w:szCs w:val="19"/>
          <w:color w:val="auto"/>
        </w:rPr>
        <w:t xml:space="preserve"> prior to</w:t>
      </w:r>
    </w:p>
    <w:p>
      <w:pPr>
        <w:spacing w:after="0" w:line="220" w:lineRule="auto"/>
        <w:rPr>
          <w:sz w:val="20"/>
          <w:szCs w:val="20"/>
          <w:color w:val="auto"/>
        </w:rPr>
      </w:pPr>
      <w:r>
        <w:rPr>
          <w:rFonts w:ascii="Times New Roman" w:cs="Times New Roman" w:eastAsia="Times New Roman" w:hAnsi="Times New Roman"/>
          <w:sz w:val="19"/>
          <w:szCs w:val="19"/>
          <w:color w:val="auto"/>
        </w:rPr>
        <w:t xml:space="preserve">consummating any transaction set forth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of the definition of Extraordinary Transaction, irrespective of whether such</w:t>
      </w:r>
    </w:p>
    <w:p>
      <w:pPr>
        <w:spacing w:after="0" w:line="202" w:lineRule="auto"/>
        <w:rPr>
          <w:sz w:val="20"/>
          <w:szCs w:val="20"/>
          <w:color w:val="auto"/>
        </w:rPr>
      </w:pPr>
      <w:r>
        <w:rPr>
          <w:rFonts w:ascii="Times New Roman" w:cs="Times New Roman" w:eastAsia="Times New Roman" w:hAnsi="Times New Roman"/>
          <w:sz w:val="20"/>
          <w:szCs w:val="20"/>
          <w:color w:val="auto"/>
        </w:rPr>
        <w:t xml:space="preserve">transaction entitles the holders of Common Stock to receive (either directly or upon subsequent liquidation) stock, securities or assets (including cash) with respect to or in exchange for shares of Common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the Company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to give such notice prior to such transaction being publicly disclosed.</w:t>
      </w:r>
    </w:p>
    <w:p>
      <w:pPr>
        <w:spacing w:after="0" w:line="163" w:lineRule="exact"/>
        <w:rPr>
          <w:sz w:val="20"/>
          <w:szCs w:val="20"/>
          <w:color w:val="auto"/>
        </w:rPr>
      </w:pPr>
    </w:p>
    <w:p>
      <w:pPr>
        <w:ind w:firstLine="642"/>
        <w:spacing w:after="0" w:line="230" w:lineRule="auto"/>
        <w:rPr>
          <w:sz w:val="20"/>
          <w:szCs w:val="20"/>
          <w:color w:val="auto"/>
        </w:rPr>
      </w:pPr>
      <w:r>
        <w:rPr>
          <w:rFonts w:ascii="Times New Roman" w:cs="Times New Roman" w:eastAsia="Times New Roman" w:hAnsi="Times New Roman"/>
          <w:sz w:val="20"/>
          <w:szCs w:val="20"/>
          <w:color w:val="010000"/>
        </w:rPr>
        <w:t xml:space="preserve">12.3 </w:t>
      </w:r>
      <w:r>
        <w:rPr>
          <w:rFonts w:ascii="Times New Roman" w:cs="Times New Roman" w:eastAsia="Times New Roman" w:hAnsi="Times New Roman"/>
          <w:sz w:val="20"/>
          <w:szCs w:val="20"/>
          <w:u w:val="single" w:color="auto"/>
          <w:color w:val="000000"/>
        </w:rPr>
        <w:t>Notice of Change in Exercise Price</w:t>
      </w:r>
      <w:r>
        <w:rPr>
          <w:rFonts w:ascii="Times New Roman" w:cs="Times New Roman" w:eastAsia="Times New Roman" w:hAnsi="Times New Roman"/>
          <w:sz w:val="20"/>
          <w:szCs w:val="20"/>
          <w:color w:val="000000"/>
        </w:rPr>
        <w:t>. The Company shall, promptly after an event requiring an adjustment pursuant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Article 6</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send notice to Holder, which shall describe such event causing the change and the method of calculating same.</w:t>
      </w:r>
    </w:p>
    <w:p>
      <w:pPr>
        <w:spacing w:after="0" w:line="15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12.4</w:t>
      </w:r>
      <w:r>
        <w:rPr>
          <w:sz w:val="20"/>
          <w:szCs w:val="20"/>
          <w:color w:val="auto"/>
        </w:rPr>
        <w:tab/>
      </w:r>
      <w:r>
        <w:rPr>
          <w:rFonts w:ascii="Times New Roman" w:cs="Times New Roman" w:eastAsia="Times New Roman" w:hAnsi="Times New Roman"/>
          <w:sz w:val="19"/>
          <w:szCs w:val="19"/>
          <w:u w:val="single" w:color="auto"/>
          <w:color w:val="auto"/>
        </w:rPr>
        <w:t>Transmittal of Notices</w:t>
      </w:r>
      <w:r>
        <w:rPr>
          <w:rFonts w:ascii="Times New Roman" w:cs="Times New Roman" w:eastAsia="Times New Roman" w:hAnsi="Times New Roman"/>
          <w:sz w:val="19"/>
          <w:szCs w:val="19"/>
          <w:color w:val="auto"/>
        </w:rPr>
        <w:t>. All notices that are required or may be given pursuant to this Warrant shall be sufficient in all respects</w:t>
      </w:r>
    </w:p>
    <w:p>
      <w:pPr>
        <w:jc w:val="both"/>
        <w:spacing w:after="0" w:line="213" w:lineRule="auto"/>
        <w:rPr>
          <w:sz w:val="20"/>
          <w:szCs w:val="20"/>
          <w:color w:val="auto"/>
        </w:rPr>
      </w:pPr>
      <w:r>
        <w:rPr>
          <w:rFonts w:ascii="Times New Roman" w:cs="Times New Roman" w:eastAsia="Times New Roman" w:hAnsi="Times New Roman"/>
          <w:sz w:val="19"/>
          <w:szCs w:val="19"/>
          <w:color w:val="auto"/>
        </w:rPr>
        <w:t>if given in writing. Any such notice shall be deemed given (a) when made, if made by hand delivery, and upon confirmation of receipt, if made by electronic mail transmission, (b) one (1) Business Day after being deposited with a next-day courier, postage prepaid or (c) three (3)</w:t>
      </w:r>
    </w:p>
    <w:p>
      <w:pPr>
        <w:spacing w:after="0"/>
        <w:rPr>
          <w:sz w:val="20"/>
          <w:szCs w:val="20"/>
          <w:color w:val="auto"/>
        </w:rPr>
      </w:pPr>
      <w:r>
        <w:rPr>
          <w:rFonts w:ascii="Times New Roman" w:cs="Times New Roman" w:eastAsia="Times New Roman" w:hAnsi="Times New Roman"/>
          <w:sz w:val="20"/>
          <w:szCs w:val="20"/>
          <w:color w:val="auto"/>
        </w:rPr>
        <w:t>Business Days after being sent certified or registered mail, return receipt requested, postage prepaid, in each case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Holder:</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w:t>
      </w:r>
    </w:p>
    <w:p>
      <w:pPr>
        <w:spacing w:after="0" w:line="3"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0"/>
          <w:szCs w:val="20"/>
          <w:color w:val="auto"/>
        </w:rPr>
        <w:t>Email:</w:t>
        <w:tab/>
        <w: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p>
    <w:p>
      <w:pPr>
        <w:spacing w:after="0" w:line="2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KLX Energy Services Holdings, Inc.</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3040 Post Oak Boulevard, 15th Floor</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Houston, TX 77056</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Max L. Bouthillette</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maxb@klx.com</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Vinson &amp; Elkins L.L.P.</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845 Texas Ave, Suite 4700</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Houston, TX 77002</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Sarah K. Morgan; Katherine Terrell Frank</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smorgan@velaw.com; kfrank@velaw.com</w:t>
      </w:r>
    </w:p>
    <w:p>
      <w:pPr>
        <w:spacing w:after="0" w:line="212" w:lineRule="exact"/>
        <w:rPr>
          <w:sz w:val="20"/>
          <w:szCs w:val="20"/>
          <w:color w:val="auto"/>
        </w:rPr>
      </w:pPr>
    </w:p>
    <w:p>
      <w:pPr>
        <w:ind w:firstLine="7"/>
        <w:spacing w:after="0" w:line="232" w:lineRule="auto"/>
        <w:tabs>
          <w:tab w:leader="none" w:pos="633"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Tax Treatment of Warrant</w:t>
      </w:r>
      <w:r>
        <w:rPr>
          <w:rFonts w:ascii="Times New Roman" w:cs="Times New Roman" w:eastAsia="Times New Roman" w:hAnsi="Times New Roman"/>
          <w:sz w:val="20"/>
          <w:szCs w:val="20"/>
          <w:color w:val="auto"/>
        </w:rPr>
        <w:t>. The Company and the Holder intend to treat this Warrant as Common Stock and the exercise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 for Common Stock as a nonevent for U.S. federal and applicable state and local income tax purposes.</w:t>
      </w:r>
    </w:p>
    <w:p>
      <w:pPr>
        <w:spacing w:after="0" w:line="157" w:lineRule="exact"/>
        <w:rPr>
          <w:rFonts w:ascii="Times New Roman" w:cs="Times New Roman" w:eastAsia="Times New Roman" w:hAnsi="Times New Roman"/>
          <w:sz w:val="20"/>
          <w:szCs w:val="20"/>
          <w:color w:val="010000"/>
        </w:rPr>
      </w:pPr>
    </w:p>
    <w:p>
      <w:pPr>
        <w:ind w:left="640" w:hanging="633"/>
        <w:spacing w:after="0"/>
        <w:tabs>
          <w:tab w:leader="none" w:pos="640"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ind w:left="64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010000"/>
        </w:rPr>
        <w:t xml:space="preserve">14.1   </w:t>
      </w:r>
      <w:r>
        <w:rPr>
          <w:rFonts w:ascii="Times New Roman" w:cs="Times New Roman" w:eastAsia="Times New Roman" w:hAnsi="Times New Roman"/>
          <w:sz w:val="20"/>
          <w:szCs w:val="20"/>
          <w:u w:val="single" w:color="auto"/>
          <w:color w:val="000000"/>
        </w:rPr>
        <w:t>Amendments</w:t>
      </w:r>
      <w:r>
        <w:rPr>
          <w:rFonts w:ascii="Times New Roman" w:cs="Times New Roman" w:eastAsia="Times New Roman" w:hAnsi="Times New Roman"/>
          <w:sz w:val="20"/>
          <w:szCs w:val="20"/>
          <w:color w:val="000000"/>
        </w:rPr>
        <w:t>. The terms of this Warrant may be amended only with the written consent of the Company and Holder.</w:t>
      </w:r>
    </w:p>
    <w:p>
      <w:pPr>
        <w:spacing w:after="0" w:line="171" w:lineRule="exact"/>
        <w:rPr>
          <w:sz w:val="20"/>
          <w:szCs w:val="20"/>
          <w:color w:val="auto"/>
        </w:rPr>
      </w:pPr>
    </w:p>
    <w:p>
      <w:pPr>
        <w:ind w:firstLine="642"/>
        <w:spacing w:after="0" w:line="237" w:lineRule="auto"/>
        <w:rPr>
          <w:sz w:val="20"/>
          <w:szCs w:val="20"/>
          <w:color w:val="auto"/>
        </w:rPr>
      </w:pPr>
      <w:r>
        <w:rPr>
          <w:rFonts w:ascii="Times New Roman" w:cs="Times New Roman" w:eastAsia="Times New Roman" w:hAnsi="Times New Roman"/>
          <w:sz w:val="20"/>
          <w:szCs w:val="20"/>
          <w:color w:val="010000"/>
        </w:rPr>
        <w:t xml:space="preserve">14.2 </w:t>
      </w:r>
      <w:r>
        <w:rPr>
          <w:rFonts w:ascii="Times New Roman" w:cs="Times New Roman" w:eastAsia="Times New Roman" w:hAnsi="Times New Roman"/>
          <w:sz w:val="20"/>
          <w:szCs w:val="20"/>
          <w:u w:val="single" w:color="auto"/>
          <w:color w:val="000000"/>
        </w:rPr>
        <w:t>Headings</w:t>
      </w:r>
      <w:r>
        <w:rPr>
          <w:rFonts w:ascii="Times New Roman" w:cs="Times New Roman" w:eastAsia="Times New Roman" w:hAnsi="Times New Roman"/>
          <w:sz w:val="20"/>
          <w:szCs w:val="20"/>
          <w:color w:val="000000"/>
        </w:rPr>
        <w:t>. The headings contained herein are for the sole purpose of convenience of reference, and shall not in any way limit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affect the meaning or interpretation of any of the terms or provisions of this Warrant.</w:t>
      </w:r>
    </w:p>
    <w:p>
      <w:pPr>
        <w:spacing w:after="0" w:line="161" w:lineRule="exact"/>
        <w:rPr>
          <w:sz w:val="20"/>
          <w:szCs w:val="20"/>
          <w:color w:val="auto"/>
        </w:rPr>
      </w:pPr>
    </w:p>
    <w:p>
      <w:pPr>
        <w:ind w:firstLine="642"/>
        <w:spacing w:after="0" w:line="225" w:lineRule="auto"/>
        <w:rPr>
          <w:sz w:val="20"/>
          <w:szCs w:val="20"/>
          <w:color w:val="auto"/>
        </w:rPr>
      </w:pPr>
      <w:r>
        <w:rPr>
          <w:rFonts w:ascii="Times New Roman" w:cs="Times New Roman" w:eastAsia="Times New Roman" w:hAnsi="Times New Roman"/>
          <w:sz w:val="19"/>
          <w:szCs w:val="19"/>
          <w:color w:val="010000"/>
        </w:rPr>
        <w:t xml:space="preserve">14.3 </w:t>
      </w:r>
      <w:r>
        <w:rPr>
          <w:rFonts w:ascii="Times New Roman" w:cs="Times New Roman" w:eastAsia="Times New Roman" w:hAnsi="Times New Roman"/>
          <w:sz w:val="19"/>
          <w:szCs w:val="19"/>
          <w:u w:val="single" w:color="auto"/>
          <w:color w:val="000000"/>
        </w:rPr>
        <w:t>Entire Agreement</w:t>
      </w:r>
      <w:r>
        <w:rPr>
          <w:rFonts w:ascii="Times New Roman" w:cs="Times New Roman" w:eastAsia="Times New Roman" w:hAnsi="Times New Roman"/>
          <w:sz w:val="19"/>
          <w:szCs w:val="19"/>
          <w:color w:val="000000"/>
        </w:rPr>
        <w:t>. This Warrant (together with the other agreements and documents being delivered pursuant to or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connection with this Warrant) constitutes the entire agreement of the parties hereto with respect to the subject matter hereof, and supersedes all</w:t>
      </w:r>
    </w:p>
    <w:p>
      <w:pPr>
        <w:spacing w:after="0"/>
        <w:rPr>
          <w:sz w:val="20"/>
          <w:szCs w:val="20"/>
          <w:color w:val="auto"/>
        </w:rPr>
      </w:pPr>
      <w:r>
        <w:rPr>
          <w:rFonts w:ascii="Times New Roman" w:cs="Times New Roman" w:eastAsia="Times New Roman" w:hAnsi="Times New Roman"/>
          <w:sz w:val="20"/>
          <w:szCs w:val="20"/>
          <w:color w:val="auto"/>
        </w:rPr>
        <w:t>prior agreements and understandings of the parties, oral and written, with respect to the subject matter hereof.</w:t>
      </w:r>
    </w:p>
    <w:p>
      <w:pPr>
        <w:spacing w:after="0" w:line="163" w:lineRule="exact"/>
        <w:rPr>
          <w:sz w:val="20"/>
          <w:szCs w:val="20"/>
          <w:color w:val="auto"/>
        </w:rPr>
      </w:pPr>
    </w:p>
    <w:p>
      <w:pPr>
        <w:ind w:firstLine="642"/>
        <w:spacing w:after="0" w:line="225" w:lineRule="auto"/>
        <w:rPr>
          <w:sz w:val="20"/>
          <w:szCs w:val="20"/>
          <w:color w:val="auto"/>
        </w:rPr>
      </w:pPr>
      <w:r>
        <w:rPr>
          <w:rFonts w:ascii="Times New Roman" w:cs="Times New Roman" w:eastAsia="Times New Roman" w:hAnsi="Times New Roman"/>
          <w:sz w:val="19"/>
          <w:szCs w:val="19"/>
          <w:color w:val="010000"/>
        </w:rPr>
        <w:t xml:space="preserve">14.4 </w:t>
      </w:r>
      <w:r>
        <w:rPr>
          <w:rFonts w:ascii="Times New Roman" w:cs="Times New Roman" w:eastAsia="Times New Roman" w:hAnsi="Times New Roman"/>
          <w:sz w:val="19"/>
          <w:szCs w:val="19"/>
          <w:u w:val="single" w:color="auto"/>
          <w:color w:val="000000"/>
        </w:rPr>
        <w:t>Binding Effect</w:t>
      </w:r>
      <w:r>
        <w:rPr>
          <w:rFonts w:ascii="Times New Roman" w:cs="Times New Roman" w:eastAsia="Times New Roman" w:hAnsi="Times New Roman"/>
          <w:sz w:val="19"/>
          <w:szCs w:val="19"/>
          <w:color w:val="000000"/>
        </w:rPr>
        <w:t>. This Warrant shall inure solely to the benefit of, and shall be binding upon, Holder and the Company and their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permitted assignees, respective successors, legal representatives and assigns, and no other Person shall have or be construed to have any legal</w:t>
      </w:r>
    </w:p>
    <w:p>
      <w:pPr>
        <w:spacing w:after="0"/>
        <w:rPr>
          <w:sz w:val="20"/>
          <w:szCs w:val="20"/>
          <w:color w:val="auto"/>
        </w:rPr>
      </w:pPr>
      <w:r>
        <w:rPr>
          <w:rFonts w:ascii="Times New Roman" w:cs="Times New Roman" w:eastAsia="Times New Roman" w:hAnsi="Times New Roman"/>
          <w:sz w:val="20"/>
          <w:szCs w:val="20"/>
          <w:color w:val="auto"/>
        </w:rPr>
        <w:t>or equitable right, remedy or claim under or in respect of or by virtue of this Warrant or any provisions herein contained.</w:t>
      </w:r>
    </w:p>
    <w:p>
      <w:pPr>
        <w:spacing w:after="0" w:line="163" w:lineRule="exact"/>
        <w:rPr>
          <w:sz w:val="20"/>
          <w:szCs w:val="20"/>
          <w:color w:val="auto"/>
        </w:rPr>
      </w:pPr>
    </w:p>
    <w:p>
      <w:pPr>
        <w:ind w:firstLine="642"/>
        <w:spacing w:after="0" w:line="230" w:lineRule="auto"/>
        <w:rPr>
          <w:sz w:val="20"/>
          <w:szCs w:val="20"/>
          <w:color w:val="auto"/>
        </w:rPr>
      </w:pPr>
      <w:r>
        <w:rPr>
          <w:rFonts w:ascii="Times New Roman" w:cs="Times New Roman" w:eastAsia="Times New Roman" w:hAnsi="Times New Roman"/>
          <w:sz w:val="20"/>
          <w:szCs w:val="20"/>
          <w:color w:val="010000"/>
        </w:rPr>
        <w:t xml:space="preserve">14.5 </w:t>
      </w:r>
      <w:r>
        <w:rPr>
          <w:rFonts w:ascii="Times New Roman" w:cs="Times New Roman" w:eastAsia="Times New Roman" w:hAnsi="Times New Roman"/>
          <w:sz w:val="20"/>
          <w:szCs w:val="20"/>
          <w:u w:val="single" w:color="auto"/>
          <w:color w:val="000000"/>
        </w:rPr>
        <w:t>Applicable Law</w:t>
      </w:r>
      <w:r>
        <w:rPr>
          <w:rFonts w:ascii="Times New Roman" w:cs="Times New Roman" w:eastAsia="Times New Roman" w:hAnsi="Times New Roman"/>
          <w:sz w:val="20"/>
          <w:szCs w:val="20"/>
          <w:color w:val="000000"/>
        </w:rPr>
        <w:t>. This Warrant and any claim, controversy or dispute arising under or related to this Warrant shall be governed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by, and construed in accordance with the Laws of, the State of New York without regard to its principles regarding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5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14.6</w:t>
      </w:r>
      <w:r>
        <w:rPr>
          <w:sz w:val="20"/>
          <w:szCs w:val="20"/>
          <w:color w:val="auto"/>
        </w:rPr>
        <w:tab/>
      </w:r>
      <w:r>
        <w:rPr>
          <w:rFonts w:ascii="Times New Roman" w:cs="Times New Roman" w:eastAsia="Times New Roman" w:hAnsi="Times New Roman"/>
          <w:sz w:val="20"/>
          <w:szCs w:val="20"/>
          <w:u w:val="single" w:color="auto"/>
          <w:color w:val="auto"/>
        </w:rPr>
        <w:t>Jurisdiction</w:t>
      </w:r>
      <w:r>
        <w:rPr>
          <w:rFonts w:ascii="Times New Roman" w:cs="Times New Roman" w:eastAsia="Times New Roman" w:hAnsi="Times New Roman"/>
          <w:sz w:val="20"/>
          <w:szCs w:val="20"/>
          <w:color w:val="auto"/>
        </w:rPr>
        <w:t>. Each party hereto hereby irrevocably and unconditionally submits to the exclusive jurisdiction of the Supreme</w:t>
      </w:r>
    </w:p>
    <w:p>
      <w:pPr>
        <w:spacing w:after="0" w:line="213" w:lineRule="auto"/>
        <w:rPr>
          <w:sz w:val="20"/>
          <w:szCs w:val="20"/>
          <w:color w:val="auto"/>
        </w:rPr>
      </w:pPr>
      <w:r>
        <w:rPr>
          <w:rFonts w:ascii="Times New Roman" w:cs="Times New Roman" w:eastAsia="Times New Roman" w:hAnsi="Times New Roman"/>
          <w:sz w:val="19"/>
          <w:szCs w:val="19"/>
          <w:color w:val="auto"/>
        </w:rPr>
        <w:t>Court of the State of New York sitting in the Borough of Manhattan in the State of New York and in the federal courts in the Southern District of New York, and any appellate court from any thereof, in any action or proceeding arising out of or relating to this Warrant, or for recognition</w:t>
      </w:r>
    </w:p>
    <w:p>
      <w:pPr>
        <w:spacing w:after="0" w:line="237" w:lineRule="auto"/>
        <w:rPr>
          <w:sz w:val="20"/>
          <w:szCs w:val="20"/>
          <w:color w:val="auto"/>
        </w:rPr>
      </w:pPr>
      <w:r>
        <w:rPr>
          <w:rFonts w:ascii="Times New Roman" w:cs="Times New Roman" w:eastAsia="Times New Roman" w:hAnsi="Times New Roman"/>
          <w:sz w:val="19"/>
          <w:szCs w:val="19"/>
          <w:color w:val="auto"/>
        </w:rPr>
        <w:t>or enforcement of any judgment in connection therewith, and each party hereto hereby irrevocably and unconditionally agrees that all claims in respect of any such action or proceeding may be heard and determined in such courts, to the fullest extent permitted by applicable Law.</w:t>
      </w:r>
    </w:p>
    <w:p>
      <w:pPr>
        <w:spacing w:after="0" w:line="148" w:lineRule="exact"/>
        <w:rPr>
          <w:sz w:val="20"/>
          <w:szCs w:val="20"/>
          <w:color w:val="auto"/>
        </w:rPr>
      </w:pPr>
    </w:p>
    <w:p>
      <w:pPr>
        <w:ind w:firstLine="642"/>
        <w:spacing w:after="0" w:line="220" w:lineRule="auto"/>
        <w:rPr>
          <w:sz w:val="20"/>
          <w:szCs w:val="20"/>
          <w:color w:val="auto"/>
        </w:rPr>
      </w:pPr>
      <w:r>
        <w:rPr>
          <w:rFonts w:ascii="Times New Roman" w:cs="Times New Roman" w:eastAsia="Times New Roman" w:hAnsi="Times New Roman"/>
          <w:sz w:val="20"/>
          <w:szCs w:val="20"/>
          <w:color w:val="010000"/>
        </w:rPr>
        <w:t xml:space="preserve">14.7 </w:t>
      </w:r>
      <w:r>
        <w:rPr>
          <w:rFonts w:ascii="Times New Roman" w:cs="Times New Roman" w:eastAsia="Times New Roman" w:hAnsi="Times New Roman"/>
          <w:sz w:val="20"/>
          <w:szCs w:val="20"/>
          <w:u w:val="single" w:color="auto"/>
          <w:color w:val="000000"/>
        </w:rPr>
        <w:t>Waiver of Venue</w:t>
      </w:r>
      <w:r>
        <w:rPr>
          <w:rFonts w:ascii="Times New Roman" w:cs="Times New Roman" w:eastAsia="Times New Roman" w:hAnsi="Times New Roman"/>
          <w:sz w:val="20"/>
          <w:szCs w:val="20"/>
          <w:color w:val="000000"/>
        </w:rPr>
        <w:t>. Each party hereto hereby irrevocably and unconditionally waives, to the fullest extent permitted by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applicable Law, any objection which it may now or hereafter have to the laying of venue of any suit, action or proceeding arising out of or</w:t>
      </w:r>
    </w:p>
    <w:p>
      <w:pPr>
        <w:spacing w:after="0" w:line="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 xml:space="preserve">relating to this Warrant in any court referred to in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Each of the parties hereto hereby irrevocably waives, to the fullest extent permitted by applicable Law, the defense of an inconvenient forum to the maintenance of such action or proceeding in any such court.</w:t>
      </w:r>
    </w:p>
    <w:p>
      <w:pPr>
        <w:spacing w:after="0" w:line="15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14.8</w:t>
      </w:r>
      <w:r>
        <w:rPr>
          <w:sz w:val="20"/>
          <w:szCs w:val="20"/>
          <w:color w:val="auto"/>
        </w:rPr>
        <w:tab/>
      </w: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Each party hereto irrevocably consents to service of process in any action or proceeding arising out of or</w:t>
      </w:r>
    </w:p>
    <w:p>
      <w:pPr>
        <w:ind w:right="20"/>
        <w:spacing w:after="0" w:line="219" w:lineRule="auto"/>
        <w:rPr>
          <w:sz w:val="20"/>
          <w:szCs w:val="20"/>
          <w:color w:val="auto"/>
        </w:rPr>
      </w:pPr>
      <w:r>
        <w:rPr>
          <w:rFonts w:ascii="Times New Roman" w:cs="Times New Roman" w:eastAsia="Times New Roman" w:hAnsi="Times New Roman"/>
          <w:sz w:val="20"/>
          <w:szCs w:val="20"/>
          <w:color w:val="auto"/>
        </w:rPr>
        <w:t xml:space="preserve">relating to this Warrant in the manner provided for notices in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Nothing herein shall affect the right of any party hereto to serve process in any other manner permitted by applicable Law.</w:t>
      </w:r>
    </w:p>
    <w:p>
      <w:pPr>
        <w:spacing w:after="0" w:line="15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010000"/>
        </w:rPr>
        <w:t>14.9</w:t>
      </w:r>
      <w:r>
        <w:rPr>
          <w:sz w:val="20"/>
          <w:szCs w:val="20"/>
          <w:color w:val="auto"/>
        </w:rPr>
        <w:tab/>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TO THE EXTENT NOT PROHIBITED BY APPLICABLE LAW THAT CANNOT BE WAIVED,</w:t>
      </w:r>
    </w:p>
    <w:p>
      <w:pPr>
        <w:jc w:val="both"/>
        <w:spacing w:after="0" w:line="213" w:lineRule="auto"/>
        <w:rPr>
          <w:sz w:val="20"/>
          <w:szCs w:val="20"/>
          <w:color w:val="auto"/>
        </w:rPr>
      </w:pPr>
      <w:r>
        <w:rPr>
          <w:rFonts w:ascii="Times New Roman" w:cs="Times New Roman" w:eastAsia="Times New Roman" w:hAnsi="Times New Roman"/>
          <w:sz w:val="19"/>
          <w:szCs w:val="19"/>
          <w:color w:val="auto"/>
        </w:rPr>
        <w:t>EACH PARTY HEREBY IRREVOCABLY WAIVES AND COVENANTS THAT IT WILL NOT ASSERT (WHETHER AS PLAINTIFF, DEFENDANT OR OTHERWISE) ANY RIGHT TO TRIAL BY JURY IN ANY FORUM IN RESPECT OF ANY ISSUE, CLAIM,</w:t>
      </w:r>
    </w:p>
    <w:p>
      <w:pPr>
        <w:spacing w:after="0" w:line="209" w:lineRule="auto"/>
        <w:rPr>
          <w:sz w:val="20"/>
          <w:szCs w:val="20"/>
          <w:color w:val="auto"/>
        </w:rPr>
      </w:pPr>
      <w:r>
        <w:rPr>
          <w:rFonts w:ascii="Times New Roman" w:cs="Times New Roman" w:eastAsia="Times New Roman" w:hAnsi="Times New Roman"/>
          <w:sz w:val="20"/>
          <w:szCs w:val="20"/>
          <w:color w:val="auto"/>
        </w:rPr>
        <w:t>DEMAND, ACTION OR CAUSE OF ACTION ARISING IN WHOLE OR IN PART UNDER, RELATED TO, BASED ON, OR IN</w:t>
      </w:r>
    </w:p>
    <w:p>
      <w:pPr>
        <w:spacing w:after="0" w:line="202" w:lineRule="auto"/>
        <w:rPr>
          <w:sz w:val="20"/>
          <w:szCs w:val="20"/>
          <w:color w:val="auto"/>
        </w:rPr>
      </w:pPr>
      <w:r>
        <w:rPr>
          <w:rFonts w:ascii="Times New Roman" w:cs="Times New Roman" w:eastAsia="Times New Roman" w:hAnsi="Times New Roman"/>
          <w:sz w:val="20"/>
          <w:szCs w:val="20"/>
          <w:color w:val="auto"/>
        </w:rPr>
        <w:t>CONNECTION WITH, THIS WARRANT OR THE SUBJECT MATTER HEREOF, WHETHER NOW EXISTING OR HEREAFTER ARISING AND WHETHER SOUNDING IN TORT OR CONTRACT OR OTHERWISE. ANY PARTY MAY FILE AN ORIGINAL</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0"/>
          <w:szCs w:val="20"/>
          <w:color w:val="auto"/>
        </w:rPr>
        <w:t xml:space="preserve">COUNTERPART OR A COPY OF THIS </w:t>
      </w:r>
      <w:r>
        <w:rPr>
          <w:rFonts w:ascii="Times New Roman" w:cs="Times New Roman" w:eastAsia="Times New Roman" w:hAnsi="Times New Roman"/>
          <w:sz w:val="20"/>
          <w:szCs w:val="20"/>
          <w:u w:val="single" w:color="auto"/>
          <w:color w:val="auto"/>
        </w:rPr>
        <w:t>SECTION 14.9</w:t>
      </w:r>
      <w:r>
        <w:rPr>
          <w:rFonts w:ascii="Times New Roman" w:cs="Times New Roman" w:eastAsia="Times New Roman" w:hAnsi="Times New Roman"/>
          <w:sz w:val="20"/>
          <w:szCs w:val="20"/>
          <w:color w:val="auto"/>
        </w:rPr>
        <w:t xml:space="preserve"> WITH ANY COURT AS WRITTEN EVIDENCE OF THE CONSENT OF EACH SUCH PARTY TO THE WAIVER OF ITS RIGHT TO TRIAL BY JURY.</w:t>
      </w:r>
    </w:p>
    <w:p>
      <w:pPr>
        <w:spacing w:after="0" w:line="153"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0"/>
          <w:szCs w:val="20"/>
          <w:color w:val="010000"/>
        </w:rPr>
        <w:t>14.10</w:t>
      </w:r>
      <w:r>
        <w:rPr>
          <w:sz w:val="20"/>
          <w:szCs w:val="20"/>
          <w:color w:val="auto"/>
        </w:rPr>
        <w:tab/>
      </w:r>
      <w:r>
        <w:rPr>
          <w:rFonts w:ascii="Times New Roman" w:cs="Times New Roman" w:eastAsia="Times New Roman" w:hAnsi="Times New Roman"/>
          <w:sz w:val="20"/>
          <w:szCs w:val="20"/>
          <w:u w:val="single" w:color="auto"/>
          <w:color w:val="auto"/>
        </w:rPr>
        <w:t>Waiver, etc</w:t>
      </w:r>
      <w:r>
        <w:rPr>
          <w:rFonts w:ascii="Times New Roman" w:cs="Times New Roman" w:eastAsia="Times New Roman" w:hAnsi="Times New Roman"/>
          <w:sz w:val="20"/>
          <w:szCs w:val="20"/>
          <w:color w:val="auto"/>
        </w:rPr>
        <w:t>. The failure of the Company or Holder to at any time enforce any of the provisions of this Warrant shall not be</w:t>
      </w:r>
    </w:p>
    <w:p>
      <w:pPr>
        <w:spacing w:after="0" w:line="213" w:lineRule="auto"/>
        <w:rPr>
          <w:sz w:val="20"/>
          <w:szCs w:val="20"/>
          <w:color w:val="auto"/>
        </w:rPr>
      </w:pPr>
      <w:r>
        <w:rPr>
          <w:rFonts w:ascii="Times New Roman" w:cs="Times New Roman" w:eastAsia="Times New Roman" w:hAnsi="Times New Roman"/>
          <w:sz w:val="19"/>
          <w:szCs w:val="19"/>
          <w:color w:val="auto"/>
        </w:rPr>
        <w:t>deemed or construed to be a waiver of any such provision, nor to in any way affect the validity of this Warrant or any provision hereof or the right of the Company or Holder to thereafter enforce each and every provision of this Warrant. No waiver of any breach, non-compliance or</w:t>
      </w:r>
    </w:p>
    <w:p>
      <w:pPr>
        <w:spacing w:after="0" w:line="209" w:lineRule="auto"/>
        <w:rPr>
          <w:sz w:val="20"/>
          <w:szCs w:val="20"/>
          <w:color w:val="auto"/>
        </w:rPr>
      </w:pPr>
      <w:r>
        <w:rPr>
          <w:rFonts w:ascii="Times New Roman" w:cs="Times New Roman" w:eastAsia="Times New Roman" w:hAnsi="Times New Roman"/>
          <w:sz w:val="20"/>
          <w:szCs w:val="20"/>
          <w:color w:val="auto"/>
        </w:rPr>
        <w:t>non-fulfillment of any of the provisions of this Warrant shall be effective unless set forth in a written instrument executed by the party or</w:t>
      </w:r>
    </w:p>
    <w:p>
      <w:pPr>
        <w:spacing w:after="0" w:line="219" w:lineRule="auto"/>
        <w:rPr>
          <w:sz w:val="20"/>
          <w:szCs w:val="20"/>
          <w:color w:val="auto"/>
        </w:rPr>
      </w:pPr>
      <w:r>
        <w:rPr>
          <w:rFonts w:ascii="Times New Roman" w:cs="Times New Roman" w:eastAsia="Times New Roman" w:hAnsi="Times New Roman"/>
          <w:sz w:val="20"/>
          <w:szCs w:val="20"/>
          <w:color w:val="auto"/>
        </w:rPr>
        <w:t>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56" w:lineRule="exact"/>
        <w:rPr>
          <w:sz w:val="20"/>
          <w:szCs w:val="20"/>
          <w:color w:val="auto"/>
        </w:rPr>
      </w:pPr>
    </w:p>
    <w:p>
      <w:pPr>
        <w:ind w:left="640" w:hanging="633"/>
        <w:spacing w:after="0"/>
        <w:tabs>
          <w:tab w:leader="none" w:pos="640" w:val="left"/>
        </w:tabs>
        <w:numPr>
          <w:ilvl w:val="0"/>
          <w:numId w:val="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color w:val="auto"/>
        </w:rPr>
        <w:t>. As used herein:</w:t>
      </w:r>
    </w:p>
    <w:p>
      <w:pPr>
        <w:spacing w:after="0" w:line="198" w:lineRule="exact"/>
        <w:rPr>
          <w:sz w:val="20"/>
          <w:szCs w:val="20"/>
          <w:color w:val="auto"/>
        </w:rPr>
      </w:pPr>
    </w:p>
    <w:p>
      <w:pPr>
        <w:jc w:val="both"/>
        <w:ind w:firstLine="642"/>
        <w:spacing w:after="0" w:line="26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Affiliate</w:t>
      </w:r>
      <w:r>
        <w:rPr>
          <w:rFonts w:ascii="Times New Roman" w:cs="Times New Roman" w:eastAsia="Times New Roman" w:hAnsi="Times New Roman"/>
          <w:sz w:val="20"/>
          <w:szCs w:val="20"/>
          <w:color w:val="auto"/>
        </w:rPr>
        <w:t>” means, with respect to any Person, any other Person that directly, or indirectly through one or more intermediaries, Controls, is Controlled by or is under common Control with such Person.</w:t>
      </w:r>
    </w:p>
    <w:p>
      <w:pPr>
        <w:spacing w:after="0" w:line="157" w:lineRule="exact"/>
        <w:rPr>
          <w:sz w:val="20"/>
          <w:szCs w:val="20"/>
          <w:color w:val="auto"/>
        </w:rPr>
      </w:pPr>
    </w:p>
    <w:p>
      <w:pPr>
        <w:jc w:val="both"/>
        <w:ind w:firstLine="642"/>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Business Day</w:t>
      </w:r>
      <w:r>
        <w:rPr>
          <w:rFonts w:ascii="Times New Roman" w:cs="Times New Roman" w:eastAsia="Times New Roman" w:hAnsi="Times New Roman"/>
          <w:sz w:val="20"/>
          <w:szCs w:val="20"/>
          <w:color w:val="auto"/>
        </w:rPr>
        <w:t>” means any day other than a Saturday, a Sunday or a day on which the banks are authorized or required by applicable Law to close in the City of New York, New York.</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Commission</w:t>
      </w:r>
      <w:r>
        <w:rPr>
          <w:rFonts w:ascii="Times New Roman" w:cs="Times New Roman" w:eastAsia="Times New Roman" w:hAnsi="Times New Roman"/>
          <w:sz w:val="20"/>
          <w:szCs w:val="20"/>
          <w:color w:val="auto"/>
        </w:rPr>
        <w:t>” means the U.S. Securities and Exchange Commission.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Common Stock</w:t>
      </w:r>
      <w:r>
        <w:rPr>
          <w:rFonts w:ascii="Times New Roman" w:cs="Times New Roman" w:eastAsia="Times New Roman" w:hAnsi="Times New Roman"/>
          <w:sz w:val="20"/>
          <w:szCs w:val="20"/>
          <w:color w:val="auto"/>
        </w:rPr>
        <w:t>” means the common stock of the Company, par value $0.01 per share.</w:t>
      </w:r>
    </w:p>
    <w:p>
      <w:pPr>
        <w:spacing w:after="0" w:line="198"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Control</w:t>
      </w:r>
      <w:r>
        <w:rPr>
          <w:rFonts w:ascii="Times New Roman" w:cs="Times New Roman" w:eastAsia="Times New Roman" w:hAnsi="Times New Roman"/>
          <w:sz w:val="20"/>
          <w:szCs w:val="20"/>
          <w:color w:val="auto"/>
        </w:rPr>
        <w:t>” (including the terms “</w:t>
      </w:r>
      <w:r>
        <w:rPr>
          <w:rFonts w:ascii="Times New Roman" w:cs="Times New Roman" w:eastAsia="Times New Roman" w:hAnsi="Times New Roman"/>
          <w:sz w:val="20"/>
          <w:szCs w:val="20"/>
          <w:b w:val="1"/>
          <w:bCs w:val="1"/>
          <w:u w:val="single" w:color="auto"/>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u w:val="single" w:color="auto"/>
          <w:color w:val="auto"/>
        </w:rPr>
        <w:t>under common Control with</w:t>
      </w:r>
      <w:r>
        <w:rPr>
          <w:rFonts w:ascii="Times New Roman" w:cs="Times New Roman" w:eastAsia="Times New Roman" w:hAnsi="Times New Roman"/>
          <w:sz w:val="20"/>
          <w:szCs w:val="20"/>
          <w:color w:val="auto"/>
        </w:rPr>
        <w:t>”) with respect to any Person means the possession, directly or indirectly, of the power to exercise or determine the voting of more than fifty percent (50%) of the voting rights in a corporation, and, in the case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other type of entity, the right to exercise or determine the voting of more than fifty percent (50%) of the equity interests having voting rights, or otherwise to direct or cause the direction of the management and policies of such Person, whether by contract or otherwise.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1" w:lineRule="exact"/>
        <w:rPr>
          <w:sz w:val="20"/>
          <w:szCs w:val="20"/>
          <w:color w:val="auto"/>
        </w:rPr>
      </w:pPr>
    </w:p>
    <w:p>
      <w:pPr>
        <w:jc w:val="both"/>
        <w:ind w:firstLine="642"/>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Extraordinary Transaction</w:t>
      </w:r>
      <w:r>
        <w:rPr>
          <w:rFonts w:ascii="Times New Roman" w:cs="Times New Roman" w:eastAsia="Times New Roman" w:hAnsi="Times New Roman"/>
          <w:sz w:val="20"/>
          <w:szCs w:val="20"/>
          <w:color w:val="auto"/>
        </w:rPr>
        <w:t>” means, whether through one transaction or a series of related transactions, any (a) recapitalization of the Company, (b) reclassification of the capital stock of the Company (other than (i) a change in par value, from par value to no par value,</w:t>
      </w:r>
    </w:p>
    <w:p>
      <w:pPr>
        <w:spacing w:after="0" w:line="211" w:lineRule="auto"/>
        <w:rPr>
          <w:sz w:val="20"/>
          <w:szCs w:val="20"/>
          <w:color w:val="auto"/>
        </w:rPr>
      </w:pPr>
      <w:r>
        <w:rPr>
          <w:rFonts w:ascii="Times New Roman" w:cs="Times New Roman" w:eastAsia="Times New Roman" w:hAnsi="Times New Roman"/>
          <w:sz w:val="20"/>
          <w:szCs w:val="20"/>
          <w:color w:val="auto"/>
        </w:rPr>
        <w:t>from no par value to par value or (ii) as a result of a stock dividend or subdivision, split up or combination of shares of Common Stock to</w:t>
      </w:r>
    </w:p>
    <w:p>
      <w:pPr>
        <w:jc w:val="both"/>
        <w:spacing w:after="0" w:line="202" w:lineRule="auto"/>
        <w:rPr>
          <w:sz w:val="20"/>
          <w:szCs w:val="20"/>
          <w:color w:val="auto"/>
        </w:rPr>
      </w:pPr>
      <w:r>
        <w:rPr>
          <w:rFonts w:ascii="Times New Roman" w:cs="Times New Roman" w:eastAsia="Times New Roman" w:hAnsi="Times New Roman"/>
          <w:sz w:val="20"/>
          <w:szCs w:val="20"/>
          <w:color w:val="auto"/>
        </w:rPr>
        <w:t xml:space="preserve">which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applies), (c) consolidation or merger of the Company with and into another Person or of another Person with and into the Company (whether or not the Company is the surviving entity of such consolidation or merger), (d) sale or lease of all or substantially all of</w:t>
      </w:r>
    </w:p>
    <w:p>
      <w:pPr>
        <w:spacing w:after="0" w:line="221" w:lineRule="auto"/>
        <w:rPr>
          <w:sz w:val="20"/>
          <w:szCs w:val="20"/>
          <w:color w:val="auto"/>
        </w:rPr>
      </w:pPr>
      <w:r>
        <w:rPr>
          <w:rFonts w:ascii="Times New Roman" w:cs="Times New Roman" w:eastAsia="Times New Roman" w:hAnsi="Times New Roman"/>
          <w:sz w:val="19"/>
          <w:szCs w:val="19"/>
          <w:color w:val="auto"/>
        </w:rPr>
        <w:t>the Company’s assets (on a consolidated basis) or capital stock to another Person or (e) other similar transaction, in each case, that entitles the</w:t>
      </w:r>
    </w:p>
    <w:p>
      <w:pPr>
        <w:jc w:val="both"/>
        <w:spacing w:after="0" w:line="219" w:lineRule="auto"/>
        <w:rPr>
          <w:sz w:val="20"/>
          <w:szCs w:val="20"/>
          <w:color w:val="auto"/>
        </w:rPr>
      </w:pPr>
      <w:r>
        <w:rPr>
          <w:rFonts w:ascii="Times New Roman" w:cs="Times New Roman" w:eastAsia="Times New Roman" w:hAnsi="Times New Roman"/>
          <w:sz w:val="20"/>
          <w:szCs w:val="20"/>
          <w:color w:val="auto"/>
        </w:rPr>
        <w:t>holders of Common Stock to receive (either directly or upon subsequent liquidation) stock, securities or assets (including cash) with respect to or in exchange for shares of Common Stock.</w:t>
      </w:r>
    </w:p>
    <w:p>
      <w:pPr>
        <w:spacing w:after="0" w:line="156" w:lineRule="exact"/>
        <w:rPr>
          <w:sz w:val="20"/>
          <w:szCs w:val="20"/>
          <w:color w:val="auto"/>
        </w:rPr>
      </w:pPr>
    </w:p>
    <w:p>
      <w:pPr>
        <w:jc w:val="both"/>
        <w:ind w:firstLine="642"/>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Governmental Authority</w:t>
      </w:r>
      <w:r>
        <w:rPr>
          <w:rFonts w:ascii="Times New Roman" w:cs="Times New Roman" w:eastAsia="Times New Roman" w:hAnsi="Times New Roman"/>
          <w:sz w:val="20"/>
          <w:szCs w:val="20"/>
          <w:color w:val="auto"/>
        </w:rPr>
        <w:t>” means any federal, state, local or foreign government and/or any political subdivision thereof, including departments, courts, arbitrators, commissions, boards, bureaus, ministries, agencies or other instrumentalities.</w:t>
      </w:r>
    </w:p>
    <w:p>
      <w:pPr>
        <w:spacing w:after="0" w:line="144" w:lineRule="exact"/>
        <w:rPr>
          <w:sz w:val="20"/>
          <w:szCs w:val="20"/>
          <w:color w:val="auto"/>
        </w:rPr>
      </w:pPr>
    </w:p>
    <w:p>
      <w:pPr>
        <w:jc w:val="both"/>
        <w:ind w:right="20" w:firstLine="642"/>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Laws</w:t>
      </w:r>
      <w:r>
        <w:rPr>
          <w:rFonts w:ascii="Times New Roman" w:cs="Times New Roman" w:eastAsia="Times New Roman" w:hAnsi="Times New Roman"/>
          <w:sz w:val="20"/>
          <w:szCs w:val="20"/>
          <w:color w:val="auto"/>
        </w:rPr>
        <w:t>” means all laws, statutes, constitutions, rules, regulations, ordinances, orders, decrees, requirements, judgments and codes of Governmental Authorities.</w:t>
      </w:r>
    </w:p>
    <w:p>
      <w:pPr>
        <w:spacing w:after="0" w:line="171" w:lineRule="exact"/>
        <w:rPr>
          <w:sz w:val="20"/>
          <w:szCs w:val="20"/>
          <w:color w:val="auto"/>
        </w:rPr>
      </w:pPr>
    </w:p>
    <w:p>
      <w:pPr>
        <w:jc w:val="both"/>
        <w:ind w:firstLine="642"/>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Material Adverse Effect</w:t>
      </w:r>
      <w:r>
        <w:rPr>
          <w:rFonts w:ascii="Times New Roman" w:cs="Times New Roman" w:eastAsia="Times New Roman" w:hAnsi="Times New Roman"/>
          <w:sz w:val="20"/>
          <w:szCs w:val="20"/>
          <w:color w:val="auto"/>
        </w:rPr>
        <w:t>” means any material adverse effect on (a) the condition, financial or otherwise, or in the earnings, business or operations, whether or not arising from transactions in the ordinary course of business, of the Company and its subsidiaries, considered as one entity or (b) the Company’s ability to consummate the transactions contemplated hereby.</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Nasdaq</w:t>
      </w:r>
      <w:r>
        <w:rPr>
          <w:rFonts w:ascii="Times New Roman" w:cs="Times New Roman" w:eastAsia="Times New Roman" w:hAnsi="Times New Roman"/>
          <w:sz w:val="20"/>
          <w:szCs w:val="20"/>
          <w:color w:val="auto"/>
        </w:rPr>
        <w:t>” means the Nasdaq Global Select Market.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 Share Price</w:t>
      </w:r>
      <w:r>
        <w:rPr>
          <w:rFonts w:ascii="Times New Roman" w:cs="Times New Roman" w:eastAsia="Times New Roman" w:hAnsi="Times New Roman"/>
          <w:sz w:val="20"/>
          <w:szCs w:val="20"/>
          <w:color w:val="auto"/>
        </w:rPr>
        <w:t>” means: (a) if the Company’s Common Stock is traded on a securities exchange, the Per Share Price shall be</w:t>
      </w:r>
    </w:p>
    <w:p>
      <w:pPr>
        <w:jc w:val="both"/>
        <w:spacing w:after="0" w:line="202" w:lineRule="auto"/>
        <w:rPr>
          <w:sz w:val="20"/>
          <w:szCs w:val="20"/>
          <w:color w:val="auto"/>
        </w:rPr>
      </w:pPr>
      <w:r>
        <w:rPr>
          <w:rFonts w:ascii="Times New Roman" w:cs="Times New Roman" w:eastAsia="Times New Roman" w:hAnsi="Times New Roman"/>
          <w:sz w:val="20"/>
          <w:szCs w:val="20"/>
          <w:color w:val="auto"/>
        </w:rPr>
        <w:t>deemed to be the closing price of Company’s Common Stock as quoted on any exchange for the trading day immediately prior to the applicable Exercise Date, as reported by Bloomberg; (b) if the Company’s Common Stock is actively traded over-the-counter, the Per Share</w:t>
      </w:r>
    </w:p>
    <w:p>
      <w:pPr>
        <w:spacing w:after="0" w:line="210" w:lineRule="auto"/>
        <w:rPr>
          <w:sz w:val="20"/>
          <w:szCs w:val="20"/>
          <w:color w:val="auto"/>
        </w:rPr>
      </w:pPr>
      <w:r>
        <w:rPr>
          <w:rFonts w:ascii="Times New Roman" w:cs="Times New Roman" w:eastAsia="Times New Roman" w:hAnsi="Times New Roman"/>
          <w:sz w:val="20"/>
          <w:szCs w:val="20"/>
          <w:color w:val="auto"/>
        </w:rPr>
        <w:t>Price shall be deemed to be the closing bid or sales price, whichever is applicable, of the Company’s Common Stock for the trading day</w:t>
      </w:r>
    </w:p>
    <w:p>
      <w:pPr>
        <w:jc w:val="both"/>
        <w:spacing w:after="0" w:line="213" w:lineRule="auto"/>
        <w:rPr>
          <w:sz w:val="20"/>
          <w:szCs w:val="20"/>
          <w:color w:val="auto"/>
        </w:rPr>
      </w:pPr>
      <w:r>
        <w:rPr>
          <w:rFonts w:ascii="Times New Roman" w:cs="Times New Roman" w:eastAsia="Times New Roman" w:hAnsi="Times New Roman"/>
          <w:sz w:val="19"/>
          <w:szCs w:val="19"/>
          <w:color w:val="auto"/>
        </w:rPr>
        <w:t>immediately prior to the applicable Exercise Date, as reported by Bloomberg; or (c) if neither clause (a) nor (b) above is applicable, the Per Share Price shall be determined in good faith by the Board based on relevant facts and circumstances at the time of the cashless exercise under</w:t>
      </w:r>
    </w:p>
    <w:p>
      <w:pPr>
        <w:jc w:val="both"/>
        <w:ind w:right="20"/>
        <w:spacing w:after="0" w:line="226" w:lineRule="auto"/>
        <w:rPr>
          <w:sz w:val="20"/>
          <w:szCs w:val="20"/>
          <w:color w:val="auto"/>
        </w:rPr>
      </w:pP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including in the case of a change of control of the Company the consideration receivable by the holders of the Common Stock in such change of control, in each case of clauses (a) through (c) above, as may be adjusted pursuant to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jc w:val="both"/>
        <w:ind w:firstLine="642"/>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Person</w:t>
      </w:r>
      <w:r>
        <w:rPr>
          <w:rFonts w:ascii="Times New Roman" w:cs="Times New Roman" w:eastAsia="Times New Roman" w:hAnsi="Times New Roman"/>
          <w:sz w:val="20"/>
          <w:szCs w:val="20"/>
          <w:color w:val="auto"/>
        </w:rPr>
        <w:t>” (including the term “</w:t>
      </w:r>
      <w:r>
        <w:rPr>
          <w:rFonts w:ascii="Times New Roman" w:cs="Times New Roman" w:eastAsia="Times New Roman" w:hAnsi="Times New Roman"/>
          <w:sz w:val="20"/>
          <w:szCs w:val="20"/>
          <w:b w:val="1"/>
          <w:bCs w:val="1"/>
          <w:u w:val="single" w:color="auto"/>
          <w:color w:val="auto"/>
        </w:rPr>
        <w:t>Persons</w:t>
      </w:r>
      <w:r>
        <w:rPr>
          <w:rFonts w:ascii="Times New Roman" w:cs="Times New Roman" w:eastAsia="Times New Roman" w:hAnsi="Times New Roman"/>
          <w:sz w:val="20"/>
          <w:szCs w:val="20"/>
          <w:color w:val="auto"/>
        </w:rPr>
        <w:t>”) means any individual, partnership, firm, corporation, limited liability company, business trust, joint stock company, trust, unincorporated association, joint venture, Governmental Authority or other entity of whatever nature.</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Securities Act</w:t>
      </w:r>
      <w:r>
        <w:rPr>
          <w:rFonts w:ascii="Times New Roman" w:cs="Times New Roman" w:eastAsia="Times New Roman" w:hAnsi="Times New Roman"/>
          <w:sz w:val="20"/>
          <w:szCs w:val="20"/>
          <w:color w:val="auto"/>
        </w:rPr>
        <w:t>” means the Securities Act of 1933, as amended.</w:t>
      </w:r>
    </w:p>
    <w:p>
      <w:pPr>
        <w:spacing w:after="0" w:line="171" w:lineRule="exact"/>
        <w:rPr>
          <w:sz w:val="20"/>
          <w:szCs w:val="20"/>
          <w:color w:val="auto"/>
        </w:rPr>
      </w:pPr>
    </w:p>
    <w:p>
      <w:pPr>
        <w:jc w:val="both"/>
        <w:ind w:firstLine="642"/>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Transfer Agent</w:t>
      </w:r>
      <w:r>
        <w:rPr>
          <w:rFonts w:ascii="Times New Roman" w:cs="Times New Roman" w:eastAsia="Times New Roman" w:hAnsi="Times New Roman"/>
          <w:sz w:val="20"/>
          <w:szCs w:val="20"/>
          <w:color w:val="auto"/>
        </w:rPr>
        <w:t>” means Computershare Trust Company, N.A., or such other entity as the Company may designate to act as the transfer agent for its Common Stock from time to time.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Warrant to be duly executed as of the date hereof.</w:t>
      </w:r>
    </w:p>
    <w:p>
      <w:pPr>
        <w:spacing w:after="0" w:line="2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KLX ENERGY SERVICES HOLDINGS, INC.</w:t>
      </w:r>
    </w:p>
    <w:p>
      <w:pPr>
        <w:spacing w:after="0" w:line="200" w:lineRule="exact"/>
        <w:rPr>
          <w:sz w:val="20"/>
          <w:szCs w:val="20"/>
          <w:color w:val="auto"/>
        </w:rPr>
      </w:pPr>
    </w:p>
    <w:p>
      <w:pPr>
        <w:spacing w:after="0" w:line="27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By:</w:t>
      </w:r>
    </w:p>
    <w:p>
      <w:pPr>
        <w:spacing w:after="0" w:line="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 Max L. Bouthillette</w:t>
      </w:r>
    </w:p>
    <w:p>
      <w:pPr>
        <w:spacing w:after="0" w:line="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Title: Executive Vice President, General Counsel, Chief Compliance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color w:val="auto"/>
        </w:rPr>
        <w:t>[Signature Page to Warrant Agreement - KLX Energy Services Holdings, Inc.]</w:t>
      </w:r>
    </w:p>
    <w:p>
      <w:pPr>
        <w:sectPr>
          <w:pgSz w:w="11900" w:h="16838" w:orient="portrait"/>
          <w:cols w:equalWidth="0" w:num="1">
            <w:col w:w="10520"/>
          </w:cols>
          <w:pgMar w:left="960" w:top="1440" w:right="419" w:bottom="1440" w:gutter="0" w:footer="0" w:header="0"/>
        </w:sectPr>
      </w:pPr>
    </w:p>
    <w:bookmarkStart w:id="50" w:name="page51"/>
    <w:bookmarkEnd w:id="50"/>
    <w:p>
      <w:pPr>
        <w:spacing w:after="0" w:line="200" w:lineRule="exact"/>
        <w:rPr>
          <w:sz w:val="20"/>
          <w:szCs w:val="20"/>
          <w:color w:val="auto"/>
        </w:rPr>
      </w:pPr>
    </w:p>
    <w:p>
      <w:pPr>
        <w:spacing w:after="0" w:line="21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By:</w:t>
      </w:r>
    </w:p>
    <w:p>
      <w:pPr>
        <w:spacing w:after="0" w:line="1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w:t>
      </w:r>
    </w:p>
    <w:p>
      <w:pPr>
        <w:spacing w:after="0" w:line="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Warrant Agreement - Holder]</w:t>
      </w:r>
    </w:p>
    <w:p>
      <w:pPr>
        <w:sectPr>
          <w:pgSz w:w="11900" w:h="16838" w:orient="portrait"/>
          <w:cols w:equalWidth="0" w:num="1">
            <w:col w:w="9019"/>
          </w:cols>
          <w:pgMar w:left="1440" w:top="1440"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 20___</w:t>
      </w:r>
    </w:p>
    <w:p>
      <w:pPr>
        <w:spacing w:after="0" w:line="207" w:lineRule="exact"/>
        <w:rPr>
          <w:sz w:val="20"/>
          <w:szCs w:val="20"/>
          <w:color w:val="auto"/>
        </w:rPr>
      </w:pPr>
    </w:p>
    <w:p>
      <w:pPr>
        <w:ind w:firstLine="642"/>
        <w:spacing w:after="0" w:line="271" w:lineRule="auto"/>
        <w:rPr>
          <w:sz w:val="20"/>
          <w:szCs w:val="20"/>
          <w:color w:val="auto"/>
        </w:rPr>
      </w:pPr>
      <w:r>
        <w:rPr>
          <w:rFonts w:ascii="Times New Roman" w:cs="Times New Roman" w:eastAsia="Times New Roman" w:hAnsi="Times New Roman"/>
          <w:sz w:val="19"/>
          <w:szCs w:val="19"/>
          <w:color w:val="auto"/>
        </w:rPr>
        <w:t>The undersigned hereby elects irrevocably to exercise the Warrant to Purchase Common Stock (the “</w:t>
      </w:r>
      <w:r>
        <w:rPr>
          <w:rFonts w:ascii="Times New Roman" w:cs="Times New Roman" w:eastAsia="Times New Roman" w:hAnsi="Times New Roman"/>
          <w:sz w:val="19"/>
          <w:szCs w:val="19"/>
          <w:b w:val="1"/>
          <w:bCs w:val="1"/>
          <w:u w:val="single" w:color="auto"/>
          <w:color w:val="auto"/>
        </w:rPr>
        <w:t>Warrant</w:t>
      </w:r>
      <w:r>
        <w:rPr>
          <w:rFonts w:ascii="Times New Roman" w:cs="Times New Roman" w:eastAsia="Times New Roman" w:hAnsi="Times New Roman"/>
          <w:sz w:val="19"/>
          <w:szCs w:val="19"/>
          <w:color w:val="auto"/>
        </w:rPr>
        <w:t>”) attached hereto for surrender and cancellation for ______ shares of common stock, par value $0.01 per share (the “</w:t>
      </w:r>
      <w:r>
        <w:rPr>
          <w:rFonts w:ascii="Times New Roman" w:cs="Times New Roman" w:eastAsia="Times New Roman" w:hAnsi="Times New Roman"/>
          <w:sz w:val="19"/>
          <w:szCs w:val="19"/>
          <w:b w:val="1"/>
          <w:bCs w:val="1"/>
          <w:u w:val="single" w:color="auto"/>
          <w:color w:val="auto"/>
        </w:rPr>
        <w:t>Warrant Shares</w:t>
      </w:r>
      <w:r>
        <w:rPr>
          <w:rFonts w:ascii="Times New Roman" w:cs="Times New Roman" w:eastAsia="Times New Roman" w:hAnsi="Times New Roman"/>
          <w:sz w:val="19"/>
          <w:szCs w:val="19"/>
          <w:color w:val="auto"/>
        </w:rPr>
        <w:t>”), of KLX Energy Services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Holdings, Inc., a Delaware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and hereby [</w:t>
      </w:r>
      <w:r>
        <w:rPr>
          <w:rFonts w:ascii="Times New Roman" w:cs="Times New Roman" w:eastAsia="Times New Roman" w:hAnsi="Times New Roman"/>
          <w:sz w:val="20"/>
          <w:szCs w:val="20"/>
          <w:i w:val="1"/>
          <w:iCs w:val="1"/>
          <w:color w:val="auto"/>
        </w:rPr>
        <w:t>check one</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880" w:hanging="231"/>
        <w:spacing w:after="0"/>
        <w:tabs>
          <w:tab w:leader="none" w:pos="880" w:val="left"/>
        </w:tabs>
        <w:numPr>
          <w:ilvl w:val="0"/>
          <w:numId w:val="2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makes payment of $_________ (at the rate of $____ per Warrant Share) in payment of the Exercise Price pursuant thereto; or</w:t>
      </w:r>
    </w:p>
    <w:p>
      <w:pPr>
        <w:spacing w:after="0" w:line="224" w:lineRule="exact"/>
        <w:rPr>
          <w:rFonts w:ascii="MS PGothic" w:cs="MS PGothic" w:eastAsia="MS PGothic" w:hAnsi="MS PGothic"/>
          <w:sz w:val="20"/>
          <w:szCs w:val="20"/>
          <w:color w:val="auto"/>
        </w:rPr>
      </w:pPr>
    </w:p>
    <w:p>
      <w:pPr>
        <w:ind w:firstLine="649"/>
        <w:spacing w:after="0" w:line="263" w:lineRule="auto"/>
        <w:tabs>
          <w:tab w:leader="none" w:pos="865" w:val="left"/>
        </w:tabs>
        <w:numPr>
          <w:ilvl w:val="0"/>
          <w:numId w:val="2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elects to exercise the Warrant on a cashless basis and to convert its right to purchase ________ Warrant Shares under the Warrant for ______ Warrant Shares, in accordance with the following formula:</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0080" w:type="dxa"/>
            <w:vAlign w:val="bottom"/>
            <w:gridSpan w:val="3"/>
          </w:tcPr>
          <w:p>
            <w:pPr>
              <w:ind w:left="3660"/>
              <w:spacing w:after="0"/>
              <w:rPr>
                <w:sz w:val="20"/>
                <w:szCs w:val="20"/>
                <w:color w:val="auto"/>
              </w:rPr>
            </w:pPr>
            <w:r>
              <w:rPr>
                <w:rFonts w:ascii="Times New Roman" w:cs="Times New Roman" w:eastAsia="Times New Roman" w:hAnsi="Times New Roman"/>
                <w:sz w:val="20"/>
                <w:szCs w:val="20"/>
                <w:color w:val="auto"/>
              </w:rPr>
              <w:t>15.1   X = Y (A-B)</w:t>
            </w:r>
          </w:p>
        </w:tc>
      </w:tr>
      <w:tr>
        <w:trPr>
          <w:trHeight w:val="252"/>
        </w:trPr>
        <w:tc>
          <w:tcPr>
            <w:tcW w:w="500" w:type="dxa"/>
            <w:vAlign w:val="bottom"/>
          </w:tcPr>
          <w:p>
            <w:pPr>
              <w:spacing w:after="0"/>
              <w:rPr>
                <w:sz w:val="21"/>
                <w:szCs w:val="21"/>
                <w:color w:val="auto"/>
              </w:rPr>
            </w:pPr>
          </w:p>
        </w:tc>
        <w:tc>
          <w:tcPr>
            <w:tcW w:w="4640" w:type="dxa"/>
            <w:vAlign w:val="bottom"/>
          </w:tcPr>
          <w:p>
            <w:pPr>
              <w:ind w:left="4420"/>
              <w:spacing w:after="0"/>
              <w:rPr>
                <w:sz w:val="20"/>
                <w:szCs w:val="20"/>
                <w:color w:val="auto"/>
              </w:rPr>
            </w:pPr>
            <w:r>
              <w:rPr>
                <w:rFonts w:ascii="Times New Roman" w:cs="Times New Roman" w:eastAsia="Times New Roman" w:hAnsi="Times New Roman"/>
                <w:sz w:val="20"/>
                <w:szCs w:val="20"/>
                <w:color w:val="auto"/>
              </w:rPr>
              <w:t>A</w:t>
            </w:r>
          </w:p>
        </w:tc>
        <w:tc>
          <w:tcPr>
            <w:tcW w:w="660" w:type="dxa"/>
            <w:vAlign w:val="bottom"/>
            <w:tcBorders>
              <w:top w:val="single" w:sz="8" w:color="auto"/>
            </w:tcBorders>
          </w:tcPr>
          <w:p>
            <w:pPr>
              <w:spacing w:after="0"/>
              <w:rPr>
                <w:sz w:val="21"/>
                <w:szCs w:val="21"/>
                <w:color w:val="auto"/>
              </w:rPr>
            </w:pPr>
          </w:p>
        </w:tc>
        <w:tc>
          <w:tcPr>
            <w:tcW w:w="4780" w:type="dxa"/>
            <w:vAlign w:val="bottom"/>
          </w:tcPr>
          <w:p>
            <w:pPr>
              <w:spacing w:after="0"/>
              <w:rPr>
                <w:sz w:val="21"/>
                <w:szCs w:val="21"/>
                <w:color w:val="auto"/>
              </w:rPr>
            </w:pPr>
          </w:p>
        </w:tc>
      </w:tr>
      <w:tr>
        <w:trPr>
          <w:trHeight w:val="441"/>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7"/>
              </w:rPr>
              <w:t>15.2</w:t>
            </w:r>
          </w:p>
        </w:tc>
        <w:tc>
          <w:tcPr>
            <w:tcW w:w="100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Where  X = the number of Warrant Shares to be issued to Holder by the Company</w:t>
            </w:r>
          </w:p>
        </w:tc>
      </w:tr>
      <w:tr>
        <w:trPr>
          <w:trHeight w:val="227"/>
        </w:trPr>
        <w:tc>
          <w:tcPr>
            <w:tcW w:w="500" w:type="dxa"/>
            <w:vAlign w:val="bottom"/>
          </w:tcPr>
          <w:p>
            <w:pPr>
              <w:spacing w:after="0"/>
              <w:rPr>
                <w:sz w:val="19"/>
                <w:szCs w:val="19"/>
                <w:color w:val="auto"/>
              </w:rPr>
            </w:pPr>
          </w:p>
        </w:tc>
        <w:tc>
          <w:tcPr>
            <w:tcW w:w="10080" w:type="dxa"/>
            <w:vAlign w:val="bottom"/>
            <w:gridSpan w:val="3"/>
          </w:tcPr>
          <w:p>
            <w:pPr>
              <w:ind w:left="160"/>
              <w:spacing w:after="0" w:line="228" w:lineRule="exact"/>
              <w:rPr>
                <w:sz w:val="20"/>
                <w:szCs w:val="20"/>
                <w:color w:val="auto"/>
              </w:rPr>
            </w:pPr>
            <w:r>
              <w:rPr>
                <w:rFonts w:ascii="Times New Roman" w:cs="Times New Roman" w:eastAsia="Times New Roman" w:hAnsi="Times New Roman"/>
                <w:sz w:val="20"/>
                <w:szCs w:val="20"/>
                <w:color w:val="auto"/>
                <w:w w:val="98"/>
              </w:rPr>
              <w:t>15.3   Y = the number of Warrant Shares that Holder elects to purchase under the Warrant (as of the date of such calculation)</w:t>
            </w:r>
          </w:p>
        </w:tc>
      </w:tr>
      <w:tr>
        <w:trPr>
          <w:trHeight w:val="241"/>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7"/>
              </w:rPr>
              <w:t>15.4</w:t>
            </w:r>
          </w:p>
        </w:tc>
        <w:tc>
          <w:tcPr>
            <w:tcW w:w="100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A = the Per Share Price which is equal to $_______.</w:t>
            </w:r>
          </w:p>
        </w:tc>
      </w:tr>
      <w:tr>
        <w:trPr>
          <w:trHeight w:val="255"/>
        </w:trPr>
        <w:tc>
          <w:tcPr>
            <w:tcW w:w="5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7"/>
              </w:rPr>
              <w:t>15.5</w:t>
            </w:r>
          </w:p>
        </w:tc>
        <w:tc>
          <w:tcPr>
            <w:tcW w:w="100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B = the Exercise Price which is equal to $_______ per Warrant Share.</w:t>
            </w:r>
          </w:p>
        </w:tc>
      </w:tr>
    </w:tbl>
    <w:p>
      <w:pPr>
        <w:spacing w:after="0" w:line="66" w:lineRule="exact"/>
        <w:rPr>
          <w:sz w:val="20"/>
          <w:szCs w:val="20"/>
          <w:color w:val="auto"/>
        </w:rPr>
      </w:pPr>
    </w:p>
    <w:p>
      <w:pPr>
        <w:jc w:val="both"/>
        <w:ind w:firstLine="642"/>
        <w:spacing w:after="0" w:line="277" w:lineRule="auto"/>
        <w:rPr>
          <w:sz w:val="20"/>
          <w:szCs w:val="20"/>
          <w:color w:val="auto"/>
        </w:rPr>
      </w:pPr>
      <w:r>
        <w:rPr>
          <w:rFonts w:ascii="Times New Roman" w:cs="Times New Roman" w:eastAsia="Times New Roman" w:hAnsi="Times New Roman"/>
          <w:sz w:val="20"/>
          <w:szCs w:val="20"/>
          <w:color w:val="auto"/>
        </w:rPr>
        <w:t>Please issue the Warrant Shares as to which the Warrant is exercised and, if applicable, a new warrant of like tenor representing the number of Warrant Shares for which the Warrant has not been exercised.</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Capitalized terms used but not defined herein shall have the meaning ascribed to such terms in the Warrant.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w:t>
      </w:r>
    </w:p>
    <w:p>
      <w:pPr>
        <w:spacing w:after="0" w:line="23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40"/>
          </w:cols>
          <w:pgMar w:left="320" w:top="112" w:right="339" w:bottom="1440" w:gutter="0" w:footer="0" w:header="0"/>
        </w:sectPr>
      </w:pPr>
    </w:p>
    <w:bookmarkStart w:id="52" w:name="page53"/>
    <w:bookmarkEnd w:id="52"/>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VALUE RECEIVED, __________________ does hereby sell, assign and transfer unto __________________ the right to purchase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 shares of common stock, par value $0.01 per share, of KLX Energy Services Holdings, Inc., a Delaware corporation (the</w:t>
      </w:r>
    </w:p>
    <w:p>
      <w:pPr>
        <w:spacing w:after="0" w:line="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evidenced by the Warrant to Purchase Common Stock attached hereto for surrender and cancellation and does hereby authorize the Company to transfer such right on the books of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w:t>
      </w:r>
    </w:p>
    <w:p>
      <w:pPr>
        <w:spacing w:after="0" w:line="23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Warrant Agreement - Holder]</w:t>
      </w:r>
    </w:p>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J. Baker, certify that:</w:t>
      </w:r>
    </w:p>
    <w:p>
      <w:pPr>
        <w:spacing w:after="0" w:line="141" w:lineRule="exact"/>
        <w:rPr>
          <w:sz w:val="20"/>
          <w:szCs w:val="20"/>
          <w:color w:val="auto"/>
        </w:rPr>
      </w:pPr>
    </w:p>
    <w:p>
      <w:pPr>
        <w:ind w:left="680" w:right="60" w:hanging="655"/>
        <w:spacing w:after="0" w:line="235"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KLX Energy Services Holdings, Inc. (the “registrant”);</w:t>
      </w:r>
    </w:p>
    <w:p>
      <w:pPr>
        <w:spacing w:after="0" w:line="116" w:lineRule="exact"/>
        <w:rPr>
          <w:rFonts w:ascii="Times New Roman" w:cs="Times New Roman" w:eastAsia="Times New Roman" w:hAnsi="Times New Roman"/>
          <w:sz w:val="18"/>
          <w:szCs w:val="18"/>
          <w:color w:val="auto"/>
        </w:rPr>
      </w:pPr>
    </w:p>
    <w:p>
      <w:pPr>
        <w:jc w:val="both"/>
        <w:ind w:left="680" w:right="60" w:hanging="655"/>
        <w:spacing w:after="0" w:line="229"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Times New Roman" w:cs="Times New Roman" w:eastAsia="Times New Roman" w:hAnsi="Times New Roman"/>
          <w:sz w:val="18"/>
          <w:szCs w:val="18"/>
          <w:color w:val="auto"/>
        </w:rPr>
      </w:pPr>
    </w:p>
    <w:p>
      <w:pPr>
        <w:ind w:left="680" w:right="40" w:hanging="655"/>
        <w:spacing w:after="0" w:line="235"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8"/>
          <w:szCs w:val="18"/>
          <w:color w:val="auto"/>
        </w:rPr>
      </w:pPr>
    </w:p>
    <w:p>
      <w:pPr>
        <w:jc w:val="both"/>
        <w:ind w:left="680" w:right="40" w:hanging="655"/>
        <w:spacing w:after="0" w:line="224"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jc w:val="both"/>
        <w:ind w:left="1340" w:right="60" w:hanging="660"/>
        <w:spacing w:after="0" w:line="229"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40" w:right="80" w:hanging="660"/>
        <w:spacing w:after="0" w:line="227"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Times New Roman" w:cs="Times New Roman" w:eastAsia="Times New Roman" w:hAnsi="Times New Roman"/>
          <w:sz w:val="18"/>
          <w:szCs w:val="18"/>
          <w:color w:val="auto"/>
        </w:rPr>
      </w:pPr>
    </w:p>
    <w:p>
      <w:pPr>
        <w:jc w:val="both"/>
        <w:ind w:left="1340" w:right="80" w:hanging="660"/>
        <w:spacing w:after="0" w:line="224"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80" w:right="40" w:hanging="655"/>
        <w:spacing w:after="0" w:line="247"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15875</wp:posOffset>
            </wp:positionV>
            <wp:extent cx="3074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1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Christopher J. Baker</w:t>
      </w:r>
    </w:p>
    <w:p>
      <w:pPr>
        <w:spacing w:after="0" w:line="2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Geoffrey C. Stanford, certify that:</w:t>
      </w:r>
    </w:p>
    <w:p>
      <w:pPr>
        <w:spacing w:after="0" w:line="47" w:lineRule="exact"/>
        <w:rPr>
          <w:sz w:val="20"/>
          <w:szCs w:val="20"/>
          <w:color w:val="auto"/>
        </w:rPr>
      </w:pPr>
    </w:p>
    <w:p>
      <w:pPr>
        <w:ind w:left="680" w:right="60" w:hanging="655"/>
        <w:spacing w:after="0" w:line="235"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KLX Energy Services Holdings, Inc. (the “registrant”);</w:t>
      </w:r>
    </w:p>
    <w:p>
      <w:pPr>
        <w:spacing w:after="0" w:line="129" w:lineRule="exact"/>
        <w:rPr>
          <w:rFonts w:ascii="Times New Roman" w:cs="Times New Roman" w:eastAsia="Times New Roman" w:hAnsi="Times New Roman"/>
          <w:sz w:val="18"/>
          <w:szCs w:val="18"/>
          <w:color w:val="auto"/>
        </w:rPr>
      </w:pPr>
    </w:p>
    <w:p>
      <w:pPr>
        <w:jc w:val="both"/>
        <w:ind w:left="680" w:right="60" w:hanging="655"/>
        <w:spacing w:after="0" w:line="224"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8"/>
          <w:szCs w:val="18"/>
          <w:color w:val="auto"/>
        </w:rPr>
      </w:pPr>
    </w:p>
    <w:p>
      <w:pPr>
        <w:ind w:left="680" w:right="40" w:hanging="655"/>
        <w:spacing w:after="0" w:line="247"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80" w:right="40" w:hanging="655"/>
        <w:spacing w:after="0" w:line="229"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Times New Roman" w:cs="Times New Roman" w:eastAsia="Times New Roman" w:hAnsi="Times New Roman"/>
          <w:sz w:val="18"/>
          <w:szCs w:val="18"/>
          <w:color w:val="auto"/>
        </w:rPr>
      </w:pPr>
    </w:p>
    <w:p>
      <w:pPr>
        <w:jc w:val="both"/>
        <w:ind w:left="1360" w:right="20" w:hanging="653"/>
        <w:spacing w:after="0" w:line="224" w:lineRule="auto"/>
        <w:tabs>
          <w:tab w:leader="none" w:pos="13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8"/>
          <w:szCs w:val="18"/>
          <w:color w:val="auto"/>
        </w:rPr>
      </w:pPr>
    </w:p>
    <w:p>
      <w:pPr>
        <w:jc w:val="both"/>
        <w:ind w:left="1360" w:right="20" w:hanging="653"/>
        <w:spacing w:after="0" w:line="224" w:lineRule="auto"/>
        <w:tabs>
          <w:tab w:leader="none" w:pos="13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8"/>
          <w:szCs w:val="18"/>
          <w:color w:val="auto"/>
        </w:rPr>
      </w:pPr>
    </w:p>
    <w:p>
      <w:pPr>
        <w:ind w:left="1340" w:right="60" w:hanging="660"/>
        <w:spacing w:after="0" w:line="247"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340" w:right="60" w:hanging="660"/>
        <w:spacing w:after="0" w:line="229"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Times New Roman" w:cs="Times New Roman" w:eastAsia="Times New Roman" w:hAnsi="Times New Roman"/>
          <w:sz w:val="18"/>
          <w:szCs w:val="18"/>
          <w:color w:val="auto"/>
        </w:rPr>
      </w:pPr>
    </w:p>
    <w:p>
      <w:pPr>
        <w:ind w:left="680" w:right="40" w:hanging="655"/>
        <w:spacing w:after="0" w:line="247"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60" w:right="20" w:hanging="653"/>
        <w:spacing w:after="0" w:line="235" w:lineRule="auto"/>
        <w:tabs>
          <w:tab w:leader="none" w:pos="13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8"/>
          <w:szCs w:val="18"/>
          <w:color w:val="auto"/>
        </w:rPr>
      </w:pPr>
    </w:p>
    <w:p>
      <w:pPr>
        <w:ind w:left="1340" w:right="60" w:hanging="660"/>
        <w:spacing w:after="0" w:line="235" w:lineRule="auto"/>
        <w:tabs>
          <w:tab w:leader="none" w:pos="1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ind w:left="20"/>
        <w:spacing w:after="0"/>
        <w:tabs>
          <w:tab w:leader="none" w:pos="648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7"/>
          <w:szCs w:val="17"/>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15875</wp:posOffset>
            </wp:positionV>
            <wp:extent cx="30232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22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Geoffrey C. Stanford</w:t>
      </w:r>
    </w:p>
    <w:p>
      <w:pPr>
        <w:spacing w:after="0" w:line="2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Senior Vice President, Interim Chief Financial Officer and Chief</w:t>
      </w:r>
    </w:p>
    <w:p>
      <w:pPr>
        <w:ind w:left="6500"/>
        <w:spacing w:after="0"/>
        <w:rPr>
          <w:sz w:val="20"/>
          <w:szCs w:val="20"/>
          <w:color w:val="auto"/>
        </w:rPr>
      </w:pPr>
      <w:r>
        <w:rPr>
          <w:rFonts w:ascii="Times New Roman" w:cs="Times New Roman" w:eastAsia="Times New Roman" w:hAnsi="Times New Roman"/>
          <w:sz w:val="18"/>
          <w:szCs w:val="18"/>
          <w:color w:val="auto"/>
        </w:rPr>
        <w:t>Accounting Officer</w:t>
      </w:r>
    </w:p>
    <w:p>
      <w:pPr>
        <w:sectPr>
          <w:pgSz w:w="11900" w:h="16838" w:orient="portrait"/>
          <w:cols w:equalWidth="0" w:num="1">
            <w:col w:w="11240"/>
          </w:cols>
          <w:pgMar w:left="320" w:top="87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in connection with the Quarterly Report of KLX Energy Services Holdings, Inc. (the “Company”) on Form 10-Q for the period ended March 31, 2026, as filed with the Securities and Exchange Commission on the date hereof (the “Periodic Report”), I, Christopher J. Baker, as President and Chief Executive Officer of the Company, hereby certify that:</w:t>
      </w:r>
    </w:p>
    <w:p>
      <w:pPr>
        <w:spacing w:after="0" w:line="79" w:lineRule="exact"/>
        <w:rPr>
          <w:sz w:val="20"/>
          <w:szCs w:val="20"/>
          <w:color w:val="auto"/>
        </w:rPr>
      </w:pPr>
    </w:p>
    <w:p>
      <w:pPr>
        <w:ind w:left="560" w:hanging="312"/>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as amended;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J. Baker</w:t>
            </w:r>
          </w:p>
        </w:tc>
      </w:tr>
      <w:tr>
        <w:trPr>
          <w:trHeight w:val="216"/>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Baker</w:t>
            </w:r>
          </w:p>
        </w:tc>
      </w:tr>
      <w:tr>
        <w:trPr>
          <w:trHeight w:val="227"/>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3"/>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9"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in connection with the Quarterly Report of KLX Energy Services Holdings, Inc. (the “Company”) on Form 10-Q for the period ended March 31, 2026, as filed with the Securities and Exchange Commission on the date hereof (the “Periodic Report”), I, Geoffrey C. Stanford, as Interim Chief Financial Officer of the Company, hereby certify that:</w:t>
      </w:r>
    </w:p>
    <w:p>
      <w:pPr>
        <w:spacing w:after="0" w:line="95" w:lineRule="exact"/>
        <w:rPr>
          <w:sz w:val="20"/>
          <w:szCs w:val="20"/>
          <w:color w:val="auto"/>
        </w:rPr>
      </w:pPr>
    </w:p>
    <w:p>
      <w:pPr>
        <w:ind w:left="560" w:hanging="312"/>
        <w:spacing w:after="0"/>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as amended;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Geoffrey C. Stanford</w:t>
            </w:r>
          </w:p>
        </w:tc>
      </w:tr>
      <w:tr>
        <w:trPr>
          <w:trHeight w:val="216"/>
        </w:trPr>
        <w:tc>
          <w:tcPr>
            <w:tcW w:w="64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Geoffrey C. Stanford</w:t>
            </w:r>
          </w:p>
        </w:tc>
      </w:tr>
      <w:tr>
        <w:trPr>
          <w:trHeight w:val="187"/>
        </w:trPr>
        <w:tc>
          <w:tcPr>
            <w:tcW w:w="6440" w:type="dxa"/>
            <w:vAlign w:val="bottom"/>
          </w:tcPr>
          <w:p>
            <w:pPr>
              <w:spacing w:after="0"/>
              <w:rPr>
                <w:sz w:val="16"/>
                <w:szCs w:val="16"/>
                <w:color w:val="auto"/>
              </w:rPr>
            </w:pPr>
          </w:p>
        </w:tc>
        <w:tc>
          <w:tcPr>
            <w:tcW w:w="47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Senior Vice President, Interim Chief Financial Officer and Chief</w:t>
            </w:r>
          </w:p>
        </w:tc>
      </w:tr>
      <w:tr>
        <w:trPr>
          <w:trHeight w:val="227"/>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233"/>
        </w:trPr>
        <w:tc>
          <w:tcPr>
            <w:tcW w:w="64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
      <w:numFmt w:val="bullet"/>
      <w:start w:val="1"/>
    </w:lvl>
    <w:lvl w:ilvl="1">
      <w:lvlJc w:val="left"/>
      <w:lvlText w:val="%2"/>
      <w:numFmt w:val="decimal"/>
      <w:start w:val="104"/>
    </w:lvl>
  </w:abstractNum>
  <w:abstractNum w:abstractNumId="11">
    <w:nsid w:val="721DA317"/>
    <w:multiLevelType w:val="hybridMultilevel"/>
    <w:lvl w:ilvl="0">
      <w:lvlJc w:val="left"/>
      <w:lvlText w:val="**"/>
      <w:numFmt w:val="bullet"/>
      <w:start w:val="1"/>
    </w:lvl>
    <w:lvl w:ilvl="1">
      <w:lvlJc w:val="left"/>
      <w:lvlText w:val="%2"/>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3"/>
    </w:lvl>
  </w:abstractNum>
  <w:abstractNum w:abstractNumId="15">
    <w:nsid w:val="75A2A8D4"/>
    <w:multiLevelType w:val="hybridMultilevel"/>
    <w:lvl w:ilvl="0">
      <w:lvlJc w:val="left"/>
      <w:lvlText w:val="%1."/>
      <w:numFmt w:val="decimal"/>
      <w:start w:val="4"/>
    </w:lvl>
  </w:abstractNum>
  <w:abstractNum w:abstractNumId="16">
    <w:nsid w:val="8EDBDAB"/>
    <w:multiLevelType w:val="hybridMultilevel"/>
    <w:lvl w:ilvl="0">
      <w:lvlJc w:val="left"/>
      <w:lvlText w:val="%1."/>
      <w:numFmt w:val="decimal"/>
      <w:start w:val="5"/>
    </w:lvl>
  </w:abstractNum>
  <w:abstractNum w:abstractNumId="17">
    <w:nsid w:val="79838CB2"/>
    <w:multiLevelType w:val="hybridMultilevel"/>
    <w:lvl w:ilvl="0">
      <w:lvlJc w:val="left"/>
      <w:lvlText w:val="%1."/>
      <w:numFmt w:val="decimal"/>
      <w:start w:val="6"/>
    </w:lvl>
  </w:abstractNum>
  <w:abstractNum w:abstractNumId="18">
    <w:nsid w:val="4353D0CD"/>
    <w:multiLevelType w:val="hybridMultilevel"/>
    <w:lvl w:ilvl="0">
      <w:lvlJc w:val="left"/>
      <w:lvlText w:val="%1."/>
      <w:numFmt w:val="decimal"/>
      <w:start w:val="7"/>
    </w:lvl>
  </w:abstractNum>
  <w:abstractNum w:abstractNumId="19">
    <w:nsid w:val="B03E0C6"/>
    <w:multiLevelType w:val="hybridMultilevel"/>
    <w:lvl w:ilvl="0">
      <w:lvlJc w:val="left"/>
      <w:lvlText w:val="%1."/>
      <w:numFmt w:val="decimal"/>
      <w:start w:val="9"/>
    </w:lvl>
    <w:lvl w:ilvl="1">
      <w:lvlJc w:val="left"/>
      <w:lvlText w:val="(%2)"/>
      <w:numFmt w:val="lowerLetter"/>
      <w:start w:val="1"/>
    </w:lvl>
  </w:abstractNum>
  <w:abstractNum w:abstractNumId="20">
    <w:nsid w:val="189A769B"/>
    <w:multiLevelType w:val="hybridMultilevel"/>
    <w:lvl w:ilvl="0">
      <w:lvlJc w:val="left"/>
      <w:lvlText w:val="(%1)"/>
      <w:numFmt w:val="lowerLetter"/>
      <w:start w:val="6"/>
    </w:lvl>
    <w:lvl w:ilvl="1">
      <w:lvlJc w:val="left"/>
      <w:lvlText w:val="(%2)"/>
      <w:numFmt w:val="lowerLetter"/>
      <w:start w:val="35"/>
    </w:lvl>
  </w:abstractNum>
  <w:abstractNum w:abstractNumId="21">
    <w:nsid w:val="54E49EB4"/>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2">
    <w:nsid w:val="71F3245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3">
    <w:nsid w:val="2CA88611"/>
    <w:multiLevelType w:val="hybridMultilevel"/>
    <w:lvl w:ilvl="0">
      <w:lvlJc w:val="left"/>
      <w:lvlText w:val="%1"/>
      <w:numFmt w:val="decimal"/>
      <w:start w:val="1"/>
    </w:lvl>
    <w:lvl w:ilvl="1">
      <w:lvlJc w:val="left"/>
      <w:lvlText w:val="(%2)"/>
      <w:numFmt w:val="lowerLetter"/>
      <w:start w:val="4"/>
    </w:lvl>
  </w:abstractNum>
  <w:abstractNum w:abstractNumId="24">
    <w:nsid w:val="836C40E"/>
    <w:multiLevelType w:val="hybridMultilevel"/>
    <w:lvl w:ilvl="0">
      <w:lvlJc w:val="left"/>
      <w:lvlText w:val="%1."/>
      <w:numFmt w:val="decimal"/>
      <w:start w:val="11"/>
    </w:lvl>
    <w:lvl w:ilvl="1">
      <w:lvlJc w:val="left"/>
      <w:lvlText w:val="%2"/>
      <w:numFmt w:val="lowerLetter"/>
      <w:start w:val="1"/>
    </w:lvl>
  </w:abstractNum>
  <w:abstractNum w:abstractNumId="25">
    <w:nsid w:val="2901D82"/>
    <w:multiLevelType w:val="hybridMultilevel"/>
    <w:lvl w:ilvl="0">
      <w:lvlJc w:val="left"/>
      <w:lvlText w:val="%1."/>
      <w:numFmt w:val="decimal"/>
      <w:start w:val="13"/>
    </w:lvl>
  </w:abstractNum>
  <w:abstractNum w:abstractNumId="26">
    <w:nsid w:val="3A95F874"/>
    <w:multiLevelType w:val="hybridMultilevel"/>
    <w:lvl w:ilvl="0">
      <w:lvlJc w:val="left"/>
      <w:lvlText w:val="%1."/>
      <w:numFmt w:val="decimal"/>
      <w:start w:val="15"/>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1" Type="http://schemas.openxmlformats.org/officeDocument/2006/relationships/hyperlink" Target="https://www.sec.gov/Archives/edgar/data/1738827/000173882720000004/klxenergy-archarter2020.htm" TargetMode="External"/><Relationship Id="rId52" Type="http://schemas.openxmlformats.org/officeDocument/2006/relationships/hyperlink" Target="https://www.sec.gov/Archives/edgar/data/0001738827/000173882721000031/fourthamendedandrestatedby.htm" TargetMode="External"/><Relationship Id="rId53" Type="http://schemas.openxmlformats.org/officeDocument/2006/relationships/hyperlink" Target="https://www.sec.gov/Archives/edgar/data/1738827/000173882726000013/klx-firstamendmenttoin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2026-05-13T15:50:05Z</dcterms:created>
  <dcterms:modified xsi:type="dcterms:W3CDTF">2026-05-13T15:50:05Z</dcterms:modified>
</cp:coreProperties>
</file>