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2165ddefa14a.htm"/>
      <w:bookmarkStart w:id="1" w:name="ksd62165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KLX ENERGY SERVICES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903"/>
        <w:gridCol w:w="120"/>
        <w:gridCol w:w="3182"/>
      </w:tblGrid>
      <w:tr>
        <w:trPr/>
        <w:tc>
          <w:tcPr>
            <w:tcW w:w="69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sz w:val="4"/>
                <w:szCs w:val="4"/>
              </w:rPr>
            </w:pPr>
            <w:r>
              <w:rPr>
                <w:sz w:val="4"/>
                <w:szCs w:val="4"/>
              </w:rPr>
            </w:r>
          </w:p>
        </w:tc>
      </w:tr>
      <w:tr>
        <w:trPr/>
        <w:tc>
          <w:tcPr>
            <w:tcW w:w="6903" w:type="dxa"/>
            <w:tcBorders/>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30480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7905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82" w:type="dxa"/>
            <w:tcBorders/>
          </w:tcPr>
          <w:p>
            <w:pPr>
              <w:pStyle w:val="TableContents"/>
              <w:bidi w:val="0"/>
              <w:spacing w:before="0" w:after="283"/>
              <w:jc w:val="right"/>
              <w:rPr/>
            </w:pPr>
            <w:r>
              <w:rPr/>
              <w:drawing>
                <wp:inline distT="0" distB="0" distL="0" distR="0">
                  <wp:extent cx="219075" cy="219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9075" cy="219075"/>
                          </a:xfrm>
                          <a:prstGeom prst="rect">
                            <a:avLst/>
                          </a:prstGeom>
                        </pic:spPr>
                      </pic:pic>
                    </a:graphicData>
                  </a:graphic>
                </wp:inline>
              </w:drawing>
            </w:r>
            <w:r>
              <w:rPr/>
              <w:t xml:space="preserve"> </w:t>
            </w:r>
          </w:p>
        </w:tc>
      </w:tr>
      <w:tr>
        <w:trPr>
          <w:trHeight w:val="600" w:hRule="atLeast"/>
        </w:trPr>
        <w:tc>
          <w:tcPr>
            <w:tcW w:w="6903" w:type="dxa"/>
            <w:tcBorders/>
            <w:vAlign w:val="center"/>
          </w:tcPr>
          <w:p>
            <w:pPr>
              <w:pStyle w:val="TableContents"/>
              <w:bidi w:val="0"/>
              <w:spacing w:before="0" w:after="283"/>
              <w:jc w:val="left"/>
              <w:rPr>
                <w:sz w:val="4"/>
                <w:szCs w:val="4"/>
              </w:rPr>
            </w:pPr>
            <w:r>
              <w:rPr>
                <w:sz w:val="4"/>
                <w:szCs w:val="4"/>
              </w:rPr>
            </w:r>
          </w:p>
        </w:tc>
        <w:tc>
          <w:tcPr>
            <w:tcW w:w="3302" w:type="dxa"/>
            <w:gridSpan w:val="2"/>
            <w:tcBorders/>
            <w:vAlign w:val="center"/>
          </w:tcPr>
          <w:p>
            <w:pPr>
              <w:pStyle w:val="TableContents"/>
              <w:bidi w:val="0"/>
              <w:spacing w:before="0" w:after="283"/>
              <w:jc w:val="left"/>
              <w:rPr>
                <w:sz w:val="4"/>
                <w:szCs w:val="4"/>
              </w:rPr>
            </w:pPr>
            <w:r>
              <w:rPr>
                <w:sz w:val="4"/>
                <w:szCs w:val="4"/>
              </w:rPr>
            </w:r>
          </w:p>
        </w:tc>
      </w:tr>
      <w:tr>
        <w:trPr/>
        <w:tc>
          <w:tcPr>
            <w:tcW w:w="690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82" w:type="dxa"/>
            <w:tcBorders/>
          </w:tcPr>
          <w:p>
            <w:pPr>
              <w:pStyle w:val="TableContents"/>
              <w:bidi w:val="0"/>
              <w:spacing w:before="0" w:after="0"/>
              <w:jc w:val="left"/>
              <w:rPr>
                <w:rFonts w:ascii="Times New Roman" w:hAnsi="Times New Roman"/>
                <w:b/>
                <w:sz w:val="20"/>
              </w:rPr>
            </w:pPr>
            <w:r>
              <w:rPr>
                <w:rFonts w:ascii="Times New Roman" w:hAnsi="Times New Roman"/>
                <w:b/>
                <w:sz w:val="20"/>
              </w:rPr>
              <w:t>Online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Go to </w:t>
            </w:r>
            <w:r>
              <w:rPr>
                <w:rFonts w:ascii="Times New Roman" w:hAnsi="Times New Roman"/>
                <w:b/>
                <w:sz w:val="20"/>
              </w:rPr>
              <w:t xml:space="preserve">www.investorvote.com/KLXE </w:t>
            </w:r>
            <w:r>
              <w:rPr>
                <w:rFonts w:ascii="Times New Roman" w:hAnsi="Times New Roman"/>
                <w:sz w:val="20"/>
              </w:rPr>
              <w:t>or scan the QR code – login details are located in the shaded bar below.</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74"/>
        <w:gridCol w:w="121"/>
        <w:gridCol w:w="3910"/>
      </w:tblGrid>
      <w:tr>
        <w:trPr/>
        <w:tc>
          <w:tcPr>
            <w:tcW w:w="61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91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174" w:type="dxa"/>
            <w:tcBorders>
              <w:top w:val="single" w:sz="16" w:space="0" w:color="000000"/>
            </w:tcBorders>
            <w:shd w:fill="D9D9D9" w:val="clear"/>
            <w:tcMar>
              <w:top w:w="28" w:type="dxa"/>
            </w:tcMar>
            <w:vAlign w:val="center"/>
          </w:tcPr>
          <w:p>
            <w:pPr>
              <w:pStyle w:val="TableContents"/>
              <w:bidi w:val="0"/>
              <w:spacing w:before="0" w:after="283"/>
              <w:jc w:val="left"/>
              <w:rPr/>
            </w:pPr>
            <w:r>
              <w:rPr/>
              <w:t> </w:t>
            </w:r>
          </w:p>
        </w:tc>
        <w:tc>
          <w:tcPr>
            <w:tcW w:w="4031" w:type="dxa"/>
            <w:gridSpan w:val="2"/>
            <w:tcBorders>
              <w:top w:val="single" w:sz="16" w:space="0" w:color="000000"/>
            </w:tcBorders>
            <w:shd w:fill="D9D9D9" w:val="clear"/>
            <w:tcMar>
              <w:top w:w="28" w:type="dxa"/>
            </w:tcMar>
            <w:vAlign w:val="center"/>
          </w:tcPr>
          <w:p>
            <w:pPr>
              <w:pStyle w:val="TableContents"/>
              <w:bidi w:val="0"/>
              <w:spacing w:before="0" w:after="283"/>
              <w:jc w:val="left"/>
              <w:rPr/>
            </w:pPr>
            <w:r>
              <w:rPr/>
              <w:t> </w:t>
            </w:r>
          </w:p>
        </w:tc>
      </w:tr>
      <w:tr>
        <w:trPr/>
        <w:tc>
          <w:tcPr>
            <w:tcW w:w="6174" w:type="dxa"/>
            <w:tcBorders>
              <w:bottom w:val="single" w:sz="16" w:space="0" w:color="000000"/>
            </w:tcBorders>
            <w:shd w:fill="D9D9D9" w:val="clear"/>
            <w:tcMar>
              <w:bottom w:w="28" w:type="dxa"/>
            </w:tcMar>
            <w:vAlign w:val="center"/>
          </w:tcPr>
          <w:p>
            <w:pPr>
              <w:pStyle w:val="TableContents"/>
              <w:bidi w:val="0"/>
              <w:spacing w:before="0" w:after="283"/>
              <w:jc w:val="left"/>
              <w:rPr/>
            </w:pPr>
            <w:r>
              <w:rPr/>
              <w:t> </w:t>
            </w:r>
            <w:r>
              <w:rPr>
                <w:b/>
                <w:sz w:val="28"/>
              </w:rPr>
              <w:t>Stockholder Meeting Notice</w:t>
            </w:r>
          </w:p>
        </w:tc>
        <w:tc>
          <w:tcPr>
            <w:tcW w:w="121" w:type="dxa"/>
            <w:tcBorders>
              <w:bottom w:val="single" w:sz="16" w:space="0" w:color="000000"/>
            </w:tcBorders>
            <w:shd w:fill="D9D9D9" w:val="clear"/>
            <w:tcMar>
              <w:bottom w:w="28" w:type="dxa"/>
            </w:tcMar>
            <w:vAlign w:val="bottom"/>
          </w:tcPr>
          <w:p>
            <w:pPr>
              <w:pStyle w:val="TableContents"/>
              <w:bidi w:val="0"/>
              <w:spacing w:before="0" w:after="283"/>
              <w:jc w:val="left"/>
              <w:rPr/>
            </w:pPr>
            <w:r>
              <w:rPr/>
              <w:t>  </w:t>
            </w:r>
          </w:p>
        </w:tc>
        <w:tc>
          <w:tcPr>
            <w:tcW w:w="3910" w:type="dxa"/>
            <w:tcBorders>
              <w:bottom w:val="single" w:sz="16" w:space="0" w:color="000000"/>
            </w:tcBorders>
            <w:shd w:fill="D9D9D9" w:val="clear"/>
            <w:tcMar>
              <w:bottom w:w="28" w:type="dxa"/>
            </w:tcMar>
          </w:tcPr>
          <w:p>
            <w:pPr>
              <w:pStyle w:val="TableContents"/>
              <w:bidi w:val="0"/>
              <w:spacing w:before="0" w:after="283"/>
              <w:jc w:val="left"/>
              <w:rPr/>
            </w:pPr>
            <w:r>
              <w:rPr/>
              <w:drawing>
                <wp:inline distT="0" distB="0" distL="0" distR="0">
                  <wp:extent cx="2058670" cy="2908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58670" cy="29083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8"/>
        </w:rPr>
      </w:pPr>
      <w:r>
        <w:rPr>
          <w:rFonts w:ascii="Times New Roman" w:hAnsi="Times New Roman"/>
          <w:b/>
          <w:sz w:val="28"/>
        </w:rPr>
        <w:t xml:space="preserve">Important Notice Regarding the Availability of Proxy Materials for the </w:t>
      </w:r>
    </w:p>
    <w:p>
      <w:pPr>
        <w:pStyle w:val="TextBody"/>
        <w:bidi w:val="0"/>
        <w:spacing w:before="0" w:after="0"/>
        <w:jc w:val="center"/>
        <w:rPr>
          <w:rFonts w:ascii="Times New Roman" w:hAnsi="Times New Roman"/>
          <w:b/>
          <w:sz w:val="28"/>
        </w:rPr>
      </w:pPr>
      <w:r>
        <w:rPr>
          <w:rFonts w:ascii="Times New Roman" w:hAnsi="Times New Roman"/>
          <w:b/>
          <w:sz w:val="28"/>
        </w:rPr>
        <w:t xml:space="preserve">KLX Energy Services Holdings, Inc. Stockholder Meeting to be Held on May 6, 2026 </w:t>
      </w:r>
    </w:p>
    <w:p>
      <w:pPr>
        <w:pStyle w:val="TextBody"/>
        <w:bidi w:val="0"/>
        <w:spacing w:before="240" w:after="0"/>
        <w:jc w:val="left"/>
        <w:rPr>
          <w:rFonts w:ascii="Times New Roman" w:hAnsi="Times New Roman"/>
          <w:sz w:val="24"/>
        </w:rPr>
      </w:pPr>
      <w:r>
        <w:rPr>
          <w:rFonts w:ascii="Times New Roman" w:hAnsi="Times New Roman"/>
          <w:sz w:val="24"/>
        </w:rPr>
        <w:t xml:space="preserve">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w:t>
      </w:r>
    </w:p>
    <w:p>
      <w:pPr>
        <w:pStyle w:val="TextBody"/>
        <w:bidi w:val="0"/>
        <w:spacing w:before="240" w:after="0"/>
        <w:jc w:val="left"/>
        <w:rPr>
          <w:rFonts w:ascii="Times New Roman" w:hAnsi="Times New Roman"/>
          <w:b/>
          <w:sz w:val="24"/>
        </w:rPr>
      </w:pPr>
      <w:r>
        <w:rPr>
          <w:rFonts w:ascii="Times New Roman" w:hAnsi="Times New Roman"/>
          <w:b/>
          <w:sz w:val="24"/>
        </w:rPr>
        <w:t xml:space="preserve">This communication presents only an overview of the more complete proxy materials that are available to you on the Internet. We encourage you to access and review all of the important information contained in the proxy materials before voting. The Proxy Statement and 2025 Annual Report to stockholders are available at: </w:t>
      </w:r>
    </w:p>
    <w:p>
      <w:pPr>
        <w:pStyle w:val="TextBody"/>
        <w:bidi w:val="0"/>
        <w:spacing w:before="0" w:after="0"/>
        <w:jc w:val="left"/>
        <w:rPr/>
      </w:pPr>
      <w:r>
        <w:rPr/>
        <w:t> </w:t>
      </w:r>
    </w:p>
    <w:tbl>
      <w:tblPr>
        <w:tblW w:w="3500" w:type="pct"/>
        <w:jc w:val="center"/>
        <w:tblInd w:w="0" w:type="dxa"/>
        <w:tblLayout w:type="fixed"/>
        <w:tblCellMar>
          <w:top w:w="0" w:type="dxa"/>
          <w:left w:w="0" w:type="dxa"/>
          <w:bottom w:w="0" w:type="dxa"/>
          <w:right w:w="0" w:type="dxa"/>
        </w:tblCellMar>
      </w:tblPr>
      <w:tblGrid>
        <w:gridCol w:w="7143"/>
      </w:tblGrid>
      <w:tr>
        <w:trPr/>
        <w:tc>
          <w:tcPr>
            <w:tcW w:w="7143" w:type="dxa"/>
            <w:tcBorders/>
            <w:vAlign w:val="center"/>
          </w:tcPr>
          <w:p>
            <w:pPr>
              <w:pStyle w:val="TableContents"/>
              <w:bidi w:val="0"/>
              <w:spacing w:before="0" w:after="283"/>
              <w:jc w:val="left"/>
              <w:rPr>
                <w:sz w:val="4"/>
                <w:szCs w:val="4"/>
              </w:rPr>
            </w:pPr>
            <w:r>
              <w:rPr>
                <w:sz w:val="4"/>
                <w:szCs w:val="4"/>
              </w:rPr>
            </w:r>
          </w:p>
        </w:tc>
      </w:tr>
      <w:tr>
        <w:trPr/>
        <w:tc>
          <w:tcPr>
            <w:tcW w:w="7143" w:type="dxa"/>
            <w:tcBorders>
              <w:top w:val="single" w:sz="4" w:space="0" w:color="000000"/>
              <w:left w:val="single" w:sz="8" w:space="0" w:color="D9D9D9"/>
              <w:bottom w:val="single" w:sz="4" w:space="0" w:color="000000"/>
              <w:right w:val="single" w:sz="4" w:space="0" w:color="000000"/>
            </w:tcBorders>
            <w:shd w:fill="D9D9D9" w:val="clear"/>
            <w:tcMar>
              <w:top w:w="120" w:type="dxa"/>
              <w:left w:w="28" w:type="dxa"/>
              <w:bottom w:w="80" w:type="dxa"/>
              <w:right w:w="28" w:type="dxa"/>
            </w:tcMar>
          </w:tcPr>
          <w:p>
            <w:pPr>
              <w:pStyle w:val="TableContents"/>
              <w:bidi w:val="0"/>
              <w:spacing w:before="0" w:after="283"/>
              <w:jc w:val="center"/>
              <w:rPr>
                <w:b/>
              </w:rPr>
            </w:pPr>
            <w:r>
              <w:rPr>
                <w:b/>
              </w:rPr>
              <w:t>www.investorvote.com/KLXE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7"/>
        <w:gridCol w:w="105"/>
        <w:gridCol w:w="795"/>
        <w:gridCol w:w="120"/>
        <w:gridCol w:w="7918"/>
      </w:tblGrid>
      <w:tr>
        <w:trPr/>
        <w:tc>
          <w:tcPr>
            <w:tcW w:w="126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18" w:type="dxa"/>
            <w:tcBorders/>
            <w:vAlign w:val="center"/>
          </w:tcPr>
          <w:p>
            <w:pPr>
              <w:pStyle w:val="TableContents"/>
              <w:bidi w:val="0"/>
              <w:spacing w:before="0" w:after="283"/>
              <w:jc w:val="left"/>
              <w:rPr>
                <w:sz w:val="4"/>
                <w:szCs w:val="4"/>
              </w:rPr>
            </w:pPr>
            <w:r>
              <w:rPr>
                <w:sz w:val="4"/>
                <w:szCs w:val="4"/>
              </w:rPr>
            </w:r>
          </w:p>
        </w:tc>
      </w:tr>
      <w:tr>
        <w:trPr/>
        <w:tc>
          <w:tcPr>
            <w:tcW w:w="1267" w:type="dxa"/>
            <w:vMerge w:val="restart"/>
            <w:tcBorders/>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685800" cy="6203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 cy="62039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8833" w:type="dxa"/>
            <w:gridSpan w:val="3"/>
            <w:tcBorders/>
          </w:tcPr>
          <w:p>
            <w:pPr>
              <w:pStyle w:val="TableContents"/>
              <w:bidi w:val="0"/>
              <w:spacing w:before="0" w:after="283"/>
              <w:jc w:val="left"/>
              <w:rPr>
                <w:b/>
              </w:rPr>
            </w:pPr>
            <w:r>
              <w:rPr>
                <w:b/>
              </w:rPr>
              <w:t>Easy Online Access – View your proxy materials and vote.</w:t>
            </w:r>
          </w:p>
        </w:tc>
      </w:tr>
      <w:tr>
        <w:trPr/>
        <w:tc>
          <w:tcPr>
            <w:tcW w:w="1267"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sz w:val="24"/>
              </w:rPr>
            </w:pPr>
            <w:r>
              <w:rPr>
                <w:rFonts w:ascii="Times New Roman" w:hAnsi="Times New Roman"/>
                <w:b/>
                <w:sz w:val="24"/>
              </w:rPr>
              <w:t>Step 1:</w:t>
            </w:r>
          </w:p>
        </w:tc>
        <w:tc>
          <w:tcPr>
            <w:tcW w:w="120" w:type="dxa"/>
            <w:tcBorders/>
            <w:vAlign w:val="bottom"/>
          </w:tcPr>
          <w:p>
            <w:pPr>
              <w:pStyle w:val="TableContents"/>
              <w:bidi w:val="0"/>
              <w:spacing w:before="0" w:after="283"/>
              <w:jc w:val="left"/>
              <w:rPr/>
            </w:pPr>
            <w:r>
              <w:rPr/>
              <w:t>  </w:t>
            </w:r>
          </w:p>
        </w:tc>
        <w:tc>
          <w:tcPr>
            <w:tcW w:w="7918"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4"/>
              </w:rPr>
            </w:pPr>
            <w:r>
              <w:rPr>
                <w:rFonts w:ascii="Times New Roman" w:hAnsi="Times New Roman"/>
                <w:sz w:val="24"/>
              </w:rPr>
              <w:t xml:space="preserve">Go to </w:t>
            </w:r>
            <w:r>
              <w:rPr>
                <w:rFonts w:ascii="Times New Roman" w:hAnsi="Times New Roman"/>
                <w:b/>
                <w:sz w:val="24"/>
              </w:rPr>
              <w:t xml:space="preserve">www.investorvote.com/KLXE. </w:t>
            </w:r>
          </w:p>
        </w:tc>
      </w:tr>
      <w:tr>
        <w:trPr/>
        <w:tc>
          <w:tcPr>
            <w:tcW w:w="1267"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left"/>
              <w:rPr>
                <w:b/>
              </w:rPr>
            </w:pPr>
            <w:r>
              <w:rPr>
                <w:b/>
              </w:rPr>
              <w:t>Step 2:</w:t>
            </w:r>
          </w:p>
        </w:tc>
        <w:tc>
          <w:tcPr>
            <w:tcW w:w="120" w:type="dxa"/>
            <w:tcBorders/>
            <w:vAlign w:val="bottom"/>
          </w:tcPr>
          <w:p>
            <w:pPr>
              <w:pStyle w:val="TableContents"/>
              <w:bidi w:val="0"/>
              <w:spacing w:before="0" w:after="283"/>
              <w:jc w:val="left"/>
              <w:rPr/>
            </w:pPr>
            <w:r>
              <w:rPr/>
              <w:t>  </w:t>
            </w:r>
          </w:p>
        </w:tc>
        <w:tc>
          <w:tcPr>
            <w:tcW w:w="7918" w:type="dxa"/>
            <w:tcBorders/>
          </w:tcPr>
          <w:p>
            <w:pPr>
              <w:pStyle w:val="TableContents"/>
              <w:bidi w:val="0"/>
              <w:spacing w:before="0" w:after="283"/>
              <w:jc w:val="left"/>
              <w:rPr/>
            </w:pPr>
            <w:r>
              <w:rPr/>
              <w:t>Click on the icon on the right to view meeting materials.</w:t>
            </w:r>
          </w:p>
        </w:tc>
      </w:tr>
      <w:tr>
        <w:trPr/>
        <w:tc>
          <w:tcPr>
            <w:tcW w:w="1267"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left"/>
              <w:rPr>
                <w:b/>
              </w:rPr>
            </w:pPr>
            <w:r>
              <w:rPr>
                <w:b/>
              </w:rPr>
              <w:t>Step 3:</w:t>
            </w:r>
          </w:p>
        </w:tc>
        <w:tc>
          <w:tcPr>
            <w:tcW w:w="120" w:type="dxa"/>
            <w:tcBorders/>
            <w:vAlign w:val="bottom"/>
          </w:tcPr>
          <w:p>
            <w:pPr>
              <w:pStyle w:val="TableContents"/>
              <w:bidi w:val="0"/>
              <w:spacing w:before="0" w:after="283"/>
              <w:jc w:val="left"/>
              <w:rPr/>
            </w:pPr>
            <w:r>
              <w:rPr/>
              <w:t>  </w:t>
            </w:r>
          </w:p>
        </w:tc>
        <w:tc>
          <w:tcPr>
            <w:tcW w:w="7918" w:type="dxa"/>
            <w:tcBorders/>
          </w:tcPr>
          <w:p>
            <w:pPr>
              <w:pStyle w:val="TableContents"/>
              <w:bidi w:val="0"/>
              <w:spacing w:before="0" w:after="283"/>
              <w:jc w:val="left"/>
              <w:rPr/>
            </w:pPr>
            <w:r>
              <w:rPr/>
              <w:t>Return to the investorvote.com window and follow the instructions on the screen to log in.</w:t>
            </w:r>
          </w:p>
        </w:tc>
      </w:tr>
      <w:tr>
        <w:trPr/>
        <w:tc>
          <w:tcPr>
            <w:tcW w:w="1267"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left"/>
              <w:rPr>
                <w:b/>
              </w:rPr>
            </w:pPr>
            <w:r>
              <w:rPr>
                <w:b/>
              </w:rPr>
              <w:t>Step 4:</w:t>
            </w:r>
          </w:p>
        </w:tc>
        <w:tc>
          <w:tcPr>
            <w:tcW w:w="120" w:type="dxa"/>
            <w:tcBorders/>
            <w:vAlign w:val="bottom"/>
          </w:tcPr>
          <w:p>
            <w:pPr>
              <w:pStyle w:val="TableContents"/>
              <w:bidi w:val="0"/>
              <w:spacing w:before="0" w:after="283"/>
              <w:jc w:val="left"/>
              <w:rPr/>
            </w:pPr>
            <w:r>
              <w:rPr/>
              <w:t>  </w:t>
            </w:r>
          </w:p>
        </w:tc>
        <w:tc>
          <w:tcPr>
            <w:tcW w:w="7918" w:type="dxa"/>
            <w:tcBorders/>
          </w:tcPr>
          <w:p>
            <w:pPr>
              <w:pStyle w:val="TableContents"/>
              <w:bidi w:val="0"/>
              <w:spacing w:before="0" w:after="283"/>
              <w:jc w:val="left"/>
              <w:rPr/>
            </w:pPr>
            <w:r>
              <w:rPr/>
              <w:t>Make your selections as instructed on each screen for your delivery preferences.</w:t>
            </w:r>
          </w:p>
        </w:tc>
      </w:tr>
      <w:tr>
        <w:trPr/>
        <w:tc>
          <w:tcPr>
            <w:tcW w:w="1267"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left"/>
              <w:rPr>
                <w:b/>
              </w:rPr>
            </w:pPr>
            <w:r>
              <w:rPr>
                <w:b/>
              </w:rPr>
              <w:t>Step 5:</w:t>
            </w:r>
          </w:p>
        </w:tc>
        <w:tc>
          <w:tcPr>
            <w:tcW w:w="120" w:type="dxa"/>
            <w:tcBorders/>
            <w:vAlign w:val="bottom"/>
          </w:tcPr>
          <w:p>
            <w:pPr>
              <w:pStyle w:val="TableContents"/>
              <w:bidi w:val="0"/>
              <w:spacing w:before="0" w:after="283"/>
              <w:jc w:val="left"/>
              <w:rPr/>
            </w:pPr>
            <w:r>
              <w:rPr/>
              <w:t>  </w:t>
            </w:r>
          </w:p>
        </w:tc>
        <w:tc>
          <w:tcPr>
            <w:tcW w:w="7918" w:type="dxa"/>
            <w:tcBorders/>
          </w:tcPr>
          <w:p>
            <w:pPr>
              <w:pStyle w:val="TableContents"/>
              <w:bidi w:val="0"/>
              <w:spacing w:before="0" w:after="283"/>
              <w:jc w:val="left"/>
              <w:rPr/>
            </w:pPr>
            <w:r>
              <w:rPr/>
              <w:t>Vote your shares.</w:t>
            </w:r>
          </w:p>
        </w:tc>
      </w:tr>
    </w:tbl>
    <w:p>
      <w:pPr>
        <w:pStyle w:val="TextBody"/>
        <w:bidi w:val="0"/>
        <w:spacing w:before="360" w:after="0"/>
        <w:jc w:val="left"/>
        <w:rPr>
          <w:rFonts w:ascii="Times New Roman" w:hAnsi="Times New Roman"/>
          <w:b/>
          <w:sz w:val="23"/>
        </w:rPr>
      </w:pPr>
      <w:r>
        <w:rPr>
          <w:rFonts w:ascii="Times New Roman" w:hAnsi="Times New Roman"/>
          <w:b/>
          <w:sz w:val="23"/>
        </w:rPr>
        <w:t xml:space="preserve">When you go online, you can also help the environment by consenting to receive electronic delivery of future materials.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1"/>
        <w:gridCol w:w="102"/>
        <w:gridCol w:w="8982"/>
      </w:tblGrid>
      <w:tr>
        <w:trPr/>
        <w:tc>
          <w:tcPr>
            <w:tcW w:w="112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r>
      <w:tr>
        <w:trPr/>
        <w:tc>
          <w:tcPr>
            <w:tcW w:w="1121" w:type="dxa"/>
            <w:tcBorders/>
          </w:tcPr>
          <w:p>
            <w:pPr>
              <w:pStyle w:val="TableContents"/>
              <w:bidi w:val="0"/>
              <w:spacing w:before="0" w:after="0"/>
              <w:jc w:val="left"/>
              <w:rPr/>
            </w:pPr>
            <w:r>
              <w:rPr/>
              <w:drawing>
                <wp:inline distT="0" distB="0" distL="0" distR="0">
                  <wp:extent cx="492760"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92760" cy="56197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sz w:val="18"/>
              </w:rPr>
            </w:pPr>
            <w:r>
              <w:rPr>
                <w:rFonts w:ascii="Times New Roman" w:hAnsi="Times New Roman"/>
                <w:b/>
                <w:sz w:val="18"/>
              </w:rPr>
              <w:t>Obtaining a Copy of the Proxy Materials – If you want to receive a copy of the proxy materials, you must request one. There is no charge to you for requesting a copy. Please make your request as instructed on the reverse side on or before April 24, 2026 to facilitate timely delivery. Proxy Materials Available to View or Receive: 1. Notice of Annual Meeting of Stockholders, 2. Proxy Statement and Proxy Card and 3. 2025 Annual Report to Stockholders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00"/>
        <w:gridCol w:w="120"/>
        <w:gridCol w:w="2298"/>
        <w:gridCol w:w="120"/>
        <w:gridCol w:w="2229"/>
        <w:gridCol w:w="120"/>
        <w:gridCol w:w="2218"/>
      </w:tblGrid>
      <w:tr>
        <w:trPr/>
        <w:tc>
          <w:tcPr>
            <w:tcW w:w="31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3100" w:type="dxa"/>
            <w:tcBorders/>
          </w:tcPr>
          <w:p>
            <w:pPr>
              <w:pStyle w:val="TableContents"/>
              <w:bidi w:val="0"/>
              <w:spacing w:before="0" w:after="283"/>
              <w:jc w:val="left"/>
              <w:rPr/>
            </w:pPr>
            <w:r>
              <w:rPr/>
              <w:drawing>
                <wp:inline distT="0" distB="0" distL="0" distR="0">
                  <wp:extent cx="202565" cy="2133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2565" cy="21336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98" w:type="dxa"/>
            <w:tcBorders/>
            <w:vAlign w:val="bottom"/>
          </w:tcPr>
          <w:p>
            <w:pPr>
              <w:pStyle w:val="TableContents"/>
              <w:bidi w:val="0"/>
              <w:spacing w:before="0" w:after="283"/>
              <w:jc w:val="center"/>
              <w:rPr/>
            </w:pPr>
            <w:r>
              <w:rPr/>
              <w:t>2 N O T</w:t>
            </w:r>
          </w:p>
        </w:tc>
        <w:tc>
          <w:tcPr>
            <w:tcW w:w="120" w:type="dxa"/>
            <w:tcBorders/>
            <w:vAlign w:val="bottom"/>
          </w:tcPr>
          <w:p>
            <w:pPr>
              <w:pStyle w:val="TableContents"/>
              <w:bidi w:val="0"/>
              <w:spacing w:before="0" w:after="283"/>
              <w:jc w:val="left"/>
              <w:rPr/>
            </w:pPr>
            <w:r>
              <w:rPr/>
              <w:t>  </w:t>
            </w:r>
          </w:p>
        </w:tc>
        <w:tc>
          <w:tcPr>
            <w:tcW w:w="222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8" w:type="dxa"/>
            <w:tcBorders/>
          </w:tcPr>
          <w:p>
            <w:pPr>
              <w:pStyle w:val="TableContents"/>
              <w:bidi w:val="0"/>
              <w:spacing w:before="0" w:after="283"/>
              <w:jc w:val="right"/>
              <w:rPr/>
            </w:pPr>
            <w:r>
              <w:rPr/>
              <w:drawing>
                <wp:inline distT="0" distB="0" distL="0" distR="0">
                  <wp:extent cx="222250" cy="2228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22250" cy="222885"/>
                          </a:xfrm>
                          <a:prstGeom prst="rect">
                            <a:avLst/>
                          </a:prstGeom>
                        </pic:spPr>
                      </pic:pic>
                    </a:graphicData>
                  </a:graphic>
                </wp:inline>
              </w:drawing>
            </w:r>
            <w:r>
              <w:rPr/>
              <w:t xml:space="preserve"> </w:t>
            </w:r>
          </w:p>
        </w:tc>
      </w:tr>
      <w:tr>
        <w:trPr>
          <w:trHeight w:val="240" w:hRule="atLeast"/>
        </w:trPr>
        <w:tc>
          <w:tcPr>
            <w:tcW w:w="3100" w:type="dxa"/>
            <w:tcBorders/>
            <w:vAlign w:val="center"/>
          </w:tcPr>
          <w:p>
            <w:pPr>
              <w:pStyle w:val="TableContents"/>
              <w:bidi w:val="0"/>
              <w:spacing w:before="0" w:after="283"/>
              <w:jc w:val="left"/>
              <w:rPr>
                <w:sz w:val="4"/>
                <w:szCs w:val="4"/>
              </w:rPr>
            </w:pPr>
            <w:r>
              <w:rPr>
                <w:sz w:val="4"/>
                <w:szCs w:val="4"/>
              </w:rPr>
            </w:r>
          </w:p>
        </w:tc>
        <w:tc>
          <w:tcPr>
            <w:tcW w:w="2418" w:type="dxa"/>
            <w:gridSpan w:val="2"/>
            <w:tcBorders/>
            <w:vAlign w:val="center"/>
          </w:tcPr>
          <w:p>
            <w:pPr>
              <w:pStyle w:val="TableContents"/>
              <w:bidi w:val="0"/>
              <w:spacing w:before="0" w:after="283"/>
              <w:jc w:val="left"/>
              <w:rPr>
                <w:sz w:val="4"/>
                <w:szCs w:val="4"/>
              </w:rPr>
            </w:pPr>
            <w:r>
              <w:rPr>
                <w:sz w:val="4"/>
                <w:szCs w:val="4"/>
              </w:rPr>
            </w:r>
          </w:p>
        </w:tc>
        <w:tc>
          <w:tcPr>
            <w:tcW w:w="2349" w:type="dxa"/>
            <w:gridSpan w:val="2"/>
            <w:tcBorders/>
            <w:vAlign w:val="center"/>
          </w:tcPr>
          <w:p>
            <w:pPr>
              <w:pStyle w:val="TableContents"/>
              <w:bidi w:val="0"/>
              <w:spacing w:before="0" w:after="283"/>
              <w:jc w:val="left"/>
              <w:rPr>
                <w:sz w:val="4"/>
                <w:szCs w:val="4"/>
              </w:rPr>
            </w:pPr>
            <w:r>
              <w:rPr>
                <w:sz w:val="4"/>
                <w:szCs w:val="4"/>
              </w:rPr>
            </w:r>
          </w:p>
        </w:tc>
        <w:tc>
          <w:tcPr>
            <w:tcW w:w="2338" w:type="dxa"/>
            <w:gridSpan w:val="2"/>
            <w:tcBorders/>
            <w:vAlign w:val="center"/>
          </w:tcPr>
          <w:p>
            <w:pPr>
              <w:pStyle w:val="TableContents"/>
              <w:bidi w:val="0"/>
              <w:spacing w:before="0" w:after="283"/>
              <w:jc w:val="left"/>
              <w:rPr>
                <w:sz w:val="4"/>
                <w:szCs w:val="4"/>
              </w:rPr>
            </w:pPr>
            <w:r>
              <w:rPr>
                <w:sz w:val="4"/>
                <w:szCs w:val="4"/>
              </w:rPr>
            </w:r>
          </w:p>
        </w:tc>
      </w:tr>
      <w:tr>
        <w:trPr/>
        <w:tc>
          <w:tcPr>
            <w:tcW w:w="3100" w:type="dxa"/>
            <w:tcBorders/>
          </w:tcPr>
          <w:p>
            <w:pPr>
              <w:pStyle w:val="TableContents"/>
              <w:bidi w:val="0"/>
              <w:spacing w:before="0" w:after="283"/>
              <w:jc w:val="left"/>
              <w:rPr/>
            </w:pPr>
            <w:r>
              <w:rPr/>
              <w:t>             </w:t>
            </w:r>
            <w:r>
              <w:rPr>
                <w:sz w:val="12"/>
              </w:rPr>
              <w:t>049J9A</w:t>
            </w:r>
          </w:p>
        </w:tc>
        <w:tc>
          <w:tcPr>
            <w:tcW w:w="120" w:type="dxa"/>
            <w:tcBorders/>
            <w:vAlign w:val="bottom"/>
          </w:tcPr>
          <w:p>
            <w:pPr>
              <w:pStyle w:val="TableContents"/>
              <w:bidi w:val="0"/>
              <w:spacing w:before="0" w:after="283"/>
              <w:jc w:val="left"/>
              <w:rPr/>
            </w:pPr>
            <w:r>
              <w:rPr/>
              <w:t>  </w:t>
            </w:r>
          </w:p>
        </w:tc>
        <w:tc>
          <w:tcPr>
            <w:tcW w:w="22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10205" w:type="dxa"/>
            <w:tcBorders>
              <w:top w:val="single" w:sz="16" w:space="0" w:color="000000"/>
            </w:tcBorders>
            <w:shd w:fill="D6D6D6" w:val="clear"/>
            <w:tcMar>
              <w:top w:w="28" w:type="dxa"/>
            </w:tcMar>
            <w:vAlign w:val="center"/>
          </w:tcPr>
          <w:p>
            <w:pPr>
              <w:pStyle w:val="TableContents"/>
              <w:bidi w:val="0"/>
              <w:spacing w:before="0" w:after="283"/>
              <w:jc w:val="left"/>
              <w:rPr/>
            </w:pPr>
            <w:r>
              <w:rPr/>
              <w:t> </w:t>
            </w:r>
          </w:p>
        </w:tc>
      </w:tr>
      <w:tr>
        <w:trPr/>
        <w:tc>
          <w:tcPr>
            <w:tcW w:w="10205" w:type="dxa"/>
            <w:tcBorders>
              <w:bottom w:val="single" w:sz="12" w:space="0" w:color="000000"/>
            </w:tcBorders>
            <w:shd w:fill="D6D6D6" w:val="clear"/>
            <w:tcMar>
              <w:bottom w:w="60" w:type="dxa"/>
            </w:tcMar>
          </w:tcPr>
          <w:p>
            <w:pPr>
              <w:pStyle w:val="TableContents"/>
              <w:bidi w:val="0"/>
              <w:spacing w:before="0" w:after="283"/>
              <w:jc w:val="left"/>
              <w:rPr/>
            </w:pPr>
            <w:r>
              <w:rPr/>
              <w:t> </w:t>
            </w:r>
            <w:r>
              <w:rPr>
                <w:b/>
              </w:rPr>
              <w:t>Stockholder Meeting Notice</w:t>
            </w:r>
          </w:p>
        </w:tc>
      </w:tr>
    </w:tbl>
    <w:p>
      <w:pPr>
        <w:pStyle w:val="TextBody"/>
        <w:bidi w:val="0"/>
        <w:spacing w:before="160" w:after="0"/>
        <w:jc w:val="left"/>
        <w:rPr>
          <w:rFonts w:ascii="Times New Roman" w:hAnsi="Times New Roman"/>
          <w:b/>
          <w:sz w:val="24"/>
        </w:rPr>
      </w:pPr>
      <w:r>
        <w:rPr>
          <w:rFonts w:ascii="Times New Roman" w:hAnsi="Times New Roman"/>
          <w:b/>
          <w:sz w:val="24"/>
        </w:rPr>
        <w:t xml:space="preserve">KLX Energy Services Holdings, Inc.’s Annual Meeting of Stockholders will be held on May 6, 2026 at 9:00 a.m. CDT, virtually via the Internet at meetnow.global/MXZW7V6. To access the virtual meeting, you must have the information that is printed in the shaded bar located on the reverse side of this form. </w:t>
      </w:r>
    </w:p>
    <w:p>
      <w:pPr>
        <w:pStyle w:val="TextBody"/>
        <w:bidi w:val="0"/>
        <w:spacing w:before="240" w:after="0"/>
        <w:jc w:val="left"/>
        <w:rPr>
          <w:rFonts w:ascii="Times New Roman" w:hAnsi="Times New Roman"/>
          <w:b/>
          <w:sz w:val="20"/>
        </w:rPr>
      </w:pPr>
      <w:r>
        <w:rPr>
          <w:rFonts w:ascii="Times New Roman" w:hAnsi="Times New Roman"/>
          <w:b/>
          <w:sz w:val="20"/>
        </w:rPr>
        <w:t xml:space="preserve">Proposals to be voted on at the meeting are listed below along with the Board of Directors’ recommendations.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a vote </w:t>
      </w:r>
      <w:r>
        <w:rPr>
          <w:rFonts w:ascii="Times New Roman" w:hAnsi="Times New Roman"/>
          <w:b/>
          <w:sz w:val="20"/>
          <w:u w:val="single"/>
        </w:rPr>
        <w:t>FOR</w:t>
      </w:r>
      <w:r>
        <w:rPr>
          <w:rFonts w:ascii="Times New Roman" w:hAnsi="Times New Roman"/>
          <w:b/>
          <w:sz w:val="20"/>
        </w:rPr>
        <w:t xml:space="preserve"> Proposals 1 and 3 – 6, and </w:t>
      </w:r>
      <w:r>
        <w:rPr>
          <w:rFonts w:ascii="Times New Roman" w:hAnsi="Times New Roman"/>
          <w:b/>
          <w:sz w:val="20"/>
          <w:u w:val="single"/>
        </w:rPr>
        <w:t>FOR</w:t>
      </w:r>
      <w:r>
        <w:rPr>
          <w:rFonts w:ascii="Times New Roman" w:hAnsi="Times New Roman"/>
          <w:b/>
          <w:sz w:val="20"/>
        </w:rPr>
        <w:t xml:space="preserve"> the nominees listed in Proposal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9"/>
        <w:gridCol w:w="9492"/>
      </w:tblGrid>
      <w:tr>
        <w:trPr/>
        <w:tc>
          <w:tcPr>
            <w:tcW w:w="304"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Amended and Restated Certificate of Incorporation of the Company (the “Amended and Restated Certificate of Incorporation”) to declassify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5"/>
        <w:gridCol w:w="9495"/>
      </w:tblGrid>
      <w:tr>
        <w:trPr/>
        <w:tc>
          <w:tcPr>
            <w:tcW w:w="305" w:type="dxa"/>
            <w:tcBorders/>
            <w:vAlign w:val="center"/>
          </w:tcPr>
          <w:p>
            <w:pPr>
              <w:pStyle w:val="TableContents"/>
              <w:bidi w:val="0"/>
              <w:spacing w:before="0" w:after="283"/>
              <w:jc w:val="left"/>
              <w:rPr/>
            </w:pPr>
            <w:r>
              <w:rPr/>
              <w:t> </w:t>
            </w:r>
          </w:p>
        </w:tc>
        <w:tc>
          <w:tcPr>
            <w:tcW w:w="405" w:type="dxa"/>
            <w:tcBorders/>
          </w:tcPr>
          <w:p>
            <w:pPr>
              <w:pStyle w:val="TableContents"/>
              <w:bidi w:val="0"/>
              <w:spacing w:before="0" w:after="283"/>
              <w:jc w:val="left"/>
              <w:rPr/>
            </w:pPr>
            <w:r>
              <w:rPr/>
              <w:t>2.</w:t>
            </w:r>
          </w:p>
        </w:tc>
        <w:tc>
          <w:tcPr>
            <w:tcW w:w="94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elect two Class II Directors, each for a term that expires at the 2029 Annual Meeting of Stockholders (or until the 2027 Annual Meeting of Stockholders if Proposal 1 is approved and the Declassification Amendment (as defined in the accompanying proxy statement (the “Proxy Statement”)) is filed and becomes effective as described in the Proxy Statement) and until such director’s successor is duly elected or qualified;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01 - John T. Collins </w:t>
      </w:r>
    </w:p>
    <w:p>
      <w:pPr>
        <w:pStyle w:val="TextBody"/>
        <w:bidi w:val="0"/>
        <w:spacing w:before="0" w:after="0"/>
        <w:jc w:val="left"/>
        <w:rPr>
          <w:rFonts w:ascii="Times New Roman" w:hAnsi="Times New Roman"/>
          <w:sz w:val="20"/>
        </w:rPr>
      </w:pPr>
      <w:r>
        <w:rPr>
          <w:rFonts w:ascii="Times New Roman" w:hAnsi="Times New Roman"/>
          <w:sz w:val="20"/>
        </w:rPr>
        <w:t xml:space="preserve">02 - Danielle E. Hunter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7"/>
        <w:gridCol w:w="9493"/>
      </w:tblGrid>
      <w:tr>
        <w:trPr/>
        <w:tc>
          <w:tcPr>
            <w:tcW w:w="30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non-binding basis, the compensation of the Company’s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7"/>
        <w:gridCol w:w="9493"/>
      </w:tblGrid>
      <w:tr>
        <w:trPr/>
        <w:tc>
          <w:tcPr>
            <w:tcW w:w="30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Amended and Restated Certificate of Incorporation to eliminate the supermajority voting requirement to amend the Company’s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3"/>
        <w:gridCol w:w="407"/>
        <w:gridCol w:w="9495"/>
      </w:tblGrid>
      <w:tr>
        <w:trPr/>
        <w:tc>
          <w:tcPr>
            <w:tcW w:w="30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94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Amended and Restated Certificate of Incorporation to eliminate the supermajority voting requirement to amend the Company’s certificate of incorporation;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7"/>
        <w:gridCol w:w="9493"/>
      </w:tblGrid>
      <w:tr>
        <w:trPr/>
        <w:tc>
          <w:tcPr>
            <w:tcW w:w="30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ratify the selection of Deloitte &amp; Touche LLP to serve as the Company’s independent auditor for the fiscal year ending December 31, 2026. </w:t>
            </w:r>
          </w:p>
        </w:tc>
      </w:tr>
    </w:tbl>
    <w:p>
      <w:pPr>
        <w:pStyle w:val="TextBody"/>
        <w:bidi w:val="0"/>
        <w:spacing w:before="12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To take action as appropriate upon such other matters that may be properly presented at the Annual Meeting or at any and all adjournments or postponements thereof. </w:t>
      </w:r>
    </w:p>
    <w:p>
      <w:pPr>
        <w:pStyle w:val="TextBody"/>
        <w:bidi w:val="0"/>
        <w:spacing w:before="240" w:after="0"/>
        <w:jc w:val="left"/>
        <w:rPr>
          <w:rFonts w:ascii="Times New Roman" w:hAnsi="Times New Roman"/>
          <w:b/>
          <w:sz w:val="20"/>
        </w:rPr>
      </w:pPr>
      <w:r>
        <w:rPr>
          <w:rFonts w:ascii="Times New Roman" w:hAnsi="Times New Roman"/>
          <w:b/>
          <w:sz w:val="20"/>
        </w:rPr>
        <w:t xml:space="preserve">PLEASE NOTE - YOU CANNOT VOTE BY RETURNING THIS NOTICE. To vote your shares you must go online or request a paper copy of the proxy materials to receive a proxy card.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8"/>
        <w:gridCol w:w="132"/>
        <w:gridCol w:w="141"/>
        <w:gridCol w:w="216"/>
        <w:gridCol w:w="8808"/>
      </w:tblGrid>
      <w:tr>
        <w:trPr/>
        <w:tc>
          <w:tcPr>
            <w:tcW w:w="908"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8808" w:type="dxa"/>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drawing>
                <wp:inline distT="0" distB="0" distL="0" distR="0">
                  <wp:extent cx="485775" cy="552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85775" cy="552450"/>
                          </a:xfrm>
                          <a:prstGeom prst="rect">
                            <a:avLst/>
                          </a:prstGeom>
                        </pic:spPr>
                      </pic:pic>
                    </a:graphicData>
                  </a:graphic>
                </wp:inline>
              </w:drawing>
            </w:r>
            <w:r>
              <w:rPr/>
              <w:t xml:space="preserve">  </w:t>
            </w:r>
          </w:p>
        </w:tc>
        <w:tc>
          <w:tcPr>
            <w:tcW w:w="132" w:type="dxa"/>
            <w:tcBorders/>
            <w:vAlign w:val="bottom"/>
          </w:tcPr>
          <w:p>
            <w:pPr>
              <w:pStyle w:val="TableContents"/>
              <w:bidi w:val="0"/>
              <w:spacing w:before="0" w:after="283"/>
              <w:jc w:val="left"/>
              <w:rPr/>
            </w:pPr>
            <w:r>
              <w:rPr/>
              <w:t>  </w:t>
            </w:r>
          </w:p>
        </w:tc>
        <w:tc>
          <w:tcPr>
            <w:tcW w:w="9165"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Here’s how to order a copy of the proxy materials and select delivery preferences: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Current and future delivery requests can be submitted using the options below.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If you request an email copy, you will receive an email with a link to the current meeting materials.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 xml:space="preserve">PLEASE NOTE: </w:t>
            </w:r>
            <w:r>
              <w:rPr>
                <w:rFonts w:ascii="Times New Roman" w:hAnsi="Times New Roman"/>
                <w:sz w:val="20"/>
              </w:rPr>
              <w:t>You must use the number in the shaded bar on the reverse side when requesting a copy of the proxy materials.</w:t>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273" w:type="dxa"/>
            <w:gridSpan w:val="2"/>
            <w:tcBorders/>
            <w:vAlign w:val="center"/>
          </w:tcPr>
          <w:p>
            <w:pPr>
              <w:pStyle w:val="TableContents"/>
              <w:bidi w:val="0"/>
              <w:spacing w:before="0" w:after="283"/>
              <w:jc w:val="left"/>
              <w:rPr>
                <w:sz w:val="4"/>
                <w:szCs w:val="4"/>
              </w:rPr>
            </w:pPr>
            <w:r>
              <w:rPr>
                <w:sz w:val="4"/>
                <w:szCs w:val="4"/>
              </w:rPr>
            </w:r>
          </w:p>
        </w:tc>
        <w:tc>
          <w:tcPr>
            <w:tcW w:w="9024"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216"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b/>
              </w:rPr>
              <w:t xml:space="preserve">Internet </w:t>
            </w:r>
            <w:r>
              <w:rPr/>
              <w:t xml:space="preserve">- Go to </w:t>
            </w:r>
            <w:r>
              <w:rPr>
                <w:b/>
              </w:rPr>
              <w:t xml:space="preserve">www.investorvote.com/KLXE. </w:t>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273" w:type="dxa"/>
            <w:gridSpan w:val="2"/>
            <w:tcBorders/>
            <w:vAlign w:val="center"/>
          </w:tcPr>
          <w:p>
            <w:pPr>
              <w:pStyle w:val="TableContents"/>
              <w:bidi w:val="0"/>
              <w:spacing w:before="0" w:after="283"/>
              <w:jc w:val="left"/>
              <w:rPr>
                <w:sz w:val="4"/>
                <w:szCs w:val="4"/>
              </w:rPr>
            </w:pPr>
            <w:r>
              <w:rPr>
                <w:sz w:val="4"/>
                <w:szCs w:val="4"/>
              </w:rPr>
            </w:r>
          </w:p>
        </w:tc>
        <w:tc>
          <w:tcPr>
            <w:tcW w:w="9024"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216"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b/>
              </w:rPr>
              <w:t xml:space="preserve">Phone </w:t>
            </w:r>
            <w:r>
              <w:rPr/>
              <w:t>- Call us free of charge at 1-866-641-4276.</w:t>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273" w:type="dxa"/>
            <w:gridSpan w:val="2"/>
            <w:tcBorders/>
            <w:vAlign w:val="center"/>
          </w:tcPr>
          <w:p>
            <w:pPr>
              <w:pStyle w:val="TableContents"/>
              <w:bidi w:val="0"/>
              <w:spacing w:before="0" w:after="283"/>
              <w:jc w:val="left"/>
              <w:rPr>
                <w:sz w:val="4"/>
                <w:szCs w:val="4"/>
              </w:rPr>
            </w:pPr>
            <w:r>
              <w:rPr>
                <w:sz w:val="4"/>
                <w:szCs w:val="4"/>
              </w:rPr>
            </w:r>
          </w:p>
        </w:tc>
        <w:tc>
          <w:tcPr>
            <w:tcW w:w="9024"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216"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b/>
              </w:rPr>
              <w:t xml:space="preserve">Email </w:t>
            </w:r>
            <w:r>
              <w:rPr/>
              <w:t>- Send an email to investorvote@computershare.com with “Proxy Materials KLX Energy Services” in the subject line. Include your full name and address, plus the number located in the shaded bar on the reverse side, and state that you want a paper copy of the meeting materials.</w:t>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273" w:type="dxa"/>
            <w:gridSpan w:val="2"/>
            <w:tcBorders/>
            <w:vAlign w:val="center"/>
          </w:tcPr>
          <w:p>
            <w:pPr>
              <w:pStyle w:val="TableContents"/>
              <w:bidi w:val="0"/>
              <w:spacing w:before="0" w:after="283"/>
              <w:jc w:val="left"/>
              <w:rPr>
                <w:sz w:val="4"/>
                <w:szCs w:val="4"/>
              </w:rPr>
            </w:pPr>
            <w:r>
              <w:rPr>
                <w:sz w:val="4"/>
                <w:szCs w:val="4"/>
              </w:rPr>
            </w:r>
          </w:p>
        </w:tc>
        <w:tc>
          <w:tcPr>
            <w:tcW w:w="9024"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t>To facilitate timely delivery, requests for a paper copy of proxy materials must be received by April 24,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5.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958</Words>
  <Characters>4915</Characters>
  <CharactersWithSpaces>5980</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