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jc w:val="both"/>
        <w:ind w:left="320" w:right="340" w:hanging="247"/>
        <w:spacing w:after="0" w:line="193" w:lineRule="auto"/>
        <w:tabs>
          <w:tab w:leader="none" w:pos="320" w:val="left"/>
        </w:tabs>
        <w:numPr>
          <w:ilvl w:val="0"/>
          <w:numId w:val="1"/>
        </w:numPr>
        <w:rPr>
          <w:rFonts w:ascii="Arial" w:cs="Arial" w:eastAsia="Arial" w:hAnsi="Arial"/>
          <w:sz w:val="23"/>
          <w:szCs w:val="23"/>
          <w:color w:val="0000FF"/>
          <w:vertAlign w:val="subscript"/>
        </w:rPr>
      </w:pPr>
      <w:r>
        <w:rPr>
          <w:rFonts w:ascii="Arial" w:cs="Arial" w:eastAsia="Arial" w:hAnsi="Arial"/>
          <w:sz w:val="9"/>
          <w:szCs w:val="9"/>
          <w:color w:val="auto"/>
        </w:rPr>
        <w:t xml:space="preserve">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-238760</wp:posOffset>
            </wp:positionV>
            <wp:extent cx="109855" cy="156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855" cy="1568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5245100</wp:posOffset>
            </wp:positionH>
            <wp:positionV relativeFrom="paragraph">
              <wp:posOffset>-579120</wp:posOffset>
            </wp:positionV>
            <wp:extent cx="7620" cy="579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9755"/>
                    </a:xfrm>
                    <a:prstGeom prst="rect">
                      <a:avLst/>
                    </a:prstGeom>
                    <a:noFill/>
                  </pic:spPr>
                </pic:pic>
              </a:graphicData>
            </a:graphic>
          </wp:anchor>
        </w:drawing>
        <w:drawing>
          <wp:anchor simplePos="0" relativeHeight="251657728" behindDoc="1" locked="0" layoutInCell="0" allowOverlap="1">
            <wp:simplePos x="0" y="0"/>
            <wp:positionH relativeFrom="column">
              <wp:posOffset>3928110</wp:posOffset>
            </wp:positionH>
            <wp:positionV relativeFrom="paragraph">
              <wp:posOffset>-586740</wp:posOffset>
            </wp:positionV>
            <wp:extent cx="7620" cy="587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737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-563245</wp:posOffset>
            </wp:positionV>
            <wp:extent cx="127698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6985" cy="5403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30480</wp:posOffset>
            </wp:positionV>
            <wp:extent cx="6974205" cy="1543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4205" cy="154368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140" w:space="520"/>
            <w:col w:w="84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gridSpan w:val="5"/>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gridSpan w:val="10"/>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4"/>
            <w:vMerge w:val="restart"/>
          </w:tcPr>
          <w:p>
            <w:pPr>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Lehner Keefer McGovern</w:t>
              </w:r>
            </w:hyperlink>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6"/>
          </w:tcPr>
          <w:p>
            <w:pPr>
              <w:ind w:left="60"/>
              <w:spacing w:after="0" w:line="99"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Quintana Energy Services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"QES"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4"/>
            <w:vMerge w:val="continue"/>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5"/>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11"/>
                <w:szCs w:val="11"/>
                <w:color w:val="auto"/>
              </w:rPr>
            </w:pPr>
          </w:p>
        </w:tc>
        <w:tc>
          <w:tcPr>
            <w:tcW w:w="1440" w:type="dxa"/>
            <w:vAlign w:val="bottom"/>
            <w:gridSpan w:val="5"/>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520" w:type="dxa"/>
            <w:vAlign w:val="bottom"/>
          </w:tcPr>
          <w:p>
            <w:pPr>
              <w:spacing w:after="0"/>
              <w:rPr>
                <w:sz w:val="6"/>
                <w:szCs w:val="6"/>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2"/>
                <w:szCs w:val="12"/>
                <w:color w:val="auto"/>
              </w:rPr>
              <w:t>(First)</w:t>
            </w: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40" w:type="dxa"/>
            <w:vAlign w:val="bottom"/>
            <w:gridSpan w:val="5"/>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5"/>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80" w:type="dxa"/>
            <w:vAlign w:val="bottom"/>
            <w:gridSpan w:val="3"/>
            <w:vMerge w:val="restart"/>
          </w:tcPr>
          <w:p>
            <w:pPr>
              <w:ind w:left="120"/>
              <w:spacing w:after="0"/>
              <w:rPr>
                <w:sz w:val="20"/>
                <w:szCs w:val="20"/>
                <w:color w:val="auto"/>
              </w:rPr>
            </w:pPr>
            <w:r>
              <w:rPr>
                <w:rFonts w:ascii="Arial" w:cs="Arial" w:eastAsia="Arial" w:hAnsi="Arial"/>
                <w:sz w:val="16"/>
                <w:szCs w:val="16"/>
                <w:color w:val="0000FF"/>
              </w:rPr>
              <w:t>See Remarks</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40" w:type="dxa"/>
            <w:vAlign w:val="bottom"/>
            <w:gridSpan w:val="6"/>
            <w:vMerge w:val="restart"/>
          </w:tcPr>
          <w:p>
            <w:pPr>
              <w:spacing w:after="0"/>
              <w:rPr>
                <w:sz w:val="20"/>
                <w:szCs w:val="20"/>
                <w:color w:val="auto"/>
              </w:rPr>
            </w:pPr>
            <w:r>
              <w:rPr>
                <w:rFonts w:ascii="Arial" w:cs="Arial" w:eastAsia="Arial" w:hAnsi="Arial"/>
                <w:sz w:val="16"/>
                <w:szCs w:val="16"/>
                <w:color w:val="0000FF"/>
              </w:rPr>
              <w:t>1415 LOUISIANA STREET, SUITE 2900</w:t>
            </w:r>
          </w:p>
        </w:tc>
        <w:tc>
          <w:tcPr>
            <w:tcW w:w="1320" w:type="dxa"/>
            <w:vAlign w:val="bottom"/>
            <w:gridSpan w:val="4"/>
            <w:vMerge w:val="restart"/>
          </w:tcPr>
          <w:p>
            <w:pPr>
              <w:ind w:left="260"/>
              <w:spacing w:after="0"/>
              <w:rPr>
                <w:sz w:val="20"/>
                <w:szCs w:val="20"/>
                <w:color w:val="auto"/>
              </w:rPr>
            </w:pPr>
            <w:r>
              <w:rPr>
                <w:rFonts w:ascii="Arial" w:cs="Arial" w:eastAsia="Arial" w:hAnsi="Arial"/>
                <w:sz w:val="16"/>
                <w:szCs w:val="16"/>
                <w:color w:val="0000FF"/>
              </w:rPr>
              <w:t>07/28/2020</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60" w:type="dxa"/>
            <w:vAlign w:val="bottom"/>
            <w:gridSpan w:val="6"/>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60" w:type="dxa"/>
            <w:vAlign w:val="bottom"/>
          </w:tcPr>
          <w:p>
            <w:pPr>
              <w:spacing w:after="0"/>
              <w:rPr>
                <w:sz w:val="12"/>
                <w:szCs w:val="12"/>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6"/>
                <w:szCs w:val="16"/>
                <w:color w:val="0000FF"/>
              </w:rPr>
              <w:t>HOUSTON</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0000FF"/>
                <w:w w:val="97"/>
              </w:rPr>
              <w:t>TX</w:t>
            </w:r>
          </w:p>
        </w:tc>
        <w:tc>
          <w:tcPr>
            <w:tcW w:w="960" w:type="dxa"/>
            <w:vAlign w:val="bottom"/>
          </w:tcPr>
          <w:p>
            <w:pPr>
              <w:spacing w:after="0"/>
              <w:rPr>
                <w:sz w:val="4"/>
                <w:szCs w:val="4"/>
                <w:color w:val="auto"/>
              </w:rPr>
            </w:pPr>
          </w:p>
        </w:tc>
        <w:tc>
          <w:tcPr>
            <w:tcW w:w="1060" w:type="dxa"/>
            <w:vAlign w:val="bottom"/>
            <w:vMerge w:val="restart"/>
          </w:tcPr>
          <w:p>
            <w:pPr>
              <w:ind w:left="40"/>
              <w:spacing w:after="0"/>
              <w:rPr>
                <w:sz w:val="20"/>
                <w:szCs w:val="20"/>
                <w:color w:val="auto"/>
              </w:rPr>
            </w:pPr>
            <w:r>
              <w:rPr>
                <w:rFonts w:ascii="Arial" w:cs="Arial" w:eastAsia="Arial" w:hAnsi="Arial"/>
                <w:sz w:val="16"/>
                <w:szCs w:val="16"/>
                <w:color w:val="0000FF"/>
              </w:rPr>
              <w:t>77002</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60" w:type="dxa"/>
            <w:vAlign w:val="bottom"/>
            <w:gridSpan w:val="6"/>
            <w:vMerge w:val="continue"/>
          </w:tcPr>
          <w:p>
            <w:pPr>
              <w:spacing w:after="0"/>
              <w:rPr>
                <w:sz w:val="4"/>
                <w:szCs w:val="4"/>
                <w:color w:val="auto"/>
              </w:rPr>
            </w:pPr>
          </w:p>
        </w:tc>
        <w:tc>
          <w:tcPr>
            <w:tcW w:w="160" w:type="dxa"/>
            <w:vAlign w:val="bottom"/>
          </w:tcPr>
          <w:p>
            <w:pPr>
              <w:spacing w:after="0"/>
              <w:rPr>
                <w:sz w:val="4"/>
                <w:szCs w:val="4"/>
                <w:color w:val="auto"/>
              </w:rPr>
            </w:pPr>
          </w:p>
        </w:tc>
        <w:tc>
          <w:tcPr>
            <w:tcW w:w="34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6"/>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520" w:type="dxa"/>
            <w:vAlign w:val="bottom"/>
          </w:tcPr>
          <w:p>
            <w:pPr>
              <w:spacing w:after="0"/>
              <w:rPr>
                <w:sz w:val="7"/>
                <w:szCs w:val="7"/>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220" w:type="dxa"/>
            <w:vAlign w:val="bottom"/>
            <w:tcBorders>
              <w:top w:val="single" w:sz="8" w:color="2C2C2C"/>
            </w:tcBorders>
            <w:gridSpan w:val="15"/>
          </w:tcPr>
          <w:p>
            <w:pPr>
              <w:ind w:left="8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gridSpan w:val="2"/>
          </w:tcPr>
          <w:p>
            <w:pPr>
              <w:ind w:left="880"/>
              <w:spacing w:after="0" w:line="120" w:lineRule="exact"/>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5"/>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40" w:type="dxa"/>
            <w:vAlign w:val="bottom"/>
            <w:gridSpan w:val="5"/>
          </w:tcPr>
          <w:p>
            <w:pPr>
              <w:ind w:left="960"/>
              <w:spacing w:after="0"/>
              <w:rPr>
                <w:sz w:val="20"/>
                <w:szCs w:val="20"/>
                <w:color w:val="auto"/>
              </w:rPr>
            </w:pPr>
            <w:r>
              <w:rPr>
                <w:rFonts w:ascii="Arial" w:cs="Arial" w:eastAsia="Arial" w:hAnsi="Arial"/>
                <w:sz w:val="16"/>
                <w:szCs w:val="16"/>
                <w:color w:val="0000FF"/>
              </w:rPr>
              <w:t>07/28/2020</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Arial" w:cs="Arial" w:eastAsia="Arial" w:hAnsi="Arial"/>
                <w:sz w:val="12"/>
                <w:szCs w:val="12"/>
                <w:color w:val="0000FF"/>
              </w:rPr>
              <w:t>M</w:t>
            </w:r>
          </w:p>
        </w:tc>
        <w:tc>
          <w:tcPr>
            <w:tcW w:w="720" w:type="dxa"/>
            <w:vAlign w:val="bottom"/>
          </w:tcPr>
          <w:p>
            <w:pPr>
              <w:jc w:val="center"/>
              <w:ind w:left="60"/>
              <w:spacing w:after="0"/>
              <w:rPr>
                <w:sz w:val="20"/>
                <w:szCs w:val="20"/>
                <w:color w:val="auto"/>
              </w:rPr>
            </w:pPr>
            <w:r>
              <w:rPr>
                <w:rFonts w:ascii="Arial" w:cs="Arial" w:eastAsia="Arial" w:hAnsi="Arial"/>
                <w:sz w:val="16"/>
                <w:szCs w:val="16"/>
                <w:color w:val="0000FF"/>
                <w:w w:val="89"/>
              </w:rPr>
              <w:t>37,121</w:t>
            </w:r>
          </w:p>
        </w:tc>
        <w:tc>
          <w:tcPr>
            <w:tcW w:w="620" w:type="dxa"/>
            <w:vAlign w:val="bottom"/>
          </w:tcPr>
          <w:p>
            <w:pPr>
              <w:ind w:left="320"/>
              <w:spacing w:after="0"/>
              <w:rPr>
                <w:sz w:val="20"/>
                <w:szCs w:val="20"/>
                <w:color w:val="auto"/>
              </w:rPr>
            </w:pPr>
            <w:r>
              <w:rPr>
                <w:rFonts w:ascii="Arial" w:cs="Arial" w:eastAsia="Arial" w:hAnsi="Arial"/>
                <w:sz w:val="16"/>
                <w:szCs w:val="16"/>
                <w:color w:val="0000FF"/>
              </w:rPr>
              <w:t>A</w:t>
            </w:r>
          </w:p>
        </w:tc>
        <w:tc>
          <w:tcPr>
            <w:tcW w:w="600" w:type="dxa"/>
            <w:vAlign w:val="bottom"/>
            <w:gridSpan w:val="2"/>
          </w:tcPr>
          <w:p>
            <w:pPr>
              <w:ind w:left="260"/>
              <w:spacing w:after="0"/>
              <w:rPr>
                <w:sz w:val="20"/>
                <w:szCs w:val="20"/>
                <w:color w:val="auto"/>
              </w:rPr>
            </w:pPr>
            <w:r>
              <w:rPr>
                <w:rFonts w:ascii="Arial" w:cs="Arial" w:eastAsia="Arial" w:hAnsi="Arial"/>
                <w:sz w:val="10"/>
                <w:szCs w:val="10"/>
                <w:color w:val="008000"/>
              </w:rPr>
              <w:t>(2)</w:t>
            </w:r>
          </w:p>
        </w:tc>
        <w:tc>
          <w:tcPr>
            <w:tcW w:w="2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166,823</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40" w:type="dxa"/>
            <w:vAlign w:val="bottom"/>
            <w:gridSpan w:val="5"/>
          </w:tcPr>
          <w:p>
            <w:pPr>
              <w:ind w:left="960"/>
              <w:spacing w:after="0"/>
              <w:rPr>
                <w:sz w:val="20"/>
                <w:szCs w:val="20"/>
                <w:color w:val="auto"/>
              </w:rPr>
            </w:pPr>
            <w:r>
              <w:rPr>
                <w:rFonts w:ascii="Arial" w:cs="Arial" w:eastAsia="Arial" w:hAnsi="Arial"/>
                <w:sz w:val="16"/>
                <w:szCs w:val="16"/>
                <w:color w:val="0000FF"/>
              </w:rPr>
              <w:t>07/28/2020</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Arial" w:cs="Arial" w:eastAsia="Arial" w:hAnsi="Arial"/>
                <w:sz w:val="12"/>
                <w:szCs w:val="12"/>
                <w:color w:val="0000FF"/>
              </w:rPr>
              <w:t>F</w:t>
            </w:r>
          </w:p>
        </w:tc>
        <w:tc>
          <w:tcPr>
            <w:tcW w:w="720" w:type="dxa"/>
            <w:vAlign w:val="bottom"/>
          </w:tcPr>
          <w:p>
            <w:pPr>
              <w:jc w:val="center"/>
              <w:ind w:left="60"/>
              <w:spacing w:after="0"/>
              <w:rPr>
                <w:sz w:val="20"/>
                <w:szCs w:val="20"/>
                <w:color w:val="auto"/>
              </w:rPr>
            </w:pPr>
            <w:r>
              <w:rPr>
                <w:rFonts w:ascii="Arial" w:cs="Arial" w:eastAsia="Arial" w:hAnsi="Arial"/>
                <w:sz w:val="16"/>
                <w:szCs w:val="16"/>
                <w:color w:val="0000FF"/>
                <w:w w:val="89"/>
              </w:rPr>
              <w:t>14,607</w:t>
            </w:r>
          </w:p>
        </w:tc>
        <w:tc>
          <w:tcPr>
            <w:tcW w:w="620" w:type="dxa"/>
            <w:vAlign w:val="bottom"/>
          </w:tcPr>
          <w:p>
            <w:pPr>
              <w:ind w:left="320"/>
              <w:spacing w:after="0"/>
              <w:rPr>
                <w:sz w:val="20"/>
                <w:szCs w:val="20"/>
                <w:color w:val="auto"/>
              </w:rPr>
            </w:pPr>
            <w:r>
              <w:rPr>
                <w:rFonts w:ascii="Arial" w:cs="Arial" w:eastAsia="Arial" w:hAnsi="Arial"/>
                <w:sz w:val="16"/>
                <w:szCs w:val="16"/>
                <w:color w:val="0000FF"/>
              </w:rPr>
              <w:t>D</w:t>
            </w:r>
          </w:p>
        </w:tc>
        <w:tc>
          <w:tcPr>
            <w:tcW w:w="600" w:type="dxa"/>
            <w:vAlign w:val="bottom"/>
            <w:gridSpan w:val="2"/>
          </w:tcPr>
          <w:p>
            <w:pPr>
              <w:ind w:left="260"/>
              <w:spacing w:after="0"/>
              <w:rPr>
                <w:sz w:val="20"/>
                <w:szCs w:val="20"/>
                <w:color w:val="auto"/>
              </w:rPr>
            </w:pPr>
            <w:r>
              <w:rPr>
                <w:rFonts w:ascii="Arial" w:cs="Arial" w:eastAsia="Arial" w:hAnsi="Arial"/>
                <w:sz w:val="10"/>
                <w:szCs w:val="10"/>
                <w:color w:val="008000"/>
              </w:rPr>
              <w:t>(1)</w:t>
            </w:r>
          </w:p>
        </w:tc>
        <w:tc>
          <w:tcPr>
            <w:tcW w:w="2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152,216</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60"/>
              <w:spacing w:after="0"/>
              <w:rPr>
                <w:sz w:val="20"/>
                <w:szCs w:val="20"/>
                <w:color w:val="auto"/>
              </w:rPr>
            </w:pPr>
            <w:r>
              <w:rPr>
                <w:rFonts w:ascii="Arial" w:cs="Arial" w:eastAsia="Arial" w:hAnsi="Arial"/>
                <w:sz w:val="16"/>
                <w:szCs w:val="16"/>
                <w:color w:val="0000FF"/>
              </w:rPr>
              <w:t>07/28/2020</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Arial" w:cs="Arial" w:eastAsia="Arial" w:hAnsi="Arial"/>
                <w:sz w:val="24"/>
                <w:szCs w:val="24"/>
                <w:color w:val="0000FF"/>
                <w:w w:val="83"/>
                <w:vertAlign w:val="subscript"/>
              </w:rPr>
              <w:t>D</w:t>
            </w:r>
            <w:r>
              <w:rPr>
                <w:rFonts w:ascii="Arial" w:cs="Arial" w:eastAsia="Arial" w:hAnsi="Arial"/>
                <w:sz w:val="10"/>
                <w:szCs w:val="10"/>
                <w:color w:val="008000"/>
                <w:w w:val="83"/>
              </w:rPr>
              <w:t>(1)</w:t>
            </w:r>
          </w:p>
        </w:tc>
        <w:tc>
          <w:tcPr>
            <w:tcW w:w="720" w:type="dxa"/>
            <w:vAlign w:val="bottom"/>
            <w:tcBorders>
              <w:bottom w:val="single" w:sz="8" w:color="2C2C2C"/>
            </w:tcBorders>
          </w:tcPr>
          <w:p>
            <w:pPr>
              <w:jc w:val="center"/>
              <w:ind w:left="60"/>
              <w:spacing w:after="0"/>
              <w:rPr>
                <w:sz w:val="20"/>
                <w:szCs w:val="20"/>
                <w:color w:val="auto"/>
              </w:rPr>
            </w:pPr>
            <w:r>
              <w:rPr>
                <w:rFonts w:ascii="Arial" w:cs="Arial" w:eastAsia="Arial" w:hAnsi="Arial"/>
                <w:sz w:val="16"/>
                <w:szCs w:val="16"/>
                <w:color w:val="0000FF"/>
                <w:w w:val="89"/>
              </w:rPr>
              <w:t>152,216</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00" w:type="dxa"/>
            <w:vAlign w:val="bottom"/>
            <w:tcBorders>
              <w:bottom w:val="single" w:sz="8" w:color="2C2C2C"/>
            </w:tcBorders>
            <w:gridSpan w:val="2"/>
          </w:tcPr>
          <w:p>
            <w:pPr>
              <w:ind w:left="260"/>
              <w:spacing w:after="0"/>
              <w:rPr>
                <w:sz w:val="20"/>
                <w:szCs w:val="20"/>
                <w:color w:val="auto"/>
              </w:rPr>
            </w:pPr>
            <w:r>
              <w:rPr>
                <w:rFonts w:ascii="Arial" w:cs="Arial" w:eastAsia="Arial" w:hAnsi="Arial"/>
                <w:sz w:val="10"/>
                <w:szCs w:val="10"/>
                <w:color w:val="008000"/>
              </w:rPr>
              <w:t>(1)</w:t>
            </w: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441"/>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0" w:type="dxa"/>
            <w:vAlign w:val="bottom"/>
            <w:gridSpan w:val="13"/>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Underlying</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12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81"/>
              </w:rPr>
              <w:t>8)</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Phantom</w:t>
            </w:r>
          </w:p>
        </w:tc>
        <w:tc>
          <w:tcPr>
            <w:tcW w:w="520" w:type="dxa"/>
            <w:vAlign w:val="bottom"/>
            <w:vMerge w:val="restart"/>
          </w:tcPr>
          <w:p>
            <w:pPr>
              <w:jc w:val="center"/>
              <w:ind w:left="146"/>
              <w:spacing w:after="0"/>
              <w:rPr>
                <w:sz w:val="20"/>
                <w:szCs w:val="20"/>
                <w:color w:val="auto"/>
              </w:rPr>
            </w:pPr>
            <w:r>
              <w:rPr>
                <w:rFonts w:ascii="Arial" w:cs="Arial" w:eastAsia="Arial" w:hAnsi="Arial"/>
                <w:sz w:val="10"/>
                <w:szCs w:val="10"/>
                <w:color w:val="008000"/>
                <w:w w:val="97"/>
              </w:rPr>
              <w:t>(2)</w:t>
            </w:r>
          </w:p>
        </w:tc>
        <w:tc>
          <w:tcPr>
            <w:tcW w:w="26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0000FF"/>
                <w:w w:val="93"/>
              </w:rPr>
              <w:t>07/28/2020</w:t>
            </w: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vMerge w:val="restart"/>
          </w:tcPr>
          <w:p>
            <w:pPr>
              <w:ind w:left="100"/>
              <w:spacing w:after="0"/>
              <w:rPr>
                <w:sz w:val="20"/>
                <w:szCs w:val="20"/>
                <w:color w:val="auto"/>
              </w:rPr>
            </w:pPr>
            <w:r>
              <w:rPr>
                <w:rFonts w:ascii="Arial" w:cs="Arial" w:eastAsia="Arial" w:hAnsi="Arial"/>
                <w:sz w:val="12"/>
                <w:szCs w:val="12"/>
                <w:color w:val="0000FF"/>
              </w:rPr>
              <w:t>M</w:t>
            </w:r>
          </w:p>
        </w:tc>
        <w:tc>
          <w:tcPr>
            <w:tcW w:w="60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color w:val="0000FF"/>
                <w:w w:val="92"/>
              </w:rPr>
              <w:t>37,121</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20" w:type="dxa"/>
            <w:vAlign w:val="bottom"/>
          </w:tcPr>
          <w:p>
            <w:pPr>
              <w:ind w:left="40"/>
              <w:spacing w:after="0"/>
              <w:rPr>
                <w:sz w:val="20"/>
                <w:szCs w:val="20"/>
                <w:color w:val="auto"/>
              </w:rPr>
            </w:pPr>
            <w:r>
              <w:rPr>
                <w:rFonts w:ascii="Arial" w:cs="Arial" w:eastAsia="Arial" w:hAnsi="Arial"/>
                <w:sz w:val="12"/>
                <w:szCs w:val="12"/>
                <w:color w:val="0000FF"/>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37,121</w:t>
            </w:r>
          </w:p>
        </w:tc>
        <w:tc>
          <w:tcPr>
            <w:tcW w:w="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540" w:type="dxa"/>
            <w:vAlign w:val="bottom"/>
            <w:vMerge w:val="restart"/>
          </w:tcPr>
          <w:p>
            <w:pPr>
              <w:jc w:val="center"/>
              <w:ind w:left="261"/>
              <w:spacing w:after="0"/>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15"/>
                <w:szCs w:val="15"/>
                <w:color w:val="auto"/>
              </w:rPr>
            </w:pPr>
          </w:p>
        </w:tc>
        <w:tc>
          <w:tcPr>
            <w:tcW w:w="6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w:t>
            </w:r>
          </w:p>
        </w:tc>
        <w:tc>
          <w:tcPr>
            <w:tcW w:w="5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0000FF"/>
              </w:rPr>
              <w:t>Stock</w:t>
            </w:r>
          </w:p>
        </w:tc>
        <w:tc>
          <w:tcPr>
            <w:tcW w:w="6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520" w:type="dxa"/>
            <w:vAlign w:val="bottom"/>
          </w:tcPr>
          <w:p>
            <w:pPr>
              <w:jc w:val="center"/>
              <w:ind w:left="146"/>
              <w:spacing w:after="0"/>
              <w:rPr>
                <w:sz w:val="20"/>
                <w:szCs w:val="20"/>
                <w:color w:val="auto"/>
              </w:rPr>
            </w:pPr>
            <w:r>
              <w:rPr>
                <w:rFonts w:ascii="Arial" w:cs="Arial" w:eastAsia="Arial" w:hAnsi="Arial"/>
                <w:sz w:val="10"/>
                <w:szCs w:val="10"/>
                <w:color w:val="008000"/>
                <w:w w:val="97"/>
              </w:rPr>
              <w:t>(3)</w:t>
            </w:r>
          </w:p>
        </w:tc>
        <w:tc>
          <w:tcPr>
            <w:tcW w:w="2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0000FF"/>
                <w:w w:val="93"/>
              </w:rPr>
              <w:t>07/28/2020</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color w:val="0000FF"/>
              </w:rPr>
              <w:t>D</w:t>
            </w:r>
          </w:p>
        </w:tc>
        <w:tc>
          <w:tcPr>
            <w:tcW w:w="6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00FF"/>
                <w:w w:val="92"/>
              </w:rPr>
              <w:t>243,277</w:t>
            </w: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620" w:type="dxa"/>
            <w:vAlign w:val="bottom"/>
          </w:tcPr>
          <w:p>
            <w:pPr>
              <w:ind w:left="40"/>
              <w:spacing w:after="0"/>
              <w:rPr>
                <w:sz w:val="20"/>
                <w:szCs w:val="20"/>
                <w:color w:val="auto"/>
              </w:rPr>
            </w:pPr>
            <w:r>
              <w:rPr>
                <w:rFonts w:ascii="Arial" w:cs="Arial" w:eastAsia="Arial" w:hAnsi="Arial"/>
                <w:sz w:val="12"/>
                <w:szCs w:val="12"/>
                <w:color w:val="0000FF"/>
              </w:rPr>
              <w:t>Common</w:t>
            </w:r>
          </w:p>
        </w:tc>
        <w:tc>
          <w:tcPr>
            <w:tcW w:w="600" w:type="dxa"/>
            <w:vAlign w:val="bottom"/>
            <w:gridSpan w:val="2"/>
          </w:tcPr>
          <w:p>
            <w:pPr>
              <w:jc w:val="center"/>
              <w:spacing w:after="0"/>
              <w:rPr>
                <w:sz w:val="20"/>
                <w:szCs w:val="20"/>
                <w:color w:val="auto"/>
              </w:rPr>
            </w:pPr>
            <w:r>
              <w:rPr>
                <w:rFonts w:ascii="Arial" w:cs="Arial" w:eastAsia="Arial" w:hAnsi="Arial"/>
                <w:sz w:val="16"/>
                <w:szCs w:val="16"/>
                <w:color w:val="0000FF"/>
                <w:w w:val="89"/>
              </w:rPr>
              <w:t>243,277</w:t>
            </w:r>
          </w:p>
        </w:tc>
        <w:tc>
          <w:tcPr>
            <w:tcW w:w="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540" w:type="dxa"/>
            <w:vAlign w:val="bottom"/>
          </w:tcPr>
          <w:p>
            <w:pPr>
              <w:jc w:val="center"/>
              <w:ind w:left="261"/>
              <w:spacing w:after="0"/>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20"/>
                <w:szCs w:val="20"/>
                <w:color w:val="auto"/>
              </w:rPr>
            </w:pP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0" w:type="dxa"/>
            <w:vAlign w:val="bottom"/>
            <w:tcBorders>
              <w:bottom w:val="single" w:sz="8" w:color="2C2C2C"/>
            </w:tcBorders>
            <w:gridSpan w:val="2"/>
          </w:tcPr>
          <w:p>
            <w:pPr>
              <w:ind w:left="60"/>
              <w:spacing w:after="0" w:line="136" w:lineRule="exact"/>
              <w:rPr>
                <w:sz w:val="20"/>
                <w:szCs w:val="20"/>
                <w:color w:val="auto"/>
              </w:rPr>
            </w:pPr>
            <w:r>
              <w:rPr>
                <w:rFonts w:ascii="Arial" w:cs="Arial" w:eastAsia="Arial" w:hAnsi="Arial"/>
                <w:sz w:val="12"/>
                <w:szCs w:val="12"/>
                <w:color w:val="0000FF"/>
              </w:rPr>
              <w:t>Stock Unit</w:t>
            </w: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40"/>
              <w:spacing w:after="0" w:line="136" w:lineRule="exact"/>
              <w:rPr>
                <w:sz w:val="20"/>
                <w:szCs w:val="20"/>
                <w:color w:val="auto"/>
              </w:rPr>
            </w:pPr>
            <w:r>
              <w:rPr>
                <w:rFonts w:ascii="Arial" w:cs="Arial" w:eastAsia="Arial" w:hAnsi="Arial"/>
                <w:sz w:val="12"/>
                <w:szCs w:val="12"/>
                <w:color w:val="0000FF"/>
              </w:rPr>
              <w:t>Stock</w:t>
            </w:r>
          </w:p>
        </w:tc>
        <w:tc>
          <w:tcPr>
            <w:tcW w:w="1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w w:val="98"/>
              </w:rPr>
              <w:t>Performance</w:t>
            </w:r>
          </w:p>
        </w:tc>
        <w:tc>
          <w:tcPr>
            <w:tcW w:w="520" w:type="dxa"/>
            <w:vAlign w:val="bottom"/>
          </w:tcPr>
          <w:p>
            <w:pPr>
              <w:jc w:val="center"/>
              <w:ind w:left="146"/>
              <w:spacing w:after="0"/>
              <w:rPr>
                <w:sz w:val="20"/>
                <w:szCs w:val="20"/>
                <w:color w:val="auto"/>
              </w:rPr>
            </w:pPr>
            <w:r>
              <w:rPr>
                <w:rFonts w:ascii="Arial" w:cs="Arial" w:eastAsia="Arial" w:hAnsi="Arial"/>
                <w:sz w:val="10"/>
                <w:szCs w:val="10"/>
                <w:color w:val="008000"/>
                <w:w w:val="97"/>
              </w:rPr>
              <w:t>(4)(5)</w:t>
            </w:r>
          </w:p>
        </w:tc>
        <w:tc>
          <w:tcPr>
            <w:tcW w:w="2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0000FF"/>
                <w:w w:val="93"/>
              </w:rPr>
              <w:t>07/28/2020</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color w:val="0000FF"/>
              </w:rPr>
              <w:t>A</w:t>
            </w:r>
          </w:p>
        </w:tc>
        <w:tc>
          <w:tcPr>
            <w:tcW w:w="600" w:type="dxa"/>
            <w:vAlign w:val="bottom"/>
          </w:tcPr>
          <w:p>
            <w:pPr>
              <w:ind w:left="80"/>
              <w:spacing w:after="0"/>
              <w:rPr>
                <w:sz w:val="20"/>
                <w:szCs w:val="20"/>
                <w:color w:val="auto"/>
              </w:rPr>
            </w:pPr>
            <w:r>
              <w:rPr>
                <w:rFonts w:ascii="Arial" w:cs="Arial" w:eastAsia="Arial" w:hAnsi="Arial"/>
                <w:sz w:val="12"/>
                <w:szCs w:val="12"/>
                <w:color w:val="0000FF"/>
              </w:rPr>
              <w:t>230,082</w:t>
            </w:r>
          </w:p>
        </w:tc>
        <w:tc>
          <w:tcPr>
            <w:tcW w:w="4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620" w:type="dxa"/>
            <w:vAlign w:val="bottom"/>
          </w:tcPr>
          <w:p>
            <w:pPr>
              <w:ind w:left="40"/>
              <w:spacing w:after="0"/>
              <w:rPr>
                <w:sz w:val="20"/>
                <w:szCs w:val="20"/>
                <w:color w:val="auto"/>
              </w:rPr>
            </w:pPr>
            <w:r>
              <w:rPr>
                <w:rFonts w:ascii="Arial" w:cs="Arial" w:eastAsia="Arial" w:hAnsi="Arial"/>
                <w:sz w:val="12"/>
                <w:szCs w:val="12"/>
                <w:color w:val="0000FF"/>
              </w:rPr>
              <w:t>Common</w:t>
            </w:r>
          </w:p>
        </w:tc>
        <w:tc>
          <w:tcPr>
            <w:tcW w:w="600" w:type="dxa"/>
            <w:vAlign w:val="bottom"/>
            <w:gridSpan w:val="2"/>
          </w:tcPr>
          <w:p>
            <w:pPr>
              <w:jc w:val="center"/>
              <w:spacing w:after="0"/>
              <w:rPr>
                <w:sz w:val="20"/>
                <w:szCs w:val="20"/>
                <w:color w:val="auto"/>
              </w:rPr>
            </w:pPr>
            <w:r>
              <w:rPr>
                <w:rFonts w:ascii="Arial" w:cs="Arial" w:eastAsia="Arial" w:hAnsi="Arial"/>
                <w:sz w:val="16"/>
                <w:szCs w:val="16"/>
                <w:color w:val="0000FF"/>
                <w:w w:val="89"/>
              </w:rPr>
              <w:t>230,082</w:t>
            </w:r>
          </w:p>
        </w:tc>
        <w:tc>
          <w:tcPr>
            <w:tcW w:w="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860" w:type="dxa"/>
            <w:vAlign w:val="bottom"/>
            <w:gridSpan w:val="2"/>
          </w:tcPr>
          <w:p>
            <w:pPr>
              <w:jc w:val="center"/>
              <w:spacing w:after="0"/>
              <w:rPr>
                <w:sz w:val="20"/>
                <w:szCs w:val="20"/>
                <w:color w:val="auto"/>
              </w:rPr>
            </w:pPr>
            <w:r>
              <w:rPr>
                <w:rFonts w:ascii="Arial" w:cs="Arial" w:eastAsia="Arial" w:hAnsi="Arial"/>
                <w:sz w:val="12"/>
                <w:szCs w:val="12"/>
                <w:color w:val="0000FF"/>
                <w:w w:val="92"/>
              </w:rPr>
              <w:t>284,016</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0" w:type="dxa"/>
            <w:vAlign w:val="bottom"/>
            <w:tcBorders>
              <w:bottom w:val="single" w:sz="8" w:color="2C2C2C"/>
            </w:tcBorders>
            <w:gridSpan w:val="2"/>
          </w:tcPr>
          <w:p>
            <w:pPr>
              <w:ind w:left="60"/>
              <w:spacing w:after="0" w:line="136" w:lineRule="exact"/>
              <w:rPr>
                <w:sz w:val="20"/>
                <w:szCs w:val="20"/>
                <w:color w:val="auto"/>
              </w:rPr>
            </w:pPr>
            <w:r>
              <w:rPr>
                <w:rFonts w:ascii="Arial" w:cs="Arial" w:eastAsia="Arial" w:hAnsi="Arial"/>
                <w:sz w:val="12"/>
                <w:szCs w:val="12"/>
                <w:color w:val="0000FF"/>
              </w:rPr>
              <w:t>Share Unit</w:t>
            </w: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40"/>
              <w:spacing w:after="0" w:line="136" w:lineRule="exact"/>
              <w:rPr>
                <w:sz w:val="20"/>
                <w:szCs w:val="20"/>
                <w:color w:val="auto"/>
              </w:rPr>
            </w:pPr>
            <w:r>
              <w:rPr>
                <w:rFonts w:ascii="Arial" w:cs="Arial" w:eastAsia="Arial" w:hAnsi="Arial"/>
                <w:sz w:val="12"/>
                <w:szCs w:val="12"/>
                <w:color w:val="0000FF"/>
              </w:rPr>
              <w:t>Stock</w:t>
            </w:r>
          </w:p>
        </w:tc>
        <w:tc>
          <w:tcPr>
            <w:tcW w:w="1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w w:val="98"/>
              </w:rPr>
              <w:t>Performance</w:t>
            </w:r>
          </w:p>
        </w:tc>
        <w:tc>
          <w:tcPr>
            <w:tcW w:w="520" w:type="dxa"/>
            <w:vAlign w:val="bottom"/>
          </w:tcPr>
          <w:p>
            <w:pPr>
              <w:jc w:val="center"/>
              <w:ind w:left="146"/>
              <w:spacing w:after="0"/>
              <w:rPr>
                <w:sz w:val="20"/>
                <w:szCs w:val="20"/>
                <w:color w:val="auto"/>
              </w:rPr>
            </w:pPr>
            <w:r>
              <w:rPr>
                <w:rFonts w:ascii="Arial" w:cs="Arial" w:eastAsia="Arial" w:hAnsi="Arial"/>
                <w:sz w:val="10"/>
                <w:szCs w:val="10"/>
                <w:color w:val="008000"/>
                <w:w w:val="97"/>
              </w:rPr>
              <w:t>(4)(5)</w:t>
            </w:r>
          </w:p>
        </w:tc>
        <w:tc>
          <w:tcPr>
            <w:tcW w:w="2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0000FF"/>
                <w:w w:val="93"/>
              </w:rPr>
              <w:t>07/28/2020</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color w:val="0000FF"/>
              </w:rPr>
              <w:t>D</w:t>
            </w:r>
          </w:p>
        </w:tc>
        <w:tc>
          <w:tcPr>
            <w:tcW w:w="6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00FF"/>
                <w:w w:val="92"/>
              </w:rPr>
              <w:t>284,016</w:t>
            </w: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620" w:type="dxa"/>
            <w:vAlign w:val="bottom"/>
          </w:tcPr>
          <w:p>
            <w:pPr>
              <w:ind w:left="40"/>
              <w:spacing w:after="0"/>
              <w:rPr>
                <w:sz w:val="20"/>
                <w:szCs w:val="20"/>
                <w:color w:val="auto"/>
              </w:rPr>
            </w:pPr>
            <w:r>
              <w:rPr>
                <w:rFonts w:ascii="Arial" w:cs="Arial" w:eastAsia="Arial" w:hAnsi="Arial"/>
                <w:sz w:val="12"/>
                <w:szCs w:val="12"/>
                <w:color w:val="0000FF"/>
              </w:rPr>
              <w:t>Common</w:t>
            </w:r>
          </w:p>
        </w:tc>
        <w:tc>
          <w:tcPr>
            <w:tcW w:w="600" w:type="dxa"/>
            <w:vAlign w:val="bottom"/>
            <w:gridSpan w:val="2"/>
          </w:tcPr>
          <w:p>
            <w:pPr>
              <w:jc w:val="center"/>
              <w:spacing w:after="0"/>
              <w:rPr>
                <w:sz w:val="20"/>
                <w:szCs w:val="20"/>
                <w:color w:val="auto"/>
              </w:rPr>
            </w:pPr>
            <w:r>
              <w:rPr>
                <w:rFonts w:ascii="Arial" w:cs="Arial" w:eastAsia="Arial" w:hAnsi="Arial"/>
                <w:sz w:val="16"/>
                <w:szCs w:val="16"/>
                <w:color w:val="0000FF"/>
                <w:w w:val="89"/>
              </w:rPr>
              <w:t>284,016</w:t>
            </w:r>
          </w:p>
        </w:tc>
        <w:tc>
          <w:tcPr>
            <w:tcW w:w="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540" w:type="dxa"/>
            <w:vAlign w:val="bottom"/>
          </w:tcPr>
          <w:p>
            <w:pPr>
              <w:jc w:val="center"/>
              <w:ind w:left="261"/>
              <w:spacing w:after="0"/>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20"/>
                <w:szCs w:val="20"/>
                <w:color w:val="auto"/>
              </w:rPr>
            </w:pP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Share Unit</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0000FF"/>
              </w:rPr>
              <w:t>Stock</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-3718560</wp:posOffset>
            </wp:positionV>
            <wp:extent cx="7036435" cy="3721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372173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jc w:val="both"/>
        <w:ind w:left="40" w:right="160" w:hanging="4"/>
        <w:spacing w:after="0" w:line="276" w:lineRule="auto"/>
        <w:tabs>
          <w:tab w:leader="none" w:pos="16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July 28, 2020, pursuant to the Agreement and Plan of Merger, dated May 3, 2020 (the "Merger Agreement"), by and among Quintana Energy Services Inc. ("QES"), KLX Energy Services Holdings, Inc. ("KLXE"), Krypton Intermediate LLC, and Kypton Merger Sub Inc. ("Merger Sub"), Merger Sub merged with and into QES (the "Merger"), with QES surviving the Merger as the wholly owned subsidiary of KLXE. Pursuant to the Merger Agreement, at the effective time of the Merger, each share of QES's common stock was converted into, and became exchangeable for, 0.0969 shares of KLXE common stock. On July 27, 2020 (the last trading day prior to consummation of the Merger and KLXE's 1-for-5 reverse stock split), the closing price of one share of KLXE common stock was $2.00 and the closing price of one share of QES common stock was $0.93.</w:t>
      </w:r>
    </w:p>
    <w:p>
      <w:pPr>
        <w:spacing w:after="0" w:line="10" w:lineRule="exact"/>
        <w:rPr>
          <w:rFonts w:ascii="Arial" w:cs="Arial" w:eastAsia="Arial" w:hAnsi="Arial"/>
          <w:sz w:val="11"/>
          <w:szCs w:val="11"/>
          <w:color w:val="008000"/>
        </w:rPr>
      </w:pPr>
    </w:p>
    <w:p>
      <w:pPr>
        <w:ind w:left="40" w:right="560" w:hanging="4"/>
        <w:spacing w:after="0" w:line="267"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of the Merger, each outstanding QES phantom unit became fully vested and was cancelled and converted into the right to receive 0.0969 shares of KLXE common stock.</w:t>
      </w:r>
    </w:p>
    <w:p>
      <w:pPr>
        <w:spacing w:after="0" w:line="13" w:lineRule="exact"/>
        <w:rPr>
          <w:rFonts w:ascii="Arial" w:cs="Arial" w:eastAsia="Arial" w:hAnsi="Arial"/>
          <w:sz w:val="12"/>
          <w:szCs w:val="12"/>
          <w:color w:val="008000"/>
        </w:rPr>
      </w:pPr>
    </w:p>
    <w:p>
      <w:pPr>
        <w:ind w:left="40" w:right="280" w:hanging="4"/>
        <w:spacing w:after="0" w:line="251"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of the Merger, each outstanding QES restricted stock unit award subject to time-based vesting was cancelled and converted into a KLXE restricted stock unit award equal to the number of outstanding QES restricted stock units multiplied by 0.0969. The KLXE restricted stock unit award will otherwise continue on the same terms and conditions as were applicable to the QES restricted stock unit award.</w:t>
      </w:r>
    </w:p>
    <w:p>
      <w:pPr>
        <w:spacing w:after="0" w:line="23" w:lineRule="exact"/>
        <w:rPr>
          <w:rFonts w:ascii="Arial" w:cs="Arial" w:eastAsia="Arial" w:hAnsi="Arial"/>
          <w:sz w:val="12"/>
          <w:szCs w:val="12"/>
          <w:color w:val="008000"/>
        </w:rPr>
      </w:pPr>
    </w:p>
    <w:p>
      <w:pPr>
        <w:ind w:left="40" w:right="200" w:hanging="4"/>
        <w:spacing w:after="0" w:line="304" w:lineRule="auto"/>
        <w:tabs>
          <w:tab w:leader="none" w:pos="16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Pursuant to the Merger Agreement, at the effective time of the Merger, each outstanding QES performance share unit award was cancelled and converted into a KLXE restricted stock unit award equal to the number of outstanding QES performance share units that were earned based on actual achievement of the applicable performance goals in accordance with the Merger Agreement multiplied by 0.0969.</w:t>
      </w:r>
    </w:p>
    <w:p>
      <w:pPr>
        <w:ind w:left="40" w:right="300" w:hanging="4"/>
        <w:spacing w:after="0" w:line="246"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4) With respect to such KLXE restricted stock unit award, the portion based on a QES performance share unit award granted in 2019 determined to have been earned based on discretionary performance goals and the portion based on a QES performance share unit award granted in 2020 subject to a strategic performance goals, in each case, will be settled in cash following the vesting of such KLXE restricted stock unit. The KLXE restricted stock unit award will otherwise continue on the same terms and conditions as were applicable to the QES performance share unit award (other than any performance-based vesting conditions).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Executive Vice President and Chief Financial Officer</w:t>
      </w:r>
    </w:p>
    <w:p>
      <w:pPr>
        <w:ind w:left="6600"/>
        <w:spacing w:after="0" w:line="184" w:lineRule="auto"/>
        <w:rPr>
          <w:sz w:val="20"/>
          <w:szCs w:val="20"/>
          <w:color w:val="auto"/>
        </w:rPr>
      </w:pPr>
      <w:r>
        <w:rPr>
          <w:rFonts w:ascii="Arial" w:cs="Arial" w:eastAsia="Arial" w:hAnsi="Arial"/>
          <w:sz w:val="16"/>
          <w:szCs w:val="16"/>
          <w:color w:val="0000FF"/>
        </w:rPr>
        <w:t xml:space="preserve">/s/ Max L. Bouthillette, attorney- </w:t>
      </w:r>
      <w:r>
        <w:rPr>
          <w:rFonts w:ascii="Arial" w:cs="Arial" w:eastAsia="Arial" w:hAnsi="Arial"/>
          <w:sz w:val="32"/>
          <w:szCs w:val="32"/>
          <w:color w:val="0000FF"/>
          <w:vertAlign w:val="subscript"/>
        </w:rPr>
        <w:t>07/28/2020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468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2660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065"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3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0"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2745" TargetMode="External"/><Relationship Id="rId14" Type="http://schemas.openxmlformats.org/officeDocument/2006/relationships/hyperlink" Target="http://www.sec.gov/cgi-bin/browse-edgar?action=getcompany&amp;CIK=0001704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2020-07-30T17:22:59Z</dcterms:created>
  <dcterms:modified xsi:type="dcterms:W3CDTF">2020-07-30T17:22:59Z</dcterms:modified>
</cp:coreProperties>
</file>