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259715</wp:posOffset>
            </wp:positionH>
            <wp:positionV relativeFrom="page">
              <wp:posOffset>706120</wp:posOffset>
            </wp:positionV>
            <wp:extent cx="7037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637540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180340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52705</wp:posOffset>
            </wp:positionV>
            <wp:extent cx="2374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6, 2026</w:t>
      </w:r>
    </w:p>
    <w:p>
      <w:pPr>
        <w:spacing w:after="0" w:line="25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KLX ENERGY SERVICES HOLDINGS, INC.</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ectPr>
          <w:pgSz w:w="11900" w:h="16838" w:orient="portrait"/>
          <w:cols w:equalWidth="0" w:num="1">
            <w:col w:w="11220"/>
          </w:cols>
          <w:pgMar w:left="340" w:top="1424" w:right="339" w:bottom="1440" w:gutter="0" w:footer="0" w:header="0"/>
        </w:sectPr>
      </w:pPr>
    </w:p>
    <w:p>
      <w:pPr>
        <w:spacing w:after="0" w:line="2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001-38609</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36-4904146</w:t>
      </w:r>
    </w:p>
    <w:p>
      <w:pPr>
        <w:spacing w:after="0" w:line="72" w:lineRule="exact"/>
        <w:rPr>
          <w:sz w:val="24"/>
          <w:szCs w:val="24"/>
          <w:color w:val="auto"/>
        </w:rPr>
      </w:pPr>
    </w:p>
    <w:p>
      <w:pPr>
        <w:sectPr>
          <w:pgSz w:w="11900" w:h="16838" w:orient="portrait"/>
          <w:cols w:equalWidth="0" w:num="3">
            <w:col w:w="4540" w:space="720"/>
            <w:col w:w="2980" w:space="720"/>
            <w:col w:w="2260"/>
          </w:cols>
          <w:pgMar w:left="340" w:top="1424"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140" w:space="720"/>
            <w:col w:w="2780" w:space="720"/>
            <w:col w:w="2860"/>
          </w:cols>
          <w:pgMar w:left="340" w:top="1424" w:right="339" w:bottom="1440" w:gutter="0" w:footer="0" w:header="0"/>
          <w:type w:val="continuous"/>
        </w:sectPr>
      </w:pP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Houston, Texas 77056</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(832) 844-1015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address, if changed since last report)</w:t>
      </w:r>
    </w:p>
    <w:p>
      <w:pPr>
        <w:spacing w:after="0" w:line="383" w:lineRule="exact"/>
        <w:rPr>
          <w:sz w:val="24"/>
          <w:szCs w:val="24"/>
          <w:color w:val="auto"/>
        </w:rPr>
      </w:pPr>
    </w:p>
    <w:p>
      <w:pPr>
        <w:ind w:right="1060"/>
        <w:spacing w:after="0" w:line="27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20"/>
          <w:szCs w:val="20"/>
          <w:color w:val="auto"/>
        </w:rPr>
      </w:pPr>
    </w:p>
    <w:p>
      <w:pPr>
        <w:ind w:right="3560" w:firstLine="6"/>
        <w:spacing w:after="0" w:line="462" w:lineRule="auto"/>
        <w:tabs>
          <w:tab w:leader="none" w:pos="418"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20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30"/>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KLXE</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r>
        <w:trPr>
          <w:trHeight w:val="45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_____________________</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37"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400" w:hanging="394"/>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4" w:right="339" w:bottom="1440" w:gutter="0" w:footer="0" w:header="0"/>
          <w:type w:val="continuous"/>
        </w:sectPr>
      </w:pPr>
    </w:p>
    <w:bookmarkStart w:id="1" w:name="page2"/>
    <w:bookmarkEnd w:id="1"/>
    <w:p>
      <w:pPr>
        <w:ind w:left="20"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951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6951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5.07 Submission of Matters to a Vote of Security Holders.</w:t>
      </w:r>
    </w:p>
    <w:p>
      <w:pPr>
        <w:spacing w:after="0" w:line="250"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6"/>
          <w:szCs w:val="16"/>
          <w:color w:val="auto"/>
        </w:rPr>
        <w:t>KLX Energy Services Holdings, Inc. (the “Company”) held its 2026 Annual Meeting of Stockholders (the “Annual Meeting”) on May 6, 2026. There were 19,668,752 shares issued and outstanding and entitled to vote as of March 17, 2026, the record date for the Annual Meeting.</w:t>
      </w:r>
    </w:p>
    <w:p>
      <w:pPr>
        <w:spacing w:after="0" w:line="20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following are final voting results for the proposals considered and voted upon at the Annual Meeting, each of which is more fully described in the Company’s definitive proxy statement for the Annual Meeting filed with the U.S. Securities and Exchange Commission (the “SEC”) on March 26, 2026:</w:t>
      </w:r>
    </w:p>
    <w:p>
      <w:pPr>
        <w:spacing w:after="0" w:line="20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6"/>
          <w:szCs w:val="16"/>
          <w:u w:val="single" w:color="auto"/>
          <w:color w:val="auto"/>
        </w:rPr>
        <w:t>Item No. 1 – Declassification of the Board</w:t>
      </w:r>
      <w:r>
        <w:rPr>
          <w:rFonts w:ascii="Times New Roman" w:cs="Times New Roman" w:eastAsia="Times New Roman" w:hAnsi="Times New Roman"/>
          <w:sz w:val="16"/>
          <w:szCs w:val="16"/>
          <w:color w:val="auto"/>
        </w:rPr>
        <w:t>. The declassification of the Board of Directors of the Company (the “Board”) was not approved, as the affirmative vote of 66 2/3% in voting power of the outstanding voting stock of the Company was required for approval. Votes were as follows:</w:t>
      </w:r>
    </w:p>
    <w:tbl>
      <w:tblPr>
        <w:tblLayout w:type="fixed"/>
        <w:tblInd w:w="840" w:type="dxa"/>
        <w:tblCellMar>
          <w:top w:w="0" w:type="dxa"/>
          <w:left w:w="0" w:type="dxa"/>
          <w:bottom w:w="0" w:type="dxa"/>
          <w:right w:w="0" w:type="dxa"/>
        </w:tblCellMar>
      </w:tblPr>
      <w:tr>
        <w:trPr>
          <w:trHeight w:val="179"/>
        </w:trPr>
        <w:tc>
          <w:tcPr>
            <w:tcW w:w="140" w:type="dxa"/>
            <w:vAlign w:val="bottom"/>
          </w:tcPr>
          <w:p>
            <w:pPr>
              <w:spacing w:after="0"/>
              <w:rPr>
                <w:sz w:val="15"/>
                <w:szCs w:val="15"/>
                <w:color w:val="auto"/>
              </w:rPr>
            </w:pPr>
          </w:p>
        </w:tc>
        <w:tc>
          <w:tcPr>
            <w:tcW w:w="1280" w:type="dxa"/>
            <w:vAlign w:val="bottom"/>
            <w:gridSpan w:val="2"/>
          </w:tcPr>
          <w:p>
            <w:pPr>
              <w:jc w:val="center"/>
              <w:ind w:right="940"/>
              <w:spacing w:after="0" w:line="179" w:lineRule="exact"/>
              <w:rPr>
                <w:sz w:val="20"/>
                <w:szCs w:val="20"/>
                <w:color w:val="auto"/>
              </w:rPr>
            </w:pPr>
            <w:r>
              <w:rPr>
                <w:rFonts w:ascii="Times New Roman" w:cs="Times New Roman" w:eastAsia="Times New Roman" w:hAnsi="Times New Roman"/>
                <w:sz w:val="16"/>
                <w:szCs w:val="16"/>
                <w:b w:val="1"/>
                <w:bCs w:val="1"/>
                <w:color w:val="auto"/>
              </w:rPr>
              <w:t>FOR</w:t>
            </w:r>
          </w:p>
        </w:tc>
        <w:tc>
          <w:tcPr>
            <w:tcW w:w="3100" w:type="dxa"/>
            <w:vAlign w:val="bottom"/>
            <w:gridSpan w:val="3"/>
          </w:tcPr>
          <w:p>
            <w:pPr>
              <w:jc w:val="center"/>
              <w:ind w:right="800"/>
              <w:spacing w:after="0" w:line="179" w:lineRule="exact"/>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gridSpan w:val="2"/>
          </w:tcPr>
          <w:p>
            <w:pPr>
              <w:jc w:val="center"/>
              <w:ind w:right="580"/>
              <w:spacing w:after="0" w:line="179" w:lineRule="exact"/>
              <w:rPr>
                <w:sz w:val="20"/>
                <w:szCs w:val="20"/>
                <w:color w:val="auto"/>
              </w:rPr>
            </w:pPr>
            <w:r>
              <w:rPr>
                <w:rFonts w:ascii="Times New Roman" w:cs="Times New Roman" w:eastAsia="Times New Roman" w:hAnsi="Times New Roman"/>
                <w:sz w:val="16"/>
                <w:szCs w:val="16"/>
                <w:b w:val="1"/>
                <w:bCs w:val="1"/>
                <w:color w:val="auto"/>
                <w:w w:val="98"/>
              </w:rPr>
              <w:t>ABSTAIN</w:t>
            </w:r>
          </w:p>
        </w:tc>
        <w:tc>
          <w:tcPr>
            <w:tcW w:w="2260" w:type="dxa"/>
            <w:vAlign w:val="bottom"/>
            <w:gridSpan w:val="2"/>
          </w:tcPr>
          <w:p>
            <w:pPr>
              <w:jc w:val="center"/>
              <w:ind w:left="479"/>
              <w:spacing w:after="0" w:line="179" w:lineRule="exact"/>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w w:val="96"/>
              </w:rPr>
              <w:t>4,494,922</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584,884</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167,141</w:t>
            </w:r>
          </w:p>
        </w:tc>
        <w:tc>
          <w:tcPr>
            <w:tcW w:w="580" w:type="dxa"/>
            <w:vAlign w:val="bottom"/>
          </w:tcPr>
          <w:p>
            <w:pPr>
              <w:spacing w:after="0"/>
              <w:rPr>
                <w:sz w:val="21"/>
                <w:szCs w:val="21"/>
                <w:color w:val="auto"/>
              </w:rPr>
            </w:pPr>
          </w:p>
        </w:tc>
        <w:tc>
          <w:tcPr>
            <w:tcW w:w="2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8,518,261</w:t>
            </w:r>
          </w:p>
        </w:tc>
      </w:tr>
    </w:tbl>
    <w:p>
      <w:pPr>
        <w:spacing w:after="0" w:line="330" w:lineRule="exact"/>
        <w:rPr>
          <w:sz w:val="20"/>
          <w:szCs w:val="20"/>
          <w:color w:val="auto"/>
        </w:rPr>
      </w:pPr>
    </w:p>
    <w:p>
      <w:pPr>
        <w:ind w:right="60" w:firstLine="324"/>
        <w:spacing w:after="0" w:line="263" w:lineRule="auto"/>
        <w:rPr>
          <w:sz w:val="20"/>
          <w:szCs w:val="20"/>
          <w:color w:val="auto"/>
        </w:rPr>
      </w:pPr>
      <w:r>
        <w:rPr>
          <w:rFonts w:ascii="Times New Roman" w:cs="Times New Roman" w:eastAsia="Times New Roman" w:hAnsi="Times New Roman"/>
          <w:sz w:val="16"/>
          <w:szCs w:val="16"/>
          <w:u w:val="single" w:color="auto"/>
          <w:color w:val="auto"/>
        </w:rPr>
        <w:t>Item No. 2 – Election of Class II Directors</w:t>
      </w:r>
      <w:r>
        <w:rPr>
          <w:rFonts w:ascii="Times New Roman" w:cs="Times New Roman" w:eastAsia="Times New Roman" w:hAnsi="Times New Roman"/>
          <w:sz w:val="16"/>
          <w:szCs w:val="16"/>
          <w:color w:val="auto"/>
        </w:rPr>
        <w:t>. The two nominees were elected to serve as Class II Directors until the 2029 Annual Meeting of Stockholders and until their successors are duly elected or qualified. Votes were as follows:</w:t>
      </w:r>
    </w:p>
    <w:p>
      <w:pPr>
        <w:spacing w:after="0" w:line="7"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188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820" w:type="dxa"/>
            <w:vAlign w:val="bottom"/>
          </w:tcPr>
          <w:p>
            <w:pPr>
              <w:spacing w:after="0"/>
              <w:rPr>
                <w:sz w:val="16"/>
                <w:szCs w:val="16"/>
                <w:color w:val="auto"/>
              </w:rPr>
            </w:pPr>
          </w:p>
        </w:tc>
        <w:tc>
          <w:tcPr>
            <w:tcW w:w="126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FOR</w:t>
            </w:r>
          </w:p>
        </w:tc>
        <w:tc>
          <w:tcPr>
            <w:tcW w:w="27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WITHHOLD</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w w:val="99"/>
              </w:rPr>
              <w:t>John T. Collins</w:t>
            </w: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3,924,578</w:t>
            </w:r>
          </w:p>
        </w:tc>
        <w:tc>
          <w:tcPr>
            <w:tcW w:w="170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w w:val="99"/>
              </w:rPr>
              <w:t>1,316,868</w:t>
            </w:r>
          </w:p>
        </w:tc>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8,518,261</w:t>
            </w:r>
          </w:p>
        </w:tc>
      </w:tr>
      <w:tr>
        <w:trPr>
          <w:trHeight w:val="229"/>
        </w:trPr>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Danielle E. Hunter</w:t>
            </w: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3,949,498</w:t>
            </w:r>
          </w:p>
        </w:tc>
        <w:tc>
          <w:tcPr>
            <w:tcW w:w="170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w w:val="99"/>
              </w:rPr>
              <w:t>1,296,946</w:t>
            </w:r>
          </w:p>
        </w:tc>
        <w:tc>
          <w:tcPr>
            <w:tcW w:w="10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8,518,261</w:t>
            </w:r>
          </w:p>
        </w:tc>
      </w:tr>
    </w:tbl>
    <w:p>
      <w:pPr>
        <w:spacing w:after="0" w:line="330"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6"/>
          <w:szCs w:val="16"/>
          <w:u w:val="single" w:color="auto"/>
          <w:color w:val="auto"/>
        </w:rPr>
        <w:t>Item No. 3 – Compensation of Named Executive Officers</w:t>
      </w:r>
      <w:r>
        <w:rPr>
          <w:rFonts w:ascii="Times New Roman" w:cs="Times New Roman" w:eastAsia="Times New Roman" w:hAnsi="Times New Roman"/>
          <w:sz w:val="16"/>
          <w:szCs w:val="16"/>
          <w:color w:val="auto"/>
        </w:rPr>
        <w:t>. The resolution to approve the compensation of Named Executive Officers on a non-binding, advisory basis was approved. Votes were as follows:</w:t>
      </w:r>
    </w:p>
    <w:tbl>
      <w:tblPr>
        <w:tblLayout w:type="fixed"/>
        <w:tblInd w:w="840" w:type="dxa"/>
        <w:tblCellMar>
          <w:top w:w="0" w:type="dxa"/>
          <w:left w:w="0" w:type="dxa"/>
          <w:bottom w:w="0" w:type="dxa"/>
          <w:right w:w="0" w:type="dxa"/>
        </w:tblCellMar>
      </w:tblPr>
      <w:tr>
        <w:trPr>
          <w:trHeight w:val="179"/>
        </w:trPr>
        <w:tc>
          <w:tcPr>
            <w:tcW w:w="140" w:type="dxa"/>
            <w:vAlign w:val="bottom"/>
          </w:tcPr>
          <w:p>
            <w:pPr>
              <w:spacing w:after="0"/>
              <w:rPr>
                <w:sz w:val="15"/>
                <w:szCs w:val="15"/>
                <w:color w:val="auto"/>
              </w:rPr>
            </w:pPr>
          </w:p>
        </w:tc>
        <w:tc>
          <w:tcPr>
            <w:tcW w:w="1280" w:type="dxa"/>
            <w:vAlign w:val="bottom"/>
            <w:gridSpan w:val="2"/>
          </w:tcPr>
          <w:p>
            <w:pPr>
              <w:jc w:val="center"/>
              <w:ind w:right="940"/>
              <w:spacing w:after="0" w:line="179" w:lineRule="exact"/>
              <w:rPr>
                <w:sz w:val="20"/>
                <w:szCs w:val="20"/>
                <w:color w:val="auto"/>
              </w:rPr>
            </w:pPr>
            <w:r>
              <w:rPr>
                <w:rFonts w:ascii="Times New Roman" w:cs="Times New Roman" w:eastAsia="Times New Roman" w:hAnsi="Times New Roman"/>
                <w:sz w:val="16"/>
                <w:szCs w:val="16"/>
                <w:b w:val="1"/>
                <w:bCs w:val="1"/>
                <w:color w:val="auto"/>
              </w:rPr>
              <w:t>FOR</w:t>
            </w:r>
          </w:p>
        </w:tc>
        <w:tc>
          <w:tcPr>
            <w:tcW w:w="3100" w:type="dxa"/>
            <w:vAlign w:val="bottom"/>
            <w:gridSpan w:val="3"/>
          </w:tcPr>
          <w:p>
            <w:pPr>
              <w:jc w:val="center"/>
              <w:ind w:right="800"/>
              <w:spacing w:after="0" w:line="179" w:lineRule="exact"/>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gridSpan w:val="2"/>
          </w:tcPr>
          <w:p>
            <w:pPr>
              <w:jc w:val="center"/>
              <w:ind w:right="580"/>
              <w:spacing w:after="0" w:line="179" w:lineRule="exact"/>
              <w:rPr>
                <w:sz w:val="20"/>
                <w:szCs w:val="20"/>
                <w:color w:val="auto"/>
              </w:rPr>
            </w:pPr>
            <w:r>
              <w:rPr>
                <w:rFonts w:ascii="Times New Roman" w:cs="Times New Roman" w:eastAsia="Times New Roman" w:hAnsi="Times New Roman"/>
                <w:sz w:val="16"/>
                <w:szCs w:val="16"/>
                <w:b w:val="1"/>
                <w:bCs w:val="1"/>
                <w:color w:val="auto"/>
                <w:w w:val="98"/>
              </w:rPr>
              <w:t>ABSTAIN</w:t>
            </w:r>
          </w:p>
        </w:tc>
        <w:tc>
          <w:tcPr>
            <w:tcW w:w="2260" w:type="dxa"/>
            <w:vAlign w:val="bottom"/>
            <w:gridSpan w:val="2"/>
          </w:tcPr>
          <w:p>
            <w:pPr>
              <w:jc w:val="center"/>
              <w:ind w:left="479"/>
              <w:spacing w:after="0" w:line="179" w:lineRule="exact"/>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w w:val="96"/>
              </w:rPr>
              <w:t>4,008,678</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1,189,463</w:t>
            </w:r>
          </w:p>
        </w:tc>
        <w:tc>
          <w:tcPr>
            <w:tcW w:w="158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48,806</w:t>
            </w:r>
          </w:p>
        </w:tc>
        <w:tc>
          <w:tcPr>
            <w:tcW w:w="580" w:type="dxa"/>
            <w:vAlign w:val="bottom"/>
          </w:tcPr>
          <w:p>
            <w:pPr>
              <w:spacing w:after="0"/>
              <w:rPr>
                <w:sz w:val="21"/>
                <w:szCs w:val="21"/>
                <w:color w:val="auto"/>
              </w:rPr>
            </w:pPr>
          </w:p>
        </w:tc>
        <w:tc>
          <w:tcPr>
            <w:tcW w:w="2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8,518,261</w:t>
            </w:r>
          </w:p>
        </w:tc>
      </w:tr>
    </w:tbl>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Item No. 4 – Elimination of the Supermajority Voting Requirement to Amend the Company’s Bylaws</w:t>
      </w:r>
      <w:r>
        <w:rPr>
          <w:rFonts w:ascii="Times New Roman" w:cs="Times New Roman" w:eastAsia="Times New Roman" w:hAnsi="Times New Roman"/>
          <w:sz w:val="16"/>
          <w:szCs w:val="16"/>
          <w:color w:val="auto"/>
        </w:rPr>
        <w:t>. The elimination of the supermajority voting requirement to</w:t>
      </w:r>
    </w:p>
    <w:p>
      <w:pPr>
        <w:spacing w:after="0" w:line="23"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6"/>
          <w:szCs w:val="16"/>
          <w:color w:val="auto"/>
        </w:rPr>
        <w:t>amend the Company’s bylaws was not approved, as the affirmative vote of 66 2/3% in voting power of the outstanding voting stock of the Company was required for approval. Votes were as follows:</w:t>
      </w:r>
    </w:p>
    <w:p>
      <w:pPr>
        <w:spacing w:after="0" w:line="12"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8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FOR</w:t>
            </w:r>
          </w:p>
        </w:tc>
        <w:tc>
          <w:tcPr>
            <w:tcW w:w="31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22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w w:val="96"/>
              </w:rPr>
              <w:t>3,973,427</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759,312</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514,208</w:t>
            </w:r>
          </w:p>
        </w:tc>
        <w:tc>
          <w:tcPr>
            <w:tcW w:w="580" w:type="dxa"/>
            <w:vAlign w:val="bottom"/>
          </w:tcPr>
          <w:p>
            <w:pPr>
              <w:spacing w:after="0"/>
              <w:rPr>
                <w:sz w:val="21"/>
                <w:szCs w:val="21"/>
                <w:color w:val="auto"/>
              </w:rPr>
            </w:pPr>
          </w:p>
        </w:tc>
        <w:tc>
          <w:tcPr>
            <w:tcW w:w="2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8,518,261</w:t>
            </w:r>
          </w:p>
        </w:tc>
      </w:tr>
    </w:tbl>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Item No. 5 – Elimination of the Supermajority Voting Requirement to Amend the Company’s Certificate of Incorporation</w:t>
      </w:r>
      <w:r>
        <w:rPr>
          <w:rFonts w:ascii="Times New Roman" w:cs="Times New Roman" w:eastAsia="Times New Roman" w:hAnsi="Times New Roman"/>
          <w:sz w:val="16"/>
          <w:szCs w:val="16"/>
          <w:color w:val="auto"/>
        </w:rPr>
        <w:t>. The elimination of the supermajority voting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requirement to amend the Company’s certificate of incorporation was not approved, as the affirmative vote of 66 2/3% in voting power of the outstanding voting stock of the</w:t>
      </w:r>
    </w:p>
    <w:p>
      <w:pPr>
        <w:spacing w:after="0"/>
        <w:rPr>
          <w:sz w:val="20"/>
          <w:szCs w:val="20"/>
          <w:color w:val="auto"/>
        </w:rPr>
      </w:pPr>
      <w:r>
        <w:rPr>
          <w:rFonts w:ascii="Times New Roman" w:cs="Times New Roman" w:eastAsia="Times New Roman" w:hAnsi="Times New Roman"/>
          <w:sz w:val="16"/>
          <w:szCs w:val="16"/>
          <w:color w:val="auto"/>
        </w:rPr>
        <w:t>Company was required for approval. Votes were as follows:</w:t>
      </w:r>
    </w:p>
    <w:p>
      <w:pPr>
        <w:spacing w:after="0" w:line="19"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8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FOR</w:t>
            </w:r>
          </w:p>
        </w:tc>
        <w:tc>
          <w:tcPr>
            <w:tcW w:w="31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22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w w:val="96"/>
              </w:rPr>
              <w:t>3,941,445</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755,454</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550,048</w:t>
            </w:r>
          </w:p>
        </w:tc>
        <w:tc>
          <w:tcPr>
            <w:tcW w:w="580" w:type="dxa"/>
            <w:vAlign w:val="bottom"/>
          </w:tcPr>
          <w:p>
            <w:pPr>
              <w:spacing w:after="0"/>
              <w:rPr>
                <w:sz w:val="21"/>
                <w:szCs w:val="21"/>
                <w:color w:val="auto"/>
              </w:rPr>
            </w:pPr>
          </w:p>
        </w:tc>
        <w:tc>
          <w:tcPr>
            <w:tcW w:w="2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8,518,261</w:t>
            </w:r>
          </w:p>
        </w:tc>
      </w:tr>
    </w:tbl>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Item No. 6 – Selection of Independent Registered Public Accounting Firm</w:t>
      </w:r>
      <w:r>
        <w:rPr>
          <w:rFonts w:ascii="Times New Roman" w:cs="Times New Roman" w:eastAsia="Times New Roman" w:hAnsi="Times New Roman"/>
          <w:sz w:val="16"/>
          <w:szCs w:val="16"/>
          <w:color w:val="auto"/>
        </w:rPr>
        <w:t>. The selection of Deloitte &amp; Touche LLP was ratified. Votes were as follows:</w:t>
      </w:r>
    </w:p>
    <w:p>
      <w:pPr>
        <w:spacing w:after="0" w:line="37"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30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FOR</w:t>
            </w:r>
          </w:p>
        </w:tc>
        <w:tc>
          <w:tcPr>
            <w:tcW w:w="308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226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44"/>
        </w:trPr>
        <w:tc>
          <w:tcPr>
            <w:tcW w:w="148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w w:val="97"/>
              </w:rPr>
              <w:t>12,546,443</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1,206,721</w:t>
            </w:r>
          </w:p>
        </w:tc>
        <w:tc>
          <w:tcPr>
            <w:tcW w:w="158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12,044</w:t>
            </w:r>
          </w:p>
        </w:tc>
        <w:tc>
          <w:tcPr>
            <w:tcW w:w="580" w:type="dxa"/>
            <w:vAlign w:val="bottom"/>
          </w:tcPr>
          <w:p>
            <w:pPr>
              <w:spacing w:after="0"/>
              <w:rPr>
                <w:sz w:val="21"/>
                <w:szCs w:val="21"/>
                <w:color w:val="auto"/>
              </w:rPr>
            </w:pPr>
          </w:p>
        </w:tc>
        <w:tc>
          <w:tcPr>
            <w:tcW w:w="226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0</w:t>
            </w:r>
          </w:p>
        </w:tc>
      </w:tr>
    </w:tbl>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other matters were submitted for stockholder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1207770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77"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KLX Energy Services Holdings, Inc.</w:t>
      </w:r>
    </w:p>
    <w:p>
      <w:pPr>
        <w:spacing w:after="0" w:line="275"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29210</wp:posOffset>
            </wp:positionV>
            <wp:extent cx="3094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3"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Name:</w:t>
        <w:tab/>
        <w:t>Max L. Bouthillette</w:t>
      </w:r>
    </w:p>
    <w:p>
      <w:pPr>
        <w:spacing w:after="0" w:line="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Executive Vice President, General Counsel, Chief Compliance Officer and</w:t>
      </w:r>
    </w:p>
    <w:p>
      <w:pPr>
        <w:spacing w:after="0" w:line="26"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Secretary</w:t>
      </w:r>
    </w:p>
    <w:p>
      <w:pPr>
        <w:spacing w:after="0" w:line="51"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11, 2026</w:t>
      </w:r>
    </w:p>
    <w:sectPr>
      <w:pgSz w:w="11900" w:h="16838" w:orient="portrait"/>
      <w:cols w:equalWidth="0" w:num="1">
        <w:col w:w="10900"/>
      </w:cols>
      <w:pgMar w:left="320" w:top="61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2026-05-11T15:28:59Z</dcterms:created>
  <dcterms:modified xsi:type="dcterms:W3CDTF">2026-05-11T15:28:59Z</dcterms:modified>
</cp:coreProperties>
</file>