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20" w:type="dxa"/>
        <w:tblCellMar>
          <w:top w:w="0" w:type="dxa"/>
          <w:left w:w="0" w:type="dxa"/>
          <w:bottom w:w="0" w:type="dxa"/>
          <w:right w:w="0" w:type="dxa"/>
        </w:tblCellMar>
      </w:tblPr>
      <w:tr>
        <w:trPr>
          <w:trHeight w:val="207"/>
        </w:trPr>
        <w:tc>
          <w:tcPr>
            <w:tcW w:w="2460" w:type="dxa"/>
            <w:vAlign w:val="bottom"/>
            <w:gridSpan w:val="2"/>
          </w:tcPr>
          <w:p>
            <w:pPr>
              <w:spacing w:after="0"/>
              <w:rPr>
                <w:rFonts w:ascii="Arial" w:cs="Arial" w:eastAsia="Arial" w:hAnsi="Arial"/>
                <w:sz w:val="18"/>
                <w:szCs w:val="18"/>
                <w:color w:val="0563C1"/>
              </w:rPr>
            </w:pPr>
            <w:hyperlink w:anchor="page2">
              <w:r>
                <w:rPr>
                  <w:rFonts w:ascii="Arial" w:cs="Arial" w:eastAsia="Arial" w:hAnsi="Arial"/>
                  <w:sz w:val="18"/>
                  <w:szCs w:val="18"/>
                  <w:color w:val="0563C1"/>
                </w:rPr>
                <w:t>Table of Contents</w:t>
              </w:r>
            </w:hyperlink>
          </w:p>
        </w:tc>
        <w:tc>
          <w:tcPr>
            <w:tcW w:w="7780" w:type="dxa"/>
            <w:vAlign w:val="bottom"/>
          </w:tcPr>
          <w:p>
            <w:pPr>
              <w:spacing w:after="0"/>
              <w:rPr>
                <w:sz w:val="17"/>
                <w:szCs w:val="17"/>
                <w:color w:val="auto"/>
              </w:rPr>
            </w:pPr>
          </w:p>
        </w:tc>
      </w:tr>
      <w:tr>
        <w:trPr>
          <w:trHeight w:val="727"/>
        </w:trPr>
        <w:tc>
          <w:tcPr>
            <w:tcW w:w="1400" w:type="dxa"/>
            <w:vAlign w:val="bottom"/>
            <w:tcBorders>
              <w:top w:val="single" w:sz="8" w:color="0563C1"/>
            </w:tcBorders>
          </w:tcPr>
          <w:p>
            <w:pPr>
              <w:spacing w:after="0"/>
              <w:rPr>
                <w:sz w:val="24"/>
                <w:szCs w:val="24"/>
                <w:color w:val="auto"/>
              </w:rPr>
            </w:pPr>
          </w:p>
        </w:tc>
        <w:tc>
          <w:tcPr>
            <w:tcW w:w="1060" w:type="dxa"/>
            <w:vAlign w:val="bottom"/>
          </w:tcPr>
          <w:p>
            <w:pPr>
              <w:spacing w:after="0"/>
              <w:rPr>
                <w:sz w:val="24"/>
                <w:szCs w:val="24"/>
                <w:color w:val="auto"/>
              </w:rPr>
            </w:pPr>
          </w:p>
        </w:tc>
        <w:tc>
          <w:tcPr>
            <w:tcW w:w="7780" w:type="dxa"/>
            <w:vAlign w:val="bottom"/>
          </w:tcPr>
          <w:p>
            <w:pPr>
              <w:jc w:val="center"/>
              <w:ind w:right="2210"/>
              <w:spacing w:after="0"/>
              <w:rPr>
                <w:sz w:val="20"/>
                <w:szCs w:val="20"/>
                <w:color w:val="auto"/>
              </w:rPr>
            </w:pPr>
            <w:r>
              <w:rPr>
                <w:rFonts w:ascii="Arial" w:cs="Arial" w:eastAsia="Arial" w:hAnsi="Arial"/>
                <w:sz w:val="18"/>
                <w:szCs w:val="18"/>
                <w:b w:val="1"/>
                <w:bCs w:val="1"/>
                <w:color w:val="auto"/>
                <w:w w:val="97"/>
              </w:rPr>
              <w:t>UNITED STATES</w:t>
            </w:r>
          </w:p>
        </w:tc>
      </w:tr>
      <w:tr>
        <w:trPr>
          <w:trHeight w:val="203"/>
        </w:trPr>
        <w:tc>
          <w:tcPr>
            <w:tcW w:w="14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780" w:type="dxa"/>
            <w:vAlign w:val="bottom"/>
          </w:tcPr>
          <w:p>
            <w:pPr>
              <w:jc w:val="center"/>
              <w:ind w:right="2230"/>
              <w:spacing w:after="0" w:line="202" w:lineRule="exact"/>
              <w:rPr>
                <w:sz w:val="20"/>
                <w:szCs w:val="20"/>
                <w:color w:val="auto"/>
              </w:rPr>
            </w:pPr>
            <w:r>
              <w:rPr>
                <w:rFonts w:ascii="Arial" w:cs="Arial" w:eastAsia="Arial" w:hAnsi="Arial"/>
                <w:sz w:val="18"/>
                <w:szCs w:val="18"/>
                <w:b w:val="1"/>
                <w:bCs w:val="1"/>
                <w:color w:val="auto"/>
                <w:w w:val="99"/>
              </w:rPr>
              <w:t>SECURITIES AND EXCHANGE COMMISSION</w:t>
            </w:r>
          </w:p>
        </w:tc>
      </w:tr>
      <w:tr>
        <w:trPr>
          <w:trHeight w:val="239"/>
        </w:trPr>
        <w:tc>
          <w:tcPr>
            <w:tcW w:w="14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780" w:type="dxa"/>
            <w:vAlign w:val="bottom"/>
          </w:tcPr>
          <w:p>
            <w:pPr>
              <w:jc w:val="center"/>
              <w:ind w:right="2210"/>
              <w:spacing w:after="0"/>
              <w:rPr>
                <w:sz w:val="20"/>
                <w:szCs w:val="20"/>
                <w:color w:val="auto"/>
              </w:rPr>
            </w:pPr>
            <w:r>
              <w:rPr>
                <w:rFonts w:ascii="Arial" w:cs="Arial" w:eastAsia="Arial" w:hAnsi="Arial"/>
                <w:sz w:val="18"/>
                <w:szCs w:val="18"/>
                <w:b w:val="1"/>
                <w:bCs w:val="1"/>
                <w:color w:val="auto"/>
                <w:w w:val="99"/>
              </w:rPr>
              <w:t>WASHINGTON, D.C. 20549</w:t>
            </w:r>
          </w:p>
        </w:tc>
      </w:tr>
      <w:tr>
        <w:trPr>
          <w:trHeight w:val="405"/>
        </w:trPr>
        <w:tc>
          <w:tcPr>
            <w:tcW w:w="1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780" w:type="dxa"/>
            <w:vAlign w:val="bottom"/>
          </w:tcPr>
          <w:p>
            <w:pPr>
              <w:jc w:val="center"/>
              <w:ind w:right="2230"/>
              <w:spacing w:after="0"/>
              <w:rPr>
                <w:sz w:val="20"/>
                <w:szCs w:val="20"/>
                <w:color w:val="auto"/>
              </w:rPr>
            </w:pPr>
            <w:r>
              <w:rPr>
                <w:rFonts w:ascii="Arial" w:cs="Arial" w:eastAsia="Arial" w:hAnsi="Arial"/>
                <w:sz w:val="18"/>
                <w:szCs w:val="18"/>
                <w:b w:val="1"/>
                <w:bCs w:val="1"/>
                <w:color w:val="auto"/>
                <w:w w:val="99"/>
              </w:rPr>
              <w:t>FORM 10-Q</w:t>
            </w:r>
          </w:p>
        </w:tc>
      </w:tr>
      <w:tr>
        <w:trPr>
          <w:trHeight w:val="391"/>
        </w:trPr>
        <w:tc>
          <w:tcPr>
            <w:tcW w:w="1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780" w:type="dxa"/>
            <w:vAlign w:val="bottom"/>
          </w:tcPr>
          <w:p>
            <w:pPr>
              <w:jc w:val="center"/>
              <w:ind w:right="2210"/>
              <w:spacing w:after="0"/>
              <w:rPr>
                <w:sz w:val="20"/>
                <w:szCs w:val="20"/>
                <w:color w:val="auto"/>
              </w:rPr>
            </w:pPr>
            <w:r>
              <w:rPr>
                <w:rFonts w:ascii="Arial" w:cs="Arial" w:eastAsia="Arial" w:hAnsi="Arial"/>
                <w:sz w:val="18"/>
                <w:szCs w:val="18"/>
                <w:color w:val="auto"/>
                <w:w w:val="99"/>
              </w:rPr>
              <w:t>Quarterly Report Pursuant to Section 13 or 15(d)</w:t>
            </w:r>
          </w:p>
        </w:tc>
      </w:tr>
      <w:tr>
        <w:trPr>
          <w:trHeight w:val="217"/>
        </w:trPr>
        <w:tc>
          <w:tcPr>
            <w:tcW w:w="14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780" w:type="dxa"/>
            <w:vAlign w:val="bottom"/>
          </w:tcPr>
          <w:p>
            <w:pPr>
              <w:jc w:val="center"/>
              <w:ind w:right="2230"/>
              <w:spacing w:after="0"/>
              <w:rPr>
                <w:sz w:val="20"/>
                <w:szCs w:val="20"/>
                <w:color w:val="auto"/>
              </w:rPr>
            </w:pPr>
            <w:r>
              <w:rPr>
                <w:rFonts w:ascii="Arial" w:cs="Arial" w:eastAsia="Arial" w:hAnsi="Arial"/>
                <w:sz w:val="18"/>
                <w:szCs w:val="18"/>
                <w:color w:val="auto"/>
                <w:w w:val="99"/>
              </w:rPr>
              <w:t>of the Securities Exchange Act of 1934</w:t>
            </w:r>
          </w:p>
        </w:tc>
      </w:tr>
      <w:tr>
        <w:trPr>
          <w:trHeight w:val="608"/>
        </w:trPr>
        <w:tc>
          <w:tcPr>
            <w:tcW w:w="1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780" w:type="dxa"/>
            <w:vAlign w:val="bottom"/>
          </w:tcPr>
          <w:p>
            <w:pPr>
              <w:jc w:val="center"/>
              <w:ind w:right="2210"/>
              <w:spacing w:after="0"/>
              <w:rPr>
                <w:sz w:val="20"/>
                <w:szCs w:val="20"/>
                <w:color w:val="auto"/>
              </w:rPr>
            </w:pPr>
            <w:r>
              <w:rPr>
                <w:rFonts w:ascii="Arial" w:cs="Arial" w:eastAsia="Arial" w:hAnsi="Arial"/>
                <w:sz w:val="18"/>
                <w:szCs w:val="18"/>
                <w:b w:val="1"/>
                <w:bCs w:val="1"/>
                <w:color w:val="auto"/>
                <w:w w:val="99"/>
              </w:rPr>
              <w:t>For The Quarterly Period Ended July 31, 2019</w:t>
            </w:r>
          </w:p>
        </w:tc>
      </w:tr>
      <w:tr>
        <w:trPr>
          <w:trHeight w:val="405"/>
        </w:trPr>
        <w:tc>
          <w:tcPr>
            <w:tcW w:w="1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780" w:type="dxa"/>
            <w:vAlign w:val="bottom"/>
          </w:tcPr>
          <w:p>
            <w:pPr>
              <w:jc w:val="center"/>
              <w:ind w:right="2230"/>
              <w:spacing w:after="0"/>
              <w:rPr>
                <w:sz w:val="20"/>
                <w:szCs w:val="20"/>
                <w:color w:val="auto"/>
              </w:rPr>
            </w:pPr>
            <w:r>
              <w:rPr>
                <w:rFonts w:ascii="Arial" w:cs="Arial" w:eastAsia="Arial" w:hAnsi="Arial"/>
                <w:sz w:val="18"/>
                <w:szCs w:val="18"/>
                <w:color w:val="auto"/>
              </w:rPr>
              <w:t>Commission File No. 001-38609</w:t>
            </w:r>
          </w:p>
        </w:tc>
      </w:tr>
      <w:tr>
        <w:trPr>
          <w:trHeight w:val="608"/>
        </w:trPr>
        <w:tc>
          <w:tcPr>
            <w:tcW w:w="1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780" w:type="dxa"/>
            <w:vAlign w:val="bottom"/>
          </w:tcPr>
          <w:p>
            <w:pPr>
              <w:jc w:val="center"/>
              <w:ind w:right="2230"/>
              <w:spacing w:after="0"/>
              <w:rPr>
                <w:sz w:val="20"/>
                <w:szCs w:val="20"/>
                <w:color w:val="auto"/>
              </w:rPr>
            </w:pPr>
            <w:r>
              <w:rPr>
                <w:rFonts w:ascii="Arial" w:cs="Arial" w:eastAsia="Arial" w:hAnsi="Arial"/>
                <w:sz w:val="18"/>
                <w:szCs w:val="18"/>
                <w:b w:val="1"/>
                <w:bCs w:val="1"/>
                <w:color w:val="auto"/>
                <w:w w:val="99"/>
              </w:rPr>
              <w:t>KLX ENERGY SERVICES HOLDINGS, INC.</w:t>
            </w:r>
          </w:p>
        </w:tc>
      </w:tr>
      <w:tr>
        <w:trPr>
          <w:trHeight w:val="243"/>
        </w:trPr>
        <w:tc>
          <w:tcPr>
            <w:tcW w:w="14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7780" w:type="dxa"/>
            <w:vAlign w:val="bottom"/>
          </w:tcPr>
          <w:p>
            <w:pPr>
              <w:jc w:val="center"/>
              <w:ind w:right="2230"/>
              <w:spacing w:after="0"/>
              <w:rPr>
                <w:sz w:val="20"/>
                <w:szCs w:val="20"/>
                <w:color w:val="auto"/>
              </w:rPr>
            </w:pPr>
            <w:r>
              <w:rPr>
                <w:rFonts w:ascii="Arial" w:cs="Arial" w:eastAsia="Arial" w:hAnsi="Arial"/>
                <w:sz w:val="18"/>
                <w:szCs w:val="18"/>
                <w:color w:val="auto"/>
                <w:w w:val="99"/>
              </w:rPr>
              <w:t>(Exact name of registrant as specified in its charter)</w:t>
            </w:r>
          </w:p>
        </w:tc>
      </w:tr>
      <w:tr>
        <w:trPr>
          <w:trHeight w:val="607"/>
        </w:trPr>
        <w:tc>
          <w:tcPr>
            <w:tcW w:w="2460" w:type="dxa"/>
            <w:vAlign w:val="bottom"/>
            <w:gridSpan w:val="2"/>
          </w:tcPr>
          <w:p>
            <w:pPr>
              <w:spacing w:after="0"/>
              <w:rPr>
                <w:sz w:val="20"/>
                <w:szCs w:val="20"/>
                <w:color w:val="auto"/>
              </w:rPr>
            </w:pPr>
            <w:r>
              <w:rPr>
                <w:rFonts w:ascii="Arial" w:cs="Arial" w:eastAsia="Arial" w:hAnsi="Arial"/>
                <w:sz w:val="18"/>
                <w:szCs w:val="18"/>
                <w:color w:val="auto"/>
              </w:rPr>
              <w:t>DELAWARE</w:t>
            </w:r>
          </w:p>
        </w:tc>
        <w:tc>
          <w:tcPr>
            <w:tcW w:w="7780" w:type="dxa"/>
            <w:vAlign w:val="bottom"/>
          </w:tcPr>
          <w:p>
            <w:pPr>
              <w:jc w:val="right"/>
              <w:spacing w:after="0"/>
              <w:rPr>
                <w:sz w:val="20"/>
                <w:szCs w:val="20"/>
                <w:color w:val="auto"/>
              </w:rPr>
            </w:pPr>
            <w:r>
              <w:rPr>
                <w:rFonts w:ascii="Arial" w:cs="Arial" w:eastAsia="Arial" w:hAnsi="Arial"/>
                <w:sz w:val="18"/>
                <w:szCs w:val="18"/>
                <w:color w:val="auto"/>
              </w:rPr>
              <w:t>36-4904146</w:t>
            </w:r>
          </w:p>
        </w:tc>
      </w:tr>
      <w:tr>
        <w:trPr>
          <w:trHeight w:val="217"/>
        </w:trPr>
        <w:tc>
          <w:tcPr>
            <w:tcW w:w="2460" w:type="dxa"/>
            <w:vAlign w:val="bottom"/>
            <w:gridSpan w:val="2"/>
          </w:tcPr>
          <w:p>
            <w:pPr>
              <w:spacing w:after="0"/>
              <w:rPr>
                <w:sz w:val="20"/>
                <w:szCs w:val="20"/>
                <w:color w:val="auto"/>
              </w:rPr>
            </w:pPr>
            <w:r>
              <w:rPr>
                <w:rFonts w:ascii="Arial" w:cs="Arial" w:eastAsia="Arial" w:hAnsi="Arial"/>
                <w:sz w:val="18"/>
                <w:szCs w:val="18"/>
                <w:color w:val="auto"/>
              </w:rPr>
              <w:t>(State of Incorporation)</w:t>
            </w:r>
          </w:p>
        </w:tc>
        <w:tc>
          <w:tcPr>
            <w:tcW w:w="7780" w:type="dxa"/>
            <w:vAlign w:val="bottom"/>
          </w:tcPr>
          <w:p>
            <w:pPr>
              <w:jc w:val="right"/>
              <w:spacing w:after="0"/>
              <w:rPr>
                <w:sz w:val="20"/>
                <w:szCs w:val="20"/>
                <w:color w:val="auto"/>
              </w:rPr>
            </w:pPr>
            <w:r>
              <w:rPr>
                <w:rFonts w:ascii="Arial" w:cs="Arial" w:eastAsia="Arial" w:hAnsi="Arial"/>
                <w:sz w:val="18"/>
                <w:szCs w:val="18"/>
                <w:color w:val="auto"/>
              </w:rPr>
              <w:t>(I.R.S. Employer Identification No.)</w:t>
            </w:r>
          </w:p>
        </w:tc>
      </w:tr>
      <w:tr>
        <w:trPr>
          <w:trHeight w:val="369"/>
        </w:trPr>
        <w:tc>
          <w:tcPr>
            <w:tcW w:w="1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780" w:type="dxa"/>
            <w:vAlign w:val="bottom"/>
          </w:tcPr>
          <w:p>
            <w:pPr>
              <w:jc w:val="center"/>
              <w:ind w:right="2230"/>
              <w:spacing w:after="0"/>
              <w:rPr>
                <w:sz w:val="20"/>
                <w:szCs w:val="20"/>
                <w:color w:val="auto"/>
              </w:rPr>
            </w:pPr>
            <w:r>
              <w:rPr>
                <w:rFonts w:ascii="Arial" w:cs="Arial" w:eastAsia="Arial" w:hAnsi="Arial"/>
                <w:sz w:val="18"/>
                <w:szCs w:val="18"/>
                <w:b w:val="1"/>
                <w:bCs w:val="1"/>
                <w:color w:val="auto"/>
                <w:w w:val="99"/>
              </w:rPr>
              <w:t>1300 Corporate Center Way</w:t>
            </w:r>
          </w:p>
        </w:tc>
      </w:tr>
      <w:tr>
        <w:trPr>
          <w:trHeight w:val="225"/>
        </w:trPr>
        <w:tc>
          <w:tcPr>
            <w:tcW w:w="14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7780" w:type="dxa"/>
            <w:vAlign w:val="bottom"/>
          </w:tcPr>
          <w:p>
            <w:pPr>
              <w:jc w:val="center"/>
              <w:ind w:right="2210"/>
              <w:spacing w:after="0"/>
              <w:rPr>
                <w:sz w:val="20"/>
                <w:szCs w:val="20"/>
                <w:color w:val="auto"/>
              </w:rPr>
            </w:pPr>
            <w:r>
              <w:rPr>
                <w:rFonts w:ascii="Arial" w:cs="Arial" w:eastAsia="Arial" w:hAnsi="Arial"/>
                <w:sz w:val="18"/>
                <w:szCs w:val="18"/>
                <w:b w:val="1"/>
                <w:bCs w:val="1"/>
                <w:color w:val="auto"/>
                <w:w w:val="99"/>
              </w:rPr>
              <w:t>Wellington, Florida 33414</w:t>
            </w:r>
          </w:p>
        </w:tc>
      </w:tr>
      <w:tr>
        <w:trPr>
          <w:trHeight w:val="217"/>
        </w:trPr>
        <w:tc>
          <w:tcPr>
            <w:tcW w:w="14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780" w:type="dxa"/>
            <w:vAlign w:val="bottom"/>
          </w:tcPr>
          <w:p>
            <w:pPr>
              <w:jc w:val="center"/>
              <w:ind w:right="2210"/>
              <w:spacing w:after="0"/>
              <w:rPr>
                <w:sz w:val="20"/>
                <w:szCs w:val="20"/>
                <w:color w:val="auto"/>
              </w:rPr>
            </w:pPr>
            <w:r>
              <w:rPr>
                <w:rFonts w:ascii="Arial" w:cs="Arial" w:eastAsia="Arial" w:hAnsi="Arial"/>
                <w:sz w:val="18"/>
                <w:szCs w:val="18"/>
                <w:color w:val="auto"/>
                <w:w w:val="99"/>
              </w:rPr>
              <w:t>(Address of principal executive offices)</w:t>
            </w:r>
          </w:p>
        </w:tc>
      </w:tr>
      <w:tr>
        <w:trPr>
          <w:trHeight w:val="391"/>
        </w:trPr>
        <w:tc>
          <w:tcPr>
            <w:tcW w:w="1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780" w:type="dxa"/>
            <w:vAlign w:val="bottom"/>
          </w:tcPr>
          <w:p>
            <w:pPr>
              <w:jc w:val="center"/>
              <w:ind w:right="2230"/>
              <w:spacing w:after="0"/>
              <w:rPr>
                <w:sz w:val="20"/>
                <w:szCs w:val="20"/>
                <w:color w:val="auto"/>
              </w:rPr>
            </w:pPr>
            <w:r>
              <w:rPr>
                <w:rFonts w:ascii="Arial" w:cs="Arial" w:eastAsia="Arial" w:hAnsi="Arial"/>
                <w:sz w:val="18"/>
                <w:szCs w:val="18"/>
                <w:b w:val="1"/>
                <w:bCs w:val="1"/>
                <w:color w:val="auto"/>
                <w:w w:val="99"/>
              </w:rPr>
              <w:t>(561) 383-5100</w:t>
            </w:r>
          </w:p>
        </w:tc>
      </w:tr>
      <w:tr>
        <w:trPr>
          <w:trHeight w:val="217"/>
        </w:trPr>
        <w:tc>
          <w:tcPr>
            <w:tcW w:w="14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780" w:type="dxa"/>
            <w:vAlign w:val="bottom"/>
          </w:tcPr>
          <w:p>
            <w:pPr>
              <w:jc w:val="center"/>
              <w:ind w:right="2230"/>
              <w:spacing w:after="0"/>
              <w:rPr>
                <w:sz w:val="20"/>
                <w:szCs w:val="20"/>
                <w:color w:val="auto"/>
              </w:rPr>
            </w:pPr>
            <w:r>
              <w:rPr>
                <w:rFonts w:ascii="Arial" w:cs="Arial" w:eastAsia="Arial" w:hAnsi="Arial"/>
                <w:sz w:val="18"/>
                <w:szCs w:val="18"/>
                <w:color w:val="auto"/>
                <w:w w:val="99"/>
              </w:rPr>
              <w:t>(Registrant's telephone number, including area code)</w:t>
            </w:r>
          </w:p>
        </w:tc>
      </w:tr>
    </w:tbl>
    <w:p>
      <w:pPr>
        <w:spacing w:after="0" w:line="188" w:lineRule="exact"/>
        <w:rPr>
          <w:sz w:val="24"/>
          <w:szCs w:val="24"/>
          <w:color w:val="auto"/>
        </w:rPr>
      </w:pPr>
    </w:p>
    <w:p>
      <w:pPr>
        <w:ind w:left="280"/>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90" w:lineRule="exact"/>
        <w:rPr>
          <w:sz w:val="24"/>
          <w:szCs w:val="24"/>
          <w:color w:val="auto"/>
        </w:rPr>
      </w:pPr>
    </w:p>
    <w:tbl>
      <w:tblPr>
        <w:tblLayout w:type="fixed"/>
        <w:tblInd w:w="0" w:type="dxa"/>
        <w:tblCellMar>
          <w:top w:w="0" w:type="dxa"/>
          <w:left w:w="0" w:type="dxa"/>
          <w:bottom w:w="0" w:type="dxa"/>
          <w:right w:w="0" w:type="dxa"/>
        </w:tblCellMar>
      </w:tblPr>
      <w:tr>
        <w:trPr>
          <w:trHeight w:val="225"/>
        </w:trPr>
        <w:tc>
          <w:tcPr>
            <w:tcW w:w="33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9"/>
              </w:rPr>
              <w:t>Title of Each Class</w:t>
            </w:r>
          </w:p>
        </w:tc>
        <w:tc>
          <w:tcPr>
            <w:tcW w:w="23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8"/>
              </w:rPr>
              <w:t>Trading Symbol(s)</w:t>
            </w:r>
          </w:p>
        </w:tc>
        <w:tc>
          <w:tcPr>
            <w:tcW w:w="4720" w:type="dxa"/>
            <w:vAlign w:val="bottom"/>
          </w:tcPr>
          <w:p>
            <w:pPr>
              <w:jc w:val="center"/>
              <w:spacing w:after="0"/>
              <w:rPr>
                <w:sz w:val="20"/>
                <w:szCs w:val="20"/>
                <w:color w:val="auto"/>
              </w:rPr>
            </w:pPr>
            <w:r>
              <w:rPr>
                <w:rFonts w:ascii="Arial" w:cs="Arial" w:eastAsia="Arial" w:hAnsi="Arial"/>
                <w:sz w:val="18"/>
                <w:szCs w:val="18"/>
                <w:b w:val="1"/>
                <w:bCs w:val="1"/>
                <w:color w:val="auto"/>
              </w:rPr>
              <w:t>Name of Each Exchange on Which Registered</w:t>
            </w:r>
          </w:p>
        </w:tc>
      </w:tr>
      <w:tr>
        <w:trPr>
          <w:trHeight w:val="210"/>
        </w:trPr>
        <w:tc>
          <w:tcPr>
            <w:tcW w:w="30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Common Stock, $0.01 Par Value</w:t>
            </w:r>
          </w:p>
        </w:tc>
        <w:tc>
          <w:tcPr>
            <w:tcW w:w="300" w:type="dxa"/>
            <w:vAlign w:val="bottom"/>
          </w:tcPr>
          <w:p>
            <w:pPr>
              <w:spacing w:after="0"/>
              <w:rPr>
                <w:sz w:val="18"/>
                <w:szCs w:val="18"/>
                <w:color w:val="auto"/>
              </w:rPr>
            </w:pPr>
          </w:p>
        </w:tc>
        <w:tc>
          <w:tcPr>
            <w:tcW w:w="20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KLXE</w:t>
            </w:r>
          </w:p>
        </w:tc>
        <w:tc>
          <w:tcPr>
            <w:tcW w:w="300" w:type="dxa"/>
            <w:vAlign w:val="bottom"/>
          </w:tcPr>
          <w:p>
            <w:pPr>
              <w:spacing w:after="0"/>
              <w:rPr>
                <w:sz w:val="18"/>
                <w:szCs w:val="18"/>
                <w:color w:val="auto"/>
              </w:rPr>
            </w:pPr>
          </w:p>
        </w:tc>
        <w:tc>
          <w:tcPr>
            <w:tcW w:w="47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The Nasdaq Global Select Market</w:t>
            </w:r>
          </w:p>
        </w:tc>
      </w:tr>
    </w:tbl>
    <w:p>
      <w:pPr>
        <w:spacing w:after="0" w:line="187" w:lineRule="exact"/>
        <w:rPr>
          <w:sz w:val="24"/>
          <w:szCs w:val="24"/>
          <w:color w:val="auto"/>
        </w:rPr>
      </w:pPr>
    </w:p>
    <w:p>
      <w:pPr>
        <w:jc w:val="both"/>
        <w:ind w:left="20" w:right="20" w:firstLine="259"/>
        <w:spacing w:after="0"/>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 ]</w:t>
      </w:r>
    </w:p>
    <w:p>
      <w:pPr>
        <w:spacing w:after="0" w:line="189" w:lineRule="exact"/>
        <w:rPr>
          <w:sz w:val="24"/>
          <w:szCs w:val="24"/>
          <w:color w:val="auto"/>
        </w:rPr>
      </w:pPr>
    </w:p>
    <w:p>
      <w:pPr>
        <w:jc w:val="both"/>
        <w:ind w:left="20" w:right="120" w:firstLine="259"/>
        <w:spacing w:after="0" w:line="248" w:lineRule="auto"/>
        <w:rPr>
          <w:sz w:val="20"/>
          <w:szCs w:val="20"/>
          <w:color w:val="auto"/>
        </w:rPr>
      </w:pPr>
      <w:r>
        <w:rPr>
          <w:rFonts w:ascii="Arial" w:cs="Arial" w:eastAsia="Arial" w:hAnsi="Arial"/>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[X] NO [ ]</w:t>
      </w:r>
    </w:p>
    <w:p>
      <w:pPr>
        <w:spacing w:after="0" w:line="182" w:lineRule="exact"/>
        <w:rPr>
          <w:sz w:val="24"/>
          <w:szCs w:val="24"/>
          <w:color w:val="auto"/>
        </w:rPr>
      </w:pPr>
    </w:p>
    <w:p>
      <w:pPr>
        <w:jc w:val="both"/>
        <w:ind w:left="20" w:firstLine="259"/>
        <w:spacing w:after="0" w:line="239"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 Large accelerated filer [ ] Accelerated filer [X] Non-accelerated filer [ ] Smaller reporting company [ ] Emerging growth company [X]</w:t>
      </w:r>
    </w:p>
    <w:p>
      <w:pPr>
        <w:spacing w:after="0" w:line="188" w:lineRule="exact"/>
        <w:rPr>
          <w:sz w:val="24"/>
          <w:szCs w:val="24"/>
          <w:color w:val="auto"/>
        </w:rPr>
      </w:pPr>
    </w:p>
    <w:p>
      <w:pPr>
        <w:jc w:val="both"/>
        <w:ind w:left="20" w:firstLine="259"/>
        <w:spacing w:after="0" w:line="246"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179" w:lineRule="exact"/>
        <w:rPr>
          <w:sz w:val="24"/>
          <w:szCs w:val="24"/>
          <w:color w:val="auto"/>
        </w:rPr>
      </w:pPr>
    </w:p>
    <w:p>
      <w:pPr>
        <w:ind w:left="28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 YES [ ] NO</w:t>
      </w:r>
    </w:p>
    <w:p>
      <w:pPr>
        <w:ind w:left="20"/>
        <w:spacing w:after="0"/>
        <w:rPr>
          <w:sz w:val="20"/>
          <w:szCs w:val="20"/>
          <w:color w:val="auto"/>
        </w:rPr>
      </w:pPr>
      <w:r>
        <w:rPr>
          <w:rFonts w:ascii="Arial" w:cs="Arial" w:eastAsia="Arial" w:hAnsi="Arial"/>
          <w:sz w:val="18"/>
          <w:szCs w:val="18"/>
          <w:color w:val="auto"/>
        </w:rPr>
        <w:t>[X]</w:t>
      </w:r>
    </w:p>
    <w:p>
      <w:pPr>
        <w:spacing w:after="0" w:line="198" w:lineRule="exact"/>
        <w:rPr>
          <w:sz w:val="24"/>
          <w:szCs w:val="24"/>
          <w:color w:val="auto"/>
        </w:rPr>
      </w:pPr>
    </w:p>
    <w:p>
      <w:pPr>
        <w:jc w:val="both"/>
        <w:ind w:left="20" w:firstLine="259"/>
        <w:spacing w:after="0" w:line="246" w:lineRule="auto"/>
        <w:rPr>
          <w:sz w:val="20"/>
          <w:szCs w:val="20"/>
          <w:color w:val="auto"/>
        </w:rPr>
      </w:pPr>
      <w:r>
        <w:rPr>
          <w:rFonts w:ascii="Arial" w:cs="Arial" w:eastAsia="Arial" w:hAnsi="Arial"/>
          <w:sz w:val="18"/>
          <w:szCs w:val="18"/>
          <w:color w:val="auto"/>
        </w:rPr>
        <w:t>The registrant has one class of common stock, $0.01 par value, of which 23,604,867 shares were outstanding as of August 19,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597535</wp:posOffset>
            </wp:positionV>
            <wp:extent cx="6612255"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20"/>
          </w:cols>
          <w:pgMar w:left="740" w:top="216" w:right="739" w:bottom="1440" w:gutter="0" w:footer="0" w:header="0"/>
        </w:sectPr>
      </w:pPr>
    </w:p>
    <w:bookmarkStart w:id="1" w:name="page2"/>
    <w:bookmarkEnd w:id="1"/>
    <w:p>
      <w:pPr>
        <w:spacing w:after="0"/>
        <w:rPr>
          <w:rFonts w:ascii="Arial" w:cs="Arial" w:eastAsia="Arial" w:hAnsi="Arial"/>
          <w:sz w:val="17"/>
          <w:szCs w:val="17"/>
          <w:u w:val="single" w:color="auto"/>
          <w:color w:val="0563C1"/>
        </w:rPr>
      </w:pPr>
      <w:hyperlink w:anchor="page2">
        <w:r>
          <w:rPr>
            <w:rFonts w:ascii="Arial" w:cs="Arial" w:eastAsia="Arial" w:hAnsi="Arial"/>
            <w:sz w:val="17"/>
            <w:szCs w:val="17"/>
            <w:u w:val="single" w:color="auto"/>
            <w:color w:val="0563C1"/>
          </w:rPr>
          <w:t>Table of Contents</w:t>
        </w:r>
      </w:hyperlink>
    </w:p>
    <w:p>
      <w:pPr>
        <w:sectPr>
          <w:pgSz w:w="11900" w:h="16838" w:orient="portrait"/>
          <w:cols w:equalWidth="0" w:num="1">
            <w:col w:w="9060"/>
          </w:cols>
          <w:pgMar w:left="1420" w:top="140" w:right="1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Part I</w:t>
        </w:r>
      </w:hyperlink>
    </w:p>
    <w:p>
      <w:pPr>
        <w:spacing w:after="0" w:line="274"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Item 1.</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rFonts w:ascii="Arial" w:cs="Arial" w:eastAsia="Arial" w:hAnsi="Arial"/>
          <w:sz w:val="18"/>
          <w:szCs w:val="18"/>
          <w:u w:val="single" w:color="auto"/>
          <w:color w:val="0000EE"/>
        </w:rPr>
      </w:pPr>
      <w:hyperlink w:anchor="page17">
        <w:r>
          <w:rPr>
            <w:rFonts w:ascii="Arial" w:cs="Arial" w:eastAsia="Arial" w:hAnsi="Arial"/>
            <w:sz w:val="18"/>
            <w:szCs w:val="18"/>
            <w:u w:val="single" w:color="auto"/>
            <w:color w:val="0000EE"/>
          </w:rPr>
          <w:t>Item 2.</w:t>
        </w:r>
      </w:hyperlink>
    </w:p>
    <w:p>
      <w:pPr>
        <w:spacing w:after="0" w:line="212" w:lineRule="exact"/>
        <w:rPr>
          <w:sz w:val="20"/>
          <w:szCs w:val="20"/>
          <w:color w:val="auto"/>
        </w:rPr>
      </w:pPr>
    </w:p>
    <w:p>
      <w:pPr>
        <w:spacing w:after="0"/>
        <w:rPr>
          <w:rFonts w:ascii="Arial" w:cs="Arial" w:eastAsia="Arial" w:hAnsi="Arial"/>
          <w:sz w:val="18"/>
          <w:szCs w:val="18"/>
          <w:u w:val="single" w:color="auto"/>
          <w:color w:val="0000EE"/>
        </w:rPr>
      </w:pPr>
      <w:hyperlink w:anchor="page30">
        <w:r>
          <w:rPr>
            <w:rFonts w:ascii="Arial" w:cs="Arial" w:eastAsia="Arial" w:hAnsi="Arial"/>
            <w:sz w:val="18"/>
            <w:szCs w:val="18"/>
            <w:u w:val="single" w:color="auto"/>
            <w:color w:val="0000EE"/>
          </w:rPr>
          <w:t>Item 3.</w:t>
        </w:r>
      </w:hyperlink>
    </w:p>
    <w:p>
      <w:pPr>
        <w:spacing w:after="0" w:line="212" w:lineRule="exact"/>
        <w:rPr>
          <w:sz w:val="20"/>
          <w:szCs w:val="20"/>
          <w:color w:val="auto"/>
        </w:rPr>
      </w:pPr>
    </w:p>
    <w:p>
      <w:pPr>
        <w:spacing w:after="0"/>
        <w:rPr>
          <w:rFonts w:ascii="Arial" w:cs="Arial" w:eastAsia="Arial" w:hAnsi="Arial"/>
          <w:sz w:val="18"/>
          <w:szCs w:val="18"/>
          <w:u w:val="single" w:color="auto"/>
          <w:color w:val="0000EE"/>
        </w:rPr>
      </w:pPr>
      <w:hyperlink w:anchor="page31">
        <w:r>
          <w:rPr>
            <w:rFonts w:ascii="Arial" w:cs="Arial" w:eastAsia="Arial" w:hAnsi="Arial"/>
            <w:sz w:val="18"/>
            <w:szCs w:val="18"/>
            <w:u w:val="single" w:color="auto"/>
            <w:color w:val="0000EE"/>
          </w:rPr>
          <w:t>Item 4.</w:t>
        </w:r>
      </w:hyperlink>
    </w:p>
    <w:p>
      <w:pPr>
        <w:spacing w:after="0" w:line="203" w:lineRule="exact"/>
        <w:rPr>
          <w:sz w:val="20"/>
          <w:szCs w:val="20"/>
          <w:color w:val="auto"/>
        </w:rPr>
      </w:pPr>
    </w:p>
    <w:p>
      <w:pPr>
        <w:spacing w:after="0"/>
        <w:rPr>
          <w:rFonts w:ascii="Arial" w:cs="Arial" w:eastAsia="Arial" w:hAnsi="Arial"/>
          <w:sz w:val="18"/>
          <w:szCs w:val="18"/>
          <w:b w:val="1"/>
          <w:bCs w:val="1"/>
          <w:u w:val="single" w:color="auto"/>
          <w:color w:val="0000EE"/>
        </w:rPr>
      </w:pPr>
      <w:hyperlink w:anchor="page32">
        <w:r>
          <w:rPr>
            <w:rFonts w:ascii="Arial" w:cs="Arial" w:eastAsia="Arial" w:hAnsi="Arial"/>
            <w:sz w:val="18"/>
            <w:szCs w:val="18"/>
            <w:b w:val="1"/>
            <w:bCs w:val="1"/>
            <w:u w:val="single" w:color="auto"/>
            <w:color w:val="0000EE"/>
          </w:rPr>
          <w:t>Part II</w:t>
        </w:r>
      </w:hyperlink>
    </w:p>
    <w:p>
      <w:pPr>
        <w:spacing w:after="0" w:line="247" w:lineRule="exact"/>
        <w:rPr>
          <w:sz w:val="20"/>
          <w:szCs w:val="20"/>
          <w:color w:val="auto"/>
        </w:rPr>
      </w:pPr>
    </w:p>
    <w:p>
      <w:pPr>
        <w:spacing w:after="0"/>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Item 5.</w:t>
        </w:r>
      </w:hyperlink>
    </w:p>
    <w:p>
      <w:pPr>
        <w:spacing w:after="0" w:line="225" w:lineRule="exact"/>
        <w:rPr>
          <w:sz w:val="20"/>
          <w:szCs w:val="20"/>
          <w:color w:val="auto"/>
        </w:rPr>
      </w:pPr>
    </w:p>
    <w:p>
      <w:pPr>
        <w:spacing w:after="0"/>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Item 6.</w:t>
        </w:r>
      </w:hyperlink>
    </w:p>
    <w:p>
      <w:pPr>
        <w:spacing w:after="0" w:line="190" w:lineRule="exact"/>
        <w:rPr>
          <w:sz w:val="20"/>
          <w:szCs w:val="20"/>
          <w:color w:val="auto"/>
        </w:rPr>
      </w:pPr>
    </w:p>
    <w:p>
      <w:pPr>
        <w:spacing w:after="0"/>
        <w:rPr>
          <w:rFonts w:ascii="Arial" w:cs="Arial" w:eastAsia="Arial" w:hAnsi="Arial"/>
          <w:sz w:val="18"/>
          <w:szCs w:val="18"/>
          <w:b w:val="1"/>
          <w:bCs w:val="1"/>
          <w:u w:val="single" w:color="auto"/>
          <w:color w:val="0000EE"/>
        </w:rPr>
      </w:pPr>
      <w:hyperlink w:anchor="page34">
        <w:r>
          <w:rPr>
            <w:rFonts w:ascii="Arial" w:cs="Arial" w:eastAsia="Arial" w:hAnsi="Arial"/>
            <w:sz w:val="18"/>
            <w:szCs w:val="18"/>
            <w:b w:val="1"/>
            <w:bCs w:val="1"/>
            <w:u w:val="single" w:color="auto"/>
            <w:color w:val="0000EE"/>
          </w:rPr>
          <w:t>Signatures</w:t>
        </w:r>
      </w:hyperlink>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4" w:lineRule="exact"/>
        <w:rPr>
          <w:sz w:val="20"/>
          <w:szCs w:val="20"/>
          <w:color w:val="auto"/>
        </w:rPr>
      </w:pPr>
    </w:p>
    <w:p>
      <w:pPr>
        <w:jc w:val="center"/>
        <w:ind w:right="1280"/>
        <w:spacing w:after="0"/>
        <w:rPr>
          <w:sz w:val="20"/>
          <w:szCs w:val="20"/>
          <w:color w:val="auto"/>
        </w:rPr>
      </w:pPr>
      <w:r>
        <w:rPr>
          <w:rFonts w:ascii="Arial" w:cs="Arial" w:eastAsia="Arial" w:hAnsi="Arial"/>
          <w:sz w:val="18"/>
          <w:szCs w:val="18"/>
          <w:b w:val="1"/>
          <w:bCs w:val="1"/>
          <w:color w:val="auto"/>
        </w:rPr>
        <w:t>KLX ENERGY SERVICES HOLDINGS, INC.</w:t>
      </w:r>
    </w:p>
    <w:p>
      <w:pPr>
        <w:spacing w:after="0" w:line="198" w:lineRule="exact"/>
        <w:rPr>
          <w:sz w:val="20"/>
          <w:szCs w:val="20"/>
          <w:color w:val="auto"/>
        </w:rPr>
      </w:pPr>
    </w:p>
    <w:p>
      <w:pPr>
        <w:jc w:val="center"/>
        <w:ind w:right="1280"/>
        <w:spacing w:after="0"/>
        <w:rPr>
          <w:sz w:val="20"/>
          <w:szCs w:val="20"/>
          <w:color w:val="auto"/>
        </w:rPr>
      </w:pPr>
      <w:r>
        <w:rPr>
          <w:rFonts w:ascii="Arial" w:cs="Arial" w:eastAsia="Arial" w:hAnsi="Arial"/>
          <w:sz w:val="18"/>
          <w:szCs w:val="18"/>
          <w:b w:val="1"/>
          <w:bCs w:val="1"/>
          <w:color w:val="auto"/>
        </w:rPr>
        <w:t>Form 10-Q for the Quarter Ended July 31, 2019</w:t>
      </w:r>
    </w:p>
    <w:p>
      <w:pPr>
        <w:spacing w:after="0" w:line="198" w:lineRule="exact"/>
        <w:rPr>
          <w:sz w:val="20"/>
          <w:szCs w:val="20"/>
          <w:color w:val="auto"/>
        </w:rPr>
      </w:pPr>
    </w:p>
    <w:p>
      <w:pPr>
        <w:jc w:val="center"/>
        <w:ind w:right="1280"/>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820" w:type="dxa"/>
            <w:vAlign w:val="bottom"/>
            <w:gridSpan w:val="6"/>
            <w:vMerge w:val="restart"/>
          </w:tcPr>
          <w:p>
            <w:pPr>
              <w:spacing w:after="0"/>
              <w:rPr>
                <w:rFonts w:ascii="Arial" w:cs="Arial" w:eastAsia="Arial" w:hAnsi="Arial"/>
                <w:sz w:val="18"/>
                <w:szCs w:val="18"/>
                <w:b w:val="1"/>
                <w:bCs w:val="1"/>
                <w:color w:val="0000EE"/>
                <w:w w:val="98"/>
              </w:rPr>
            </w:pPr>
            <w:hyperlink w:anchor="page3">
              <w:r>
                <w:rPr>
                  <w:rFonts w:ascii="Arial" w:cs="Arial" w:eastAsia="Arial" w:hAnsi="Arial"/>
                  <w:sz w:val="18"/>
                  <w:szCs w:val="18"/>
                  <w:b w:val="1"/>
                  <w:bCs w:val="1"/>
                  <w:color w:val="0000EE"/>
                  <w:w w:val="98"/>
                </w:rPr>
                <w:t>Financial Information</w:t>
              </w:r>
            </w:hyperlink>
          </w:p>
        </w:tc>
        <w:tc>
          <w:tcPr>
            <w:tcW w:w="5280" w:type="dxa"/>
            <w:vAlign w:val="bottom"/>
            <w:gridSpan w:val="11"/>
            <w:vMerge w:val="restart"/>
          </w:tcPr>
          <w:p>
            <w:pPr>
              <w:spacing w:after="0"/>
              <w:rPr>
                <w:sz w:val="17"/>
                <w:szCs w:val="17"/>
                <w:color w:val="auto"/>
              </w:rPr>
            </w:pPr>
          </w:p>
        </w:tc>
        <w:tc>
          <w:tcPr>
            <w:tcW w:w="6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174"/>
        </w:trPr>
        <w:tc>
          <w:tcPr>
            <w:tcW w:w="1820" w:type="dxa"/>
            <w:vAlign w:val="bottom"/>
            <w:tcBorders>
              <w:bottom w:val="single" w:sz="8" w:color="0000EE"/>
            </w:tcBorders>
            <w:gridSpan w:val="6"/>
            <w:vMerge w:val="continue"/>
          </w:tcPr>
          <w:p>
            <w:pPr>
              <w:spacing w:after="0"/>
              <w:rPr>
                <w:sz w:val="14"/>
                <w:szCs w:val="14"/>
                <w:color w:val="auto"/>
              </w:rPr>
            </w:pPr>
          </w:p>
        </w:tc>
        <w:tc>
          <w:tcPr>
            <w:tcW w:w="5280" w:type="dxa"/>
            <w:vAlign w:val="bottom"/>
            <w:gridSpan w:val="11"/>
            <w:vMerge w:val="continue"/>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9"/>
        </w:trPr>
        <w:tc>
          <w:tcPr>
            <w:tcW w:w="4740" w:type="dxa"/>
            <w:vAlign w:val="bottom"/>
            <w:tcBorders>
              <w:bottom w:val="single" w:sz="8" w:color="0000EE"/>
            </w:tcBorders>
            <w:gridSpan w:val="12"/>
          </w:tcPr>
          <w:p>
            <w:pPr>
              <w:spacing w:after="0"/>
              <w:rPr>
                <w:rFonts w:ascii="Arial" w:cs="Arial" w:eastAsia="Arial" w:hAnsi="Arial"/>
                <w:sz w:val="18"/>
                <w:szCs w:val="18"/>
                <w:color w:val="0000EE"/>
                <w:w w:val="99"/>
              </w:rPr>
            </w:pPr>
            <w:hyperlink w:anchor="page3">
              <w:r>
                <w:rPr>
                  <w:rFonts w:ascii="Arial" w:cs="Arial" w:eastAsia="Arial" w:hAnsi="Arial"/>
                  <w:sz w:val="18"/>
                  <w:szCs w:val="18"/>
                  <w:color w:val="0000EE"/>
                  <w:w w:val="99"/>
                </w:rPr>
                <w:t>Condensed Consolidated Financial Statements (Unaudited)</w:t>
              </w:r>
            </w:hyperlink>
          </w:p>
        </w:tc>
        <w:tc>
          <w:tcPr>
            <w:tcW w:w="2360" w:type="dxa"/>
            <w:vAlign w:val="bottom"/>
            <w:gridSpan w:val="5"/>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240" w:type="dxa"/>
            <w:vAlign w:val="bottom"/>
          </w:tcPr>
          <w:p>
            <w:pPr>
              <w:spacing w:after="0"/>
              <w:rPr>
                <w:sz w:val="24"/>
                <w:szCs w:val="24"/>
                <w:color w:val="auto"/>
              </w:rPr>
            </w:pPr>
          </w:p>
        </w:tc>
        <w:tc>
          <w:tcPr>
            <w:tcW w:w="6860" w:type="dxa"/>
            <w:vAlign w:val="bottom"/>
            <w:gridSpan w:val="16"/>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 as of July 31, 2019 and January 31, 2019</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240" w:type="dxa"/>
            <w:vAlign w:val="bottom"/>
          </w:tcPr>
          <w:p>
            <w:pPr>
              <w:spacing w:after="0"/>
              <w:rPr>
                <w:sz w:val="24"/>
                <w:szCs w:val="24"/>
                <w:color w:val="auto"/>
              </w:rPr>
            </w:pPr>
          </w:p>
        </w:tc>
        <w:tc>
          <w:tcPr>
            <w:tcW w:w="6860" w:type="dxa"/>
            <w:vAlign w:val="bottom"/>
            <w:tcBorders>
              <w:bottom w:val="single" w:sz="8" w:color="0000EE"/>
            </w:tcBorders>
            <w:gridSpan w:val="16"/>
          </w:tcPr>
          <w:p>
            <w:pPr>
              <w:spacing w:after="0"/>
              <w:rPr>
                <w:rFonts w:ascii="Arial" w:cs="Arial" w:eastAsia="Arial" w:hAnsi="Arial"/>
                <w:sz w:val="18"/>
                <w:szCs w:val="18"/>
                <w:color w:val="0000EE"/>
                <w:w w:val="99"/>
              </w:rPr>
            </w:pPr>
            <w:hyperlink w:anchor="page4">
              <w:r>
                <w:rPr>
                  <w:rFonts w:ascii="Arial" w:cs="Arial" w:eastAsia="Arial" w:hAnsi="Arial"/>
                  <w:sz w:val="18"/>
                  <w:szCs w:val="18"/>
                  <w:color w:val="0000EE"/>
                  <w:w w:val="99"/>
                </w:rPr>
                <w:t>Condensed Consolidated Statements of Earnings (Loss) for the Three and Six Months</w:t>
              </w:r>
            </w:hyperlink>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240" w:type="dxa"/>
            <w:vAlign w:val="bottom"/>
          </w:tcPr>
          <w:p>
            <w:pPr>
              <w:spacing w:after="0"/>
              <w:rPr>
                <w:sz w:val="15"/>
                <w:szCs w:val="15"/>
                <w:color w:val="auto"/>
              </w:rPr>
            </w:pPr>
          </w:p>
        </w:tc>
        <w:tc>
          <w:tcPr>
            <w:tcW w:w="2440" w:type="dxa"/>
            <w:vAlign w:val="bottom"/>
            <w:tcBorders>
              <w:bottom w:val="single" w:sz="8" w:color="0000EE"/>
            </w:tcBorders>
            <w:gridSpan w:val="7"/>
          </w:tcPr>
          <w:p>
            <w:pPr>
              <w:spacing w:after="0" w:line="182" w:lineRule="exact"/>
              <w:rPr>
                <w:rFonts w:ascii="Arial" w:cs="Arial" w:eastAsia="Arial" w:hAnsi="Arial"/>
                <w:sz w:val="18"/>
                <w:szCs w:val="18"/>
                <w:color w:val="0000EE"/>
                <w:w w:val="99"/>
              </w:rPr>
            </w:pPr>
            <w:hyperlink w:anchor="page4">
              <w:r>
                <w:rPr>
                  <w:rFonts w:ascii="Arial" w:cs="Arial" w:eastAsia="Arial" w:hAnsi="Arial"/>
                  <w:sz w:val="18"/>
                  <w:szCs w:val="18"/>
                  <w:color w:val="0000EE"/>
                  <w:w w:val="99"/>
                </w:rPr>
                <w:t>Ended July 31, 2019 and 2018</w:t>
              </w:r>
            </w:hyperlink>
          </w:p>
        </w:tc>
        <w:tc>
          <w:tcPr>
            <w:tcW w:w="4420" w:type="dxa"/>
            <w:vAlign w:val="bottom"/>
            <w:gridSpan w:val="9"/>
          </w:tcPr>
          <w:p>
            <w:pPr>
              <w:spacing w:after="0"/>
              <w:rPr>
                <w:sz w:val="15"/>
                <w:szCs w:val="15"/>
                <w:color w:val="auto"/>
              </w:rPr>
            </w:pPr>
          </w:p>
        </w:tc>
        <w:tc>
          <w:tcPr>
            <w:tcW w:w="680" w:type="dxa"/>
            <w:vAlign w:val="bottom"/>
          </w:tcPr>
          <w:p>
            <w:pPr>
              <w:jc w:val="right"/>
              <w:spacing w:after="0" w:line="182"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85"/>
        </w:trPr>
        <w:tc>
          <w:tcPr>
            <w:tcW w:w="240" w:type="dxa"/>
            <w:vAlign w:val="bottom"/>
          </w:tcPr>
          <w:p>
            <w:pPr>
              <w:spacing w:after="0"/>
              <w:rPr>
                <w:sz w:val="24"/>
                <w:szCs w:val="24"/>
                <w:color w:val="auto"/>
              </w:rPr>
            </w:pPr>
          </w:p>
        </w:tc>
        <w:tc>
          <w:tcPr>
            <w:tcW w:w="6860" w:type="dxa"/>
            <w:vAlign w:val="bottom"/>
            <w:gridSpan w:val="16"/>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Statements of Stockholders’ Equity for the Three and Six</w:t>
              </w:r>
            </w:hyperlink>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240" w:type="dxa"/>
            <w:vAlign w:val="bottom"/>
          </w:tcPr>
          <w:p>
            <w:pPr>
              <w:spacing w:after="0"/>
              <w:rPr>
                <w:sz w:val="15"/>
                <w:szCs w:val="15"/>
                <w:color w:val="auto"/>
              </w:rPr>
            </w:pPr>
          </w:p>
        </w:tc>
        <w:tc>
          <w:tcPr>
            <w:tcW w:w="3080" w:type="dxa"/>
            <w:vAlign w:val="bottom"/>
            <w:tcBorders>
              <w:top w:val="single" w:sz="8" w:color="0000EE"/>
              <w:bottom w:val="single" w:sz="8" w:color="0000EE"/>
            </w:tcBorders>
            <w:gridSpan w:val="8"/>
          </w:tcPr>
          <w:p>
            <w:pPr>
              <w:spacing w:after="0" w:line="182" w:lineRule="exact"/>
              <w:rPr>
                <w:rFonts w:ascii="Arial" w:cs="Arial" w:eastAsia="Arial" w:hAnsi="Arial"/>
                <w:sz w:val="18"/>
                <w:szCs w:val="18"/>
                <w:color w:val="0000EE"/>
                <w:w w:val="99"/>
              </w:rPr>
            </w:pPr>
            <w:hyperlink w:anchor="page5">
              <w:r>
                <w:rPr>
                  <w:rFonts w:ascii="Arial" w:cs="Arial" w:eastAsia="Arial" w:hAnsi="Arial"/>
                  <w:sz w:val="18"/>
                  <w:szCs w:val="18"/>
                  <w:color w:val="0000EE"/>
                  <w:w w:val="99"/>
                </w:rPr>
                <w:t>Months Ended July 31, 2019 and 2018</w:t>
              </w:r>
            </w:hyperlink>
          </w:p>
        </w:tc>
        <w:tc>
          <w:tcPr>
            <w:tcW w:w="3500" w:type="dxa"/>
            <w:vAlign w:val="bottom"/>
            <w:tcBorders>
              <w:top w:val="single" w:sz="8" w:color="0000EE"/>
            </w:tcBorders>
            <w:gridSpan w:val="4"/>
          </w:tcPr>
          <w:p>
            <w:pPr>
              <w:spacing w:after="0"/>
              <w:rPr>
                <w:sz w:val="15"/>
                <w:szCs w:val="15"/>
                <w:color w:val="auto"/>
              </w:rPr>
            </w:pPr>
          </w:p>
        </w:tc>
        <w:tc>
          <w:tcPr>
            <w:tcW w:w="280" w:type="dxa"/>
            <w:vAlign w:val="bottom"/>
            <w:gridSpan w:val="4"/>
          </w:tcPr>
          <w:p>
            <w:pPr>
              <w:spacing w:after="0"/>
              <w:rPr>
                <w:sz w:val="15"/>
                <w:szCs w:val="15"/>
                <w:color w:val="auto"/>
              </w:rPr>
            </w:pPr>
          </w:p>
        </w:tc>
        <w:tc>
          <w:tcPr>
            <w:tcW w:w="680" w:type="dxa"/>
            <w:vAlign w:val="bottom"/>
          </w:tcPr>
          <w:p>
            <w:pPr>
              <w:jc w:val="right"/>
              <w:spacing w:after="0" w:line="182"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399"/>
        </w:trPr>
        <w:tc>
          <w:tcPr>
            <w:tcW w:w="240" w:type="dxa"/>
            <w:vAlign w:val="bottom"/>
          </w:tcPr>
          <w:p>
            <w:pPr>
              <w:spacing w:after="0"/>
              <w:rPr>
                <w:sz w:val="24"/>
                <w:szCs w:val="24"/>
                <w:color w:val="auto"/>
              </w:rPr>
            </w:pPr>
          </w:p>
        </w:tc>
        <w:tc>
          <w:tcPr>
            <w:tcW w:w="6860" w:type="dxa"/>
            <w:vAlign w:val="bottom"/>
            <w:gridSpan w:val="16"/>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Statements of Cash Flows for the Six Months Ended July</w:t>
              </w:r>
            </w:hyperlink>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240" w:type="dxa"/>
            <w:vAlign w:val="bottom"/>
          </w:tcPr>
          <w:p>
            <w:pPr>
              <w:spacing w:after="0"/>
              <w:rPr>
                <w:sz w:val="15"/>
                <w:szCs w:val="15"/>
                <w:color w:val="auto"/>
              </w:rPr>
            </w:pPr>
          </w:p>
        </w:tc>
        <w:tc>
          <w:tcPr>
            <w:tcW w:w="1500" w:type="dxa"/>
            <w:vAlign w:val="bottom"/>
            <w:tcBorders>
              <w:top w:val="single" w:sz="8" w:color="0000EE"/>
              <w:bottom w:val="single" w:sz="8" w:color="0000EE"/>
            </w:tcBorders>
            <w:gridSpan w:val="4"/>
          </w:tcPr>
          <w:p>
            <w:pPr>
              <w:spacing w:after="0" w:line="182" w:lineRule="exact"/>
              <w:rPr>
                <w:rFonts w:ascii="Arial" w:cs="Arial" w:eastAsia="Arial" w:hAnsi="Arial"/>
                <w:sz w:val="18"/>
                <w:szCs w:val="18"/>
                <w:color w:val="0000EE"/>
                <w:w w:val="98"/>
              </w:rPr>
            </w:pPr>
            <w:hyperlink w:anchor="page6">
              <w:r>
                <w:rPr>
                  <w:rFonts w:ascii="Arial" w:cs="Arial" w:eastAsia="Arial" w:hAnsi="Arial"/>
                  <w:sz w:val="18"/>
                  <w:szCs w:val="18"/>
                  <w:color w:val="0000EE"/>
                  <w:w w:val="98"/>
                </w:rPr>
                <w:t>31, 2019 and 2018</w:t>
              </w:r>
            </w:hyperlink>
          </w:p>
        </w:tc>
        <w:tc>
          <w:tcPr>
            <w:tcW w:w="5100" w:type="dxa"/>
            <w:vAlign w:val="bottom"/>
            <w:tcBorders>
              <w:top w:val="single" w:sz="8" w:color="0000EE"/>
            </w:tcBorders>
            <w:gridSpan w:val="9"/>
          </w:tcPr>
          <w:p>
            <w:pPr>
              <w:spacing w:after="0"/>
              <w:rPr>
                <w:sz w:val="15"/>
                <w:szCs w:val="15"/>
                <w:color w:val="auto"/>
              </w:rPr>
            </w:pPr>
          </w:p>
        </w:tc>
        <w:tc>
          <w:tcPr>
            <w:tcW w:w="260" w:type="dxa"/>
            <w:vAlign w:val="bottom"/>
            <w:gridSpan w:val="3"/>
          </w:tcPr>
          <w:p>
            <w:pPr>
              <w:spacing w:after="0"/>
              <w:rPr>
                <w:sz w:val="15"/>
                <w:szCs w:val="15"/>
                <w:color w:val="auto"/>
              </w:rPr>
            </w:pPr>
          </w:p>
        </w:tc>
        <w:tc>
          <w:tcPr>
            <w:tcW w:w="680" w:type="dxa"/>
            <w:vAlign w:val="bottom"/>
          </w:tcPr>
          <w:p>
            <w:pPr>
              <w:jc w:val="right"/>
              <w:spacing w:after="0" w:line="182"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385"/>
        </w:trPr>
        <w:tc>
          <w:tcPr>
            <w:tcW w:w="240" w:type="dxa"/>
            <w:vAlign w:val="bottom"/>
          </w:tcPr>
          <w:p>
            <w:pPr>
              <w:spacing w:after="0"/>
              <w:rPr>
                <w:sz w:val="24"/>
                <w:szCs w:val="24"/>
                <w:color w:val="auto"/>
              </w:rPr>
            </w:pPr>
          </w:p>
        </w:tc>
        <w:tc>
          <w:tcPr>
            <w:tcW w:w="4480" w:type="dxa"/>
            <w:vAlign w:val="bottom"/>
            <w:tcBorders>
              <w:bottom w:val="single" w:sz="8" w:color="0000EE"/>
            </w:tcBorders>
            <w:gridSpan w:val="10"/>
          </w:tcPr>
          <w:p>
            <w:pPr>
              <w:spacing w:after="0"/>
              <w:rPr>
                <w:rFonts w:ascii="Arial" w:cs="Arial" w:eastAsia="Arial" w:hAnsi="Arial"/>
                <w:sz w:val="18"/>
                <w:szCs w:val="18"/>
                <w:color w:val="0000EE"/>
                <w:w w:val="99"/>
              </w:rPr>
            </w:pPr>
            <w:hyperlink w:anchor="page7">
              <w:r>
                <w:rPr>
                  <w:rFonts w:ascii="Arial" w:cs="Arial" w:eastAsia="Arial" w:hAnsi="Arial"/>
                  <w:sz w:val="18"/>
                  <w:szCs w:val="18"/>
                  <w:color w:val="0000EE"/>
                  <w:w w:val="99"/>
                </w:rPr>
                <w:t>Notes to Condensed Consolidated Financial Statements</w:t>
              </w:r>
            </w:hyperlink>
          </w:p>
        </w:tc>
        <w:tc>
          <w:tcPr>
            <w:tcW w:w="2380" w:type="dxa"/>
            <w:vAlign w:val="bottom"/>
            <w:gridSpan w:val="6"/>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399"/>
        </w:trPr>
        <w:tc>
          <w:tcPr>
            <w:tcW w:w="7080" w:type="dxa"/>
            <w:vAlign w:val="bottom"/>
            <w:tcBorders>
              <w:bottom w:val="single" w:sz="8" w:color="0000EE"/>
            </w:tcBorders>
            <w:gridSpan w:val="16"/>
          </w:tcPr>
          <w:p>
            <w:pPr>
              <w:spacing w:after="0"/>
              <w:rPr>
                <w:rFonts w:ascii="Arial" w:cs="Arial" w:eastAsia="Arial" w:hAnsi="Arial"/>
                <w:sz w:val="18"/>
                <w:szCs w:val="18"/>
                <w:color w:val="0000EE"/>
                <w:w w:val="99"/>
              </w:rPr>
            </w:pPr>
            <w:hyperlink w:anchor="page17">
              <w:r>
                <w:rPr>
                  <w:rFonts w:ascii="Arial" w:cs="Arial" w:eastAsia="Arial" w:hAnsi="Arial"/>
                  <w:sz w:val="18"/>
                  <w:szCs w:val="18"/>
                  <w:color w:val="0000EE"/>
                  <w:w w:val="99"/>
                </w:rPr>
                <w:t>Management’s Discussion and Analysis of Financial Condition and Results of Operations</w:t>
              </w:r>
            </w:hyperlink>
          </w:p>
        </w:tc>
        <w:tc>
          <w:tcPr>
            <w:tcW w:w="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399"/>
        </w:trPr>
        <w:tc>
          <w:tcPr>
            <w:tcW w:w="7100" w:type="dxa"/>
            <w:vAlign w:val="bottom"/>
            <w:gridSpan w:val="17"/>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Quantitative and Qualitative Disclosures About Market Risk</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399"/>
        </w:trPr>
        <w:tc>
          <w:tcPr>
            <w:tcW w:w="4700" w:type="dxa"/>
            <w:vAlign w:val="bottom"/>
            <w:tcBorders>
              <w:top w:val="single" w:sz="8" w:color="0000EE"/>
            </w:tcBorders>
            <w:gridSpan w:val="10"/>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Controls and Procedures</w:t>
              </w:r>
            </w:hyperlink>
          </w:p>
        </w:tc>
        <w:tc>
          <w:tcPr>
            <w:tcW w:w="2400" w:type="dxa"/>
            <w:vAlign w:val="bottom"/>
            <w:gridSpan w:val="7"/>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399"/>
        </w:trPr>
        <w:tc>
          <w:tcPr>
            <w:tcW w:w="1520" w:type="dxa"/>
            <w:vAlign w:val="bottom"/>
            <w:tcBorders>
              <w:top w:val="single" w:sz="8" w:color="0000EE"/>
              <w:bottom w:val="single" w:sz="8" w:color="0000EE"/>
            </w:tcBorders>
            <w:gridSpan w:val="4"/>
          </w:tcPr>
          <w:p>
            <w:pPr>
              <w:spacing w:after="0"/>
              <w:rPr>
                <w:rFonts w:ascii="Arial" w:cs="Arial" w:eastAsia="Arial" w:hAnsi="Arial"/>
                <w:sz w:val="18"/>
                <w:szCs w:val="18"/>
                <w:b w:val="1"/>
                <w:bCs w:val="1"/>
                <w:color w:val="0000EE"/>
                <w:w w:val="98"/>
              </w:rPr>
            </w:pPr>
            <w:hyperlink w:anchor="page32">
              <w:r>
                <w:rPr>
                  <w:rFonts w:ascii="Arial" w:cs="Arial" w:eastAsia="Arial" w:hAnsi="Arial"/>
                  <w:sz w:val="18"/>
                  <w:szCs w:val="18"/>
                  <w:b w:val="1"/>
                  <w:bCs w:val="1"/>
                  <w:color w:val="0000EE"/>
                  <w:w w:val="98"/>
                </w:rPr>
                <w:t>Other Information</w:t>
              </w:r>
            </w:hyperlink>
          </w:p>
        </w:tc>
        <w:tc>
          <w:tcPr>
            <w:tcW w:w="460" w:type="dxa"/>
            <w:vAlign w:val="bottom"/>
            <w:tcBorders>
              <w:top w:val="single" w:sz="8" w:color="0000EE"/>
            </w:tcBorders>
            <w:gridSpan w:val="3"/>
          </w:tcPr>
          <w:p>
            <w:pPr>
              <w:spacing w:after="0"/>
              <w:rPr>
                <w:sz w:val="24"/>
                <w:szCs w:val="24"/>
                <w:color w:val="auto"/>
              </w:rPr>
            </w:pPr>
          </w:p>
        </w:tc>
        <w:tc>
          <w:tcPr>
            <w:tcW w:w="5120" w:type="dxa"/>
            <w:vAlign w:val="bottom"/>
            <w:gridSpan w:val="10"/>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1400" w:type="dxa"/>
            <w:vAlign w:val="bottom"/>
            <w:tcBorders>
              <w:bottom w:val="single" w:sz="8" w:color="0000EE"/>
            </w:tcBorders>
            <w:gridSpan w:val="3"/>
          </w:tcPr>
          <w:p>
            <w:pPr>
              <w:spacing w:after="0"/>
              <w:rPr>
                <w:rFonts w:ascii="Arial" w:cs="Arial" w:eastAsia="Arial" w:hAnsi="Arial"/>
                <w:sz w:val="18"/>
                <w:szCs w:val="18"/>
                <w:color w:val="0000EE"/>
                <w:w w:val="98"/>
              </w:rPr>
            </w:pPr>
            <w:hyperlink w:anchor="page32">
              <w:r>
                <w:rPr>
                  <w:rFonts w:ascii="Arial" w:cs="Arial" w:eastAsia="Arial" w:hAnsi="Arial"/>
                  <w:sz w:val="18"/>
                  <w:szCs w:val="18"/>
                  <w:color w:val="0000EE"/>
                  <w:w w:val="98"/>
                </w:rPr>
                <w:t>Other Information</w:t>
              </w:r>
            </w:hyperlink>
          </w:p>
        </w:tc>
        <w:tc>
          <w:tcPr>
            <w:tcW w:w="5700" w:type="dxa"/>
            <w:vAlign w:val="bottom"/>
            <w:gridSpan w:val="14"/>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412"/>
        </w:trPr>
        <w:tc>
          <w:tcPr>
            <w:tcW w:w="7100" w:type="dxa"/>
            <w:vAlign w:val="bottom"/>
            <w:gridSpan w:val="17"/>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Exhibits</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439"/>
        </w:trPr>
        <w:tc>
          <w:tcPr>
            <w:tcW w:w="24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940" w:space="340"/>
            <w:col w:w="7780"/>
          </w:cols>
          <w:pgMar w:left="1420" w:top="140" w:right="14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365125</wp:posOffset>
            </wp:positionV>
            <wp:extent cx="575437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40" w:right="1419" w:bottom="1440" w:gutter="0" w:footer="0" w:header="0"/>
          <w:type w:val="continuous"/>
        </w:sectPr>
      </w:pPr>
    </w:p>
    <w:bookmarkStart w:id="2" w:name="page3"/>
    <w:bookmarkEnd w:id="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1 – FINANCIAL INFORMATION</w:t>
      </w:r>
    </w:p>
    <w:p>
      <w:pPr>
        <w:spacing w:after="0" w:line="212"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ITEM 1. CONDENSED CONSOLIDATED FINANCIAL STATEMENTS</w:t>
      </w:r>
    </w:p>
    <w:p>
      <w:pPr>
        <w:spacing w:after="0" w:line="198"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KLX ENERGY SERVICES HOLDINGS, INC.</w:t>
      </w:r>
    </w:p>
    <w:p>
      <w:pPr>
        <w:spacing w:after="0" w:line="1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BALANCE SHEETS (UNAUDITED)</w:t>
      </w:r>
    </w:p>
    <w:p>
      <w:pPr>
        <w:jc w:val="center"/>
        <w:ind w:right="20"/>
        <w:spacing w:after="0"/>
        <w:rPr>
          <w:sz w:val="20"/>
          <w:szCs w:val="20"/>
          <w:color w:val="auto"/>
        </w:rPr>
      </w:pPr>
      <w:r>
        <w:rPr>
          <w:rFonts w:ascii="Arial" w:cs="Arial" w:eastAsia="Arial" w:hAnsi="Arial"/>
          <w:sz w:val="18"/>
          <w:szCs w:val="18"/>
          <w:b w:val="1"/>
          <w:bCs w:val="1"/>
          <w:color w:val="auto"/>
        </w:rPr>
        <w:t>(In millions, other than per share amounts)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6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ind w:right="79"/>
              <w:spacing w:after="0"/>
              <w:rPr>
                <w:sz w:val="20"/>
                <w:szCs w:val="20"/>
                <w:color w:val="auto"/>
              </w:rPr>
            </w:pPr>
            <w:r>
              <w:rPr>
                <w:rFonts w:ascii="Arial" w:cs="Arial" w:eastAsia="Arial" w:hAnsi="Arial"/>
                <w:sz w:val="16"/>
                <w:szCs w:val="16"/>
                <w:b w:val="1"/>
                <w:bCs w:val="1"/>
                <w:color w:val="auto"/>
                <w:w w:val="97"/>
              </w:rPr>
              <w:t>JULY 31,</w:t>
            </w:r>
          </w:p>
        </w:tc>
        <w:tc>
          <w:tcPr>
            <w:tcW w:w="1400" w:type="dxa"/>
            <w:vAlign w:val="bottom"/>
            <w:gridSpan w:val="4"/>
          </w:tcPr>
          <w:p>
            <w:pPr>
              <w:ind w:left="200"/>
              <w:spacing w:after="0"/>
              <w:rPr>
                <w:sz w:val="20"/>
                <w:szCs w:val="20"/>
                <w:color w:val="auto"/>
              </w:rPr>
            </w:pPr>
            <w:r>
              <w:rPr>
                <w:rFonts w:ascii="Arial" w:cs="Arial" w:eastAsia="Arial" w:hAnsi="Arial"/>
                <w:sz w:val="16"/>
                <w:szCs w:val="16"/>
                <w:b w:val="1"/>
                <w:bCs w:val="1"/>
                <w:color w:val="auto"/>
              </w:rPr>
              <w:t>JANUARY 31,</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65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2019</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540" w:type="dxa"/>
            <w:vAlign w:val="bottom"/>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ASSETS</w:t>
            </w: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560" w:type="dxa"/>
            <w:vAlign w:val="bottom"/>
            <w:gridSpan w:val="2"/>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6"/>
                <w:szCs w:val="16"/>
                <w:color w:val="auto"/>
              </w:rPr>
              <w:t>Current assets:</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540" w:type="dxa"/>
            <w:vAlign w:val="bottom"/>
          </w:tcPr>
          <w:p>
            <w:pPr>
              <w:ind w:left="100"/>
              <w:spacing w:after="0"/>
              <w:rPr>
                <w:sz w:val="20"/>
                <w:szCs w:val="20"/>
                <w:color w:val="auto"/>
              </w:rPr>
            </w:pPr>
            <w:r>
              <w:rPr>
                <w:rFonts w:ascii="Arial" w:cs="Arial" w:eastAsia="Arial" w:hAnsi="Arial"/>
                <w:sz w:val="16"/>
                <w:szCs w:val="16"/>
                <w:color w:val="auto"/>
              </w:rPr>
              <w:t>Cash and cash equivalents</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92.4</w:t>
            </w:r>
          </w:p>
        </w:tc>
        <w:tc>
          <w:tcPr>
            <w:tcW w:w="420" w:type="dxa"/>
            <w:vAlign w:val="bottom"/>
            <w:gridSpan w:val="2"/>
          </w:tcPr>
          <w:p>
            <w:pPr>
              <w:ind w:left="20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163.8</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65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Accounts receivable–trade, less allowance for doubtful accounts ($4.9 at July 31, 2019</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65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and $3.1 at January 31, 2019)</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153.4</w:t>
            </w: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119.6</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540" w:type="dxa"/>
            <w:vAlign w:val="bottom"/>
          </w:tcPr>
          <w:p>
            <w:pPr>
              <w:ind w:left="100"/>
              <w:spacing w:after="0"/>
              <w:rPr>
                <w:sz w:val="20"/>
                <w:szCs w:val="20"/>
                <w:color w:val="auto"/>
              </w:rPr>
            </w:pPr>
            <w:r>
              <w:rPr>
                <w:rFonts w:ascii="Arial" w:cs="Arial" w:eastAsia="Arial" w:hAnsi="Arial"/>
                <w:sz w:val="16"/>
                <w:szCs w:val="16"/>
                <w:color w:val="auto"/>
              </w:rPr>
              <w:t>Inventories, net</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16.1</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15.4</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5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Other current assets</w:t>
            </w:r>
          </w:p>
        </w:tc>
        <w:tc>
          <w:tcPr>
            <w:tcW w:w="16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w:t>
            </w:r>
          </w:p>
        </w:tc>
        <w:tc>
          <w:tcPr>
            <w:tcW w:w="2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540" w:type="dxa"/>
            <w:vAlign w:val="bottom"/>
            <w:tcBorders>
              <w:bottom w:val="single" w:sz="8" w:color="CCEEFF"/>
            </w:tcBorders>
          </w:tcPr>
          <w:p>
            <w:pPr>
              <w:ind w:left="200"/>
              <w:spacing w:after="0" w:line="183" w:lineRule="exact"/>
              <w:rPr>
                <w:sz w:val="20"/>
                <w:szCs w:val="20"/>
                <w:color w:val="auto"/>
              </w:rPr>
            </w:pPr>
            <w:r>
              <w:rPr>
                <w:rFonts w:ascii="Arial" w:cs="Arial" w:eastAsia="Arial" w:hAnsi="Arial"/>
                <w:sz w:val="16"/>
                <w:szCs w:val="16"/>
                <w:color w:val="auto"/>
              </w:rPr>
              <w:t>Total current assets</w:t>
            </w:r>
          </w:p>
        </w:tc>
        <w:tc>
          <w:tcPr>
            <w:tcW w:w="1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269.6</w:t>
            </w:r>
          </w:p>
        </w:tc>
        <w:tc>
          <w:tcPr>
            <w:tcW w:w="2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308.3</w:t>
            </w:r>
          </w:p>
        </w:tc>
        <w:tc>
          <w:tcPr>
            <w:tcW w:w="1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5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6560" w:type="dxa"/>
            <w:vAlign w:val="bottom"/>
            <w:gridSpan w:val="2"/>
          </w:tcPr>
          <w:p>
            <w:pPr>
              <w:spacing w:after="0"/>
              <w:rPr>
                <w:sz w:val="20"/>
                <w:szCs w:val="20"/>
                <w:color w:val="auto"/>
              </w:rPr>
            </w:pPr>
            <w:r>
              <w:rPr>
                <w:rFonts w:ascii="Arial" w:cs="Arial" w:eastAsia="Arial" w:hAnsi="Arial"/>
                <w:sz w:val="16"/>
                <w:szCs w:val="16"/>
                <w:color w:val="auto"/>
              </w:rPr>
              <w:t>Property and equipment, net of accumulated depreciation ($178.5 at July 31, 2019 and</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6560" w:type="dxa"/>
            <w:vAlign w:val="bottom"/>
            <w:gridSpan w:val="2"/>
          </w:tcPr>
          <w:p>
            <w:pPr>
              <w:spacing w:after="0"/>
              <w:rPr>
                <w:sz w:val="20"/>
                <w:szCs w:val="20"/>
                <w:color w:val="auto"/>
              </w:rPr>
            </w:pPr>
            <w:r>
              <w:rPr>
                <w:rFonts w:ascii="Arial" w:cs="Arial" w:eastAsia="Arial" w:hAnsi="Arial"/>
                <w:sz w:val="16"/>
                <w:szCs w:val="16"/>
                <w:color w:val="auto"/>
              </w:rPr>
              <w:t>$152.7 at January 31, 2019)</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329.7</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271.9</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6"/>
                <w:szCs w:val="16"/>
                <w:color w:val="auto"/>
              </w:rPr>
              <w:t>Goodwill</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70.2</w:t>
            </w: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43.2</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560" w:type="dxa"/>
            <w:vAlign w:val="bottom"/>
            <w:gridSpan w:val="2"/>
          </w:tcPr>
          <w:p>
            <w:pPr>
              <w:spacing w:after="0"/>
              <w:rPr>
                <w:sz w:val="20"/>
                <w:szCs w:val="20"/>
                <w:color w:val="auto"/>
              </w:rPr>
            </w:pPr>
            <w:r>
              <w:rPr>
                <w:rFonts w:ascii="Arial" w:cs="Arial" w:eastAsia="Arial" w:hAnsi="Arial"/>
                <w:sz w:val="16"/>
                <w:szCs w:val="16"/>
                <w:color w:val="auto"/>
              </w:rPr>
              <w:t>Identifiable intangible assets, net</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47.9</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30.3</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6"/>
                <w:szCs w:val="16"/>
                <w:color w:val="auto"/>
              </w:rPr>
              <w:t>Other assets</w:t>
            </w:r>
          </w:p>
        </w:tc>
        <w:tc>
          <w:tcPr>
            <w:tcW w:w="16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15.9</w:t>
            </w:r>
          </w:p>
        </w:tc>
        <w:tc>
          <w:tcPr>
            <w:tcW w:w="2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19.1</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540" w:type="dxa"/>
            <w:vAlign w:val="bottom"/>
          </w:tcPr>
          <w:p>
            <w:pPr>
              <w:spacing w:after="0"/>
              <w:rPr>
                <w:sz w:val="16"/>
                <w:szCs w:val="16"/>
                <w:color w:val="auto"/>
              </w:rPr>
            </w:pPr>
          </w:p>
        </w:tc>
        <w:tc>
          <w:tcPr>
            <w:tcW w:w="280" w:type="dxa"/>
            <w:vAlign w:val="bottom"/>
            <w:gridSpan w:val="2"/>
          </w:tcPr>
          <w:p>
            <w:pPr>
              <w:jc w:val="right"/>
              <w:spacing w:after="0" w:line="183" w:lineRule="exact"/>
              <w:rPr>
                <w:sz w:val="20"/>
                <w:szCs w:val="20"/>
                <w:color w:val="auto"/>
              </w:rPr>
            </w:pPr>
            <w:r>
              <w:rPr>
                <w:rFonts w:ascii="Arial" w:cs="Arial" w:eastAsia="Arial" w:hAnsi="Arial"/>
                <w:sz w:val="16"/>
                <w:szCs w:val="16"/>
                <w:color w:val="auto"/>
              </w:rPr>
              <w:t>$</w:t>
            </w:r>
          </w:p>
        </w:tc>
        <w:tc>
          <w:tcPr>
            <w:tcW w:w="840" w:type="dxa"/>
            <w:vAlign w:val="bottom"/>
          </w:tcPr>
          <w:p>
            <w:pPr>
              <w:jc w:val="right"/>
              <w:spacing w:after="0" w:line="183" w:lineRule="exact"/>
              <w:rPr>
                <w:sz w:val="20"/>
                <w:szCs w:val="20"/>
                <w:color w:val="auto"/>
              </w:rPr>
            </w:pPr>
            <w:r>
              <w:rPr>
                <w:rFonts w:ascii="Arial" w:cs="Arial" w:eastAsia="Arial" w:hAnsi="Arial"/>
                <w:sz w:val="16"/>
                <w:szCs w:val="16"/>
                <w:color w:val="auto"/>
              </w:rPr>
              <w:t>733.3</w:t>
            </w:r>
          </w:p>
        </w:tc>
        <w:tc>
          <w:tcPr>
            <w:tcW w:w="420" w:type="dxa"/>
            <w:vAlign w:val="bottom"/>
            <w:gridSpan w:val="2"/>
          </w:tcPr>
          <w:p>
            <w:pPr>
              <w:ind w:left="200"/>
              <w:spacing w:after="0" w:line="183" w:lineRule="exact"/>
              <w:rPr>
                <w:sz w:val="20"/>
                <w:szCs w:val="20"/>
                <w:color w:val="auto"/>
              </w:rPr>
            </w:pPr>
            <w:r>
              <w:rPr>
                <w:rFonts w:ascii="Arial" w:cs="Arial" w:eastAsia="Arial" w:hAnsi="Arial"/>
                <w:sz w:val="16"/>
                <w:szCs w:val="16"/>
                <w:color w:val="auto"/>
              </w:rPr>
              <w:t>$</w:t>
            </w:r>
          </w:p>
        </w:tc>
        <w:tc>
          <w:tcPr>
            <w:tcW w:w="860" w:type="dxa"/>
            <w:vAlign w:val="bottom"/>
          </w:tcPr>
          <w:p>
            <w:pPr>
              <w:jc w:val="right"/>
              <w:spacing w:after="0" w:line="183" w:lineRule="exact"/>
              <w:rPr>
                <w:sz w:val="20"/>
                <w:szCs w:val="20"/>
                <w:color w:val="auto"/>
              </w:rPr>
            </w:pPr>
            <w:r>
              <w:rPr>
                <w:rFonts w:ascii="Arial" w:cs="Arial" w:eastAsia="Arial" w:hAnsi="Arial"/>
                <w:sz w:val="16"/>
                <w:szCs w:val="16"/>
                <w:color w:val="auto"/>
              </w:rPr>
              <w:t>672.8</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654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6540" w:type="dxa"/>
            <w:vAlign w:val="bottom"/>
          </w:tcPr>
          <w:p>
            <w:pPr>
              <w:spacing w:after="0"/>
              <w:rPr>
                <w:sz w:val="20"/>
                <w:szCs w:val="20"/>
                <w:color w:val="auto"/>
              </w:rPr>
            </w:pPr>
            <w:r>
              <w:rPr>
                <w:rFonts w:ascii="Arial" w:cs="Arial" w:eastAsia="Arial" w:hAnsi="Arial"/>
                <w:sz w:val="16"/>
                <w:szCs w:val="16"/>
                <w:b w:val="1"/>
                <w:bCs w:val="1"/>
                <w:color w:val="auto"/>
              </w:rPr>
              <w:t>LIABILITIES AND STOCKHOLDERS’ EQUITY</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5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560" w:type="dxa"/>
            <w:vAlign w:val="bottom"/>
            <w:gridSpan w:val="2"/>
          </w:tcPr>
          <w:p>
            <w:pPr>
              <w:spacing w:after="0"/>
              <w:rPr>
                <w:sz w:val="20"/>
                <w:szCs w:val="20"/>
                <w:color w:val="auto"/>
              </w:rPr>
            </w:pPr>
            <w:r>
              <w:rPr>
                <w:rFonts w:ascii="Arial" w:cs="Arial" w:eastAsia="Arial" w:hAnsi="Arial"/>
                <w:sz w:val="16"/>
                <w:szCs w:val="16"/>
                <w:color w:val="auto"/>
              </w:rPr>
              <w:t>Current liabilities:</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5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Accounts payable</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48.9</w:t>
            </w:r>
          </w:p>
        </w:tc>
        <w:tc>
          <w:tcPr>
            <w:tcW w:w="42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47.3</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540" w:type="dxa"/>
            <w:vAlign w:val="bottom"/>
          </w:tcPr>
          <w:p>
            <w:pPr>
              <w:ind w:left="100"/>
              <w:spacing w:after="0"/>
              <w:rPr>
                <w:sz w:val="20"/>
                <w:szCs w:val="20"/>
                <w:color w:val="auto"/>
              </w:rPr>
            </w:pPr>
            <w:r>
              <w:rPr>
                <w:rFonts w:ascii="Arial" w:cs="Arial" w:eastAsia="Arial" w:hAnsi="Arial"/>
                <w:sz w:val="16"/>
                <w:szCs w:val="16"/>
                <w:color w:val="auto"/>
              </w:rPr>
              <w:t>Accrued interest</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7.2</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7.2</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5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Accrued liabilities</w:t>
            </w:r>
          </w:p>
        </w:tc>
        <w:tc>
          <w:tcPr>
            <w:tcW w:w="16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26.2</w:t>
            </w:r>
          </w:p>
        </w:tc>
        <w:tc>
          <w:tcPr>
            <w:tcW w:w="2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30.7</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540" w:type="dxa"/>
            <w:vAlign w:val="bottom"/>
            <w:tcBorders>
              <w:bottom w:val="single" w:sz="8" w:color="CCEEFF"/>
            </w:tcBorders>
          </w:tcPr>
          <w:p>
            <w:pPr>
              <w:ind w:left="200"/>
              <w:spacing w:after="0" w:line="183" w:lineRule="exact"/>
              <w:rPr>
                <w:sz w:val="20"/>
                <w:szCs w:val="20"/>
                <w:color w:val="auto"/>
              </w:rPr>
            </w:pPr>
            <w:r>
              <w:rPr>
                <w:rFonts w:ascii="Arial" w:cs="Arial" w:eastAsia="Arial" w:hAnsi="Arial"/>
                <w:sz w:val="16"/>
                <w:szCs w:val="16"/>
                <w:color w:val="auto"/>
              </w:rPr>
              <w:t>Total current liabilities</w:t>
            </w:r>
          </w:p>
        </w:tc>
        <w:tc>
          <w:tcPr>
            <w:tcW w:w="1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82.3</w:t>
            </w:r>
          </w:p>
        </w:tc>
        <w:tc>
          <w:tcPr>
            <w:tcW w:w="2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85.2</w:t>
            </w:r>
          </w:p>
        </w:tc>
        <w:tc>
          <w:tcPr>
            <w:tcW w:w="1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5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560" w:type="dxa"/>
            <w:vAlign w:val="bottom"/>
            <w:gridSpan w:val="2"/>
          </w:tcPr>
          <w:p>
            <w:pPr>
              <w:spacing w:after="0"/>
              <w:rPr>
                <w:sz w:val="20"/>
                <w:szCs w:val="20"/>
                <w:color w:val="auto"/>
              </w:rPr>
            </w:pPr>
            <w:r>
              <w:rPr>
                <w:rFonts w:ascii="Arial" w:cs="Arial" w:eastAsia="Arial" w:hAnsi="Arial"/>
                <w:sz w:val="16"/>
                <w:szCs w:val="16"/>
                <w:color w:val="auto"/>
              </w:rPr>
              <w:t>Long-term debt</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242.6</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242.2</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6"/>
                <w:szCs w:val="16"/>
                <w:color w:val="auto"/>
              </w:rPr>
              <w:t>Deferred income taxes</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6560" w:type="dxa"/>
            <w:vAlign w:val="bottom"/>
            <w:gridSpan w:val="2"/>
          </w:tcPr>
          <w:p>
            <w:pPr>
              <w:spacing w:after="0"/>
              <w:rPr>
                <w:sz w:val="20"/>
                <w:szCs w:val="20"/>
                <w:color w:val="auto"/>
              </w:rPr>
            </w:pPr>
            <w:r>
              <w:rPr>
                <w:rFonts w:ascii="Arial" w:cs="Arial" w:eastAsia="Arial" w:hAnsi="Arial"/>
                <w:sz w:val="16"/>
                <w:szCs w:val="16"/>
                <w:color w:val="auto"/>
              </w:rPr>
              <w:t>Other non-current liabilities</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5.8</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4.7</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5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560" w:type="dxa"/>
            <w:vAlign w:val="bottom"/>
            <w:gridSpan w:val="2"/>
          </w:tcPr>
          <w:p>
            <w:pPr>
              <w:spacing w:after="0"/>
              <w:rPr>
                <w:sz w:val="20"/>
                <w:szCs w:val="20"/>
                <w:color w:val="auto"/>
              </w:rPr>
            </w:pPr>
            <w:r>
              <w:rPr>
                <w:rFonts w:ascii="Arial" w:cs="Arial" w:eastAsia="Arial" w:hAnsi="Arial"/>
                <w:sz w:val="16"/>
                <w:szCs w:val="16"/>
                <w:color w:val="auto"/>
              </w:rPr>
              <w:t>Commitments, contingencies and off-balance sheet arrangements (Note 10)</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6"/>
                <w:szCs w:val="16"/>
                <w:color w:val="auto"/>
              </w:rPr>
              <w:t>Stockholders’ equity:</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6540" w:type="dxa"/>
            <w:vAlign w:val="bottom"/>
          </w:tcPr>
          <w:p>
            <w:pPr>
              <w:ind w:left="100"/>
              <w:spacing w:after="0"/>
              <w:rPr>
                <w:sz w:val="20"/>
                <w:szCs w:val="20"/>
                <w:color w:val="auto"/>
              </w:rPr>
            </w:pPr>
            <w:r>
              <w:rPr>
                <w:rFonts w:ascii="Arial" w:cs="Arial" w:eastAsia="Arial" w:hAnsi="Arial"/>
                <w:sz w:val="16"/>
                <w:szCs w:val="16"/>
                <w:color w:val="auto"/>
              </w:rPr>
              <w:t>Common stock, $0.01 par value per share; 110.0 shares authorized; 23.6 shares issued</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6540" w:type="dxa"/>
            <w:vAlign w:val="bottom"/>
          </w:tcPr>
          <w:p>
            <w:pPr>
              <w:ind w:left="100"/>
              <w:spacing w:after="0"/>
              <w:rPr>
                <w:sz w:val="20"/>
                <w:szCs w:val="20"/>
                <w:color w:val="auto"/>
              </w:rPr>
            </w:pPr>
            <w:r>
              <w:rPr>
                <w:rFonts w:ascii="Arial" w:cs="Arial" w:eastAsia="Arial" w:hAnsi="Arial"/>
                <w:sz w:val="16"/>
                <w:szCs w:val="16"/>
                <w:color w:val="auto"/>
              </w:rPr>
              <w:t>as of July 31, 2019 and 22.6 shares issued as of January 31, 2019</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0.2</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5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Additional paid-in capital</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403.3</w:t>
            </w: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345.0</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540" w:type="dxa"/>
            <w:vAlign w:val="bottom"/>
          </w:tcPr>
          <w:p>
            <w:pPr>
              <w:ind w:left="100"/>
              <w:spacing w:after="0"/>
              <w:rPr>
                <w:sz w:val="20"/>
                <w:szCs w:val="20"/>
                <w:color w:val="auto"/>
              </w:rPr>
            </w:pPr>
            <w:r>
              <w:rPr>
                <w:rFonts w:ascii="Arial" w:cs="Arial" w:eastAsia="Arial" w:hAnsi="Arial"/>
                <w:sz w:val="16"/>
                <w:szCs w:val="16"/>
                <w:color w:val="auto"/>
              </w:rPr>
              <w:t>Treasury stock: 0.1 shares as of July 31, 2019 and 0 shares as of January 31, 2019</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(1.4)</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5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Accumulated deficit</w:t>
            </w:r>
          </w:p>
        </w:tc>
        <w:tc>
          <w:tcPr>
            <w:tcW w:w="16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2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540" w:type="dxa"/>
            <w:vAlign w:val="bottom"/>
            <w:tcBorders>
              <w:bottom w:val="single" w:sz="8" w:color="CCEEFF"/>
            </w:tcBorders>
          </w:tcPr>
          <w:p>
            <w:pPr>
              <w:ind w:left="200"/>
              <w:spacing w:after="0" w:line="183" w:lineRule="exact"/>
              <w:rPr>
                <w:sz w:val="20"/>
                <w:szCs w:val="20"/>
                <w:color w:val="auto"/>
              </w:rPr>
            </w:pPr>
            <w:r>
              <w:rPr>
                <w:rFonts w:ascii="Arial" w:cs="Arial" w:eastAsia="Arial" w:hAnsi="Arial"/>
                <w:sz w:val="16"/>
                <w:szCs w:val="16"/>
                <w:color w:val="auto"/>
              </w:rPr>
              <w:t>Total stockholders’ equity</w:t>
            </w:r>
          </w:p>
        </w:tc>
        <w:tc>
          <w:tcPr>
            <w:tcW w:w="1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396.1</w:t>
            </w:r>
          </w:p>
        </w:tc>
        <w:tc>
          <w:tcPr>
            <w:tcW w:w="2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340.7</w:t>
            </w:r>
          </w:p>
        </w:tc>
        <w:tc>
          <w:tcPr>
            <w:tcW w:w="1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5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733.3</w:t>
            </w:r>
          </w:p>
        </w:tc>
        <w:tc>
          <w:tcPr>
            <w:tcW w:w="420" w:type="dxa"/>
            <w:vAlign w:val="bottom"/>
            <w:gridSpan w:val="2"/>
            <w:shd w:val="clear" w:color="auto" w:fill="CCEEFF"/>
          </w:tcPr>
          <w:p>
            <w:pPr>
              <w:ind w:left="200"/>
              <w:spacing w:after="0" w:line="183" w:lineRule="exact"/>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672.8</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5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2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80"/>
          </w:cols>
          <w:pgMar w:left="1420" w:top="140" w:right="1399" w:bottom="1440" w:gutter="0" w:footer="0" w:header="0"/>
        </w:sectPr>
      </w:pPr>
    </w:p>
    <w:bookmarkStart w:id="3" w:name="page4"/>
    <w:bookmarkEnd w:id="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13" w:lineRule="exact"/>
        <w:rPr>
          <w:sz w:val="20"/>
          <w:szCs w:val="20"/>
          <w:color w:val="auto"/>
        </w:rPr>
      </w:pPr>
    </w:p>
    <w:p>
      <w:pPr>
        <w:jc w:val="center"/>
        <w:ind w:right="40"/>
        <w:spacing w:after="0" w:line="253" w:lineRule="auto"/>
        <w:rPr>
          <w:sz w:val="20"/>
          <w:szCs w:val="20"/>
          <w:color w:val="auto"/>
        </w:rPr>
      </w:pPr>
      <w:r>
        <w:rPr>
          <w:rFonts w:ascii="Arial" w:cs="Arial" w:eastAsia="Arial" w:hAnsi="Arial"/>
          <w:sz w:val="18"/>
          <w:szCs w:val="18"/>
          <w:b w:val="1"/>
          <w:bCs w:val="1"/>
          <w:color w:val="auto"/>
        </w:rPr>
        <w:t>KLX ENERGY SERVICES HOLDINGS, INC. CONDENSED CONSOLIDATED STATEMENTS OF EARNINGS (LOSS) (UNAUDITED) (In millions, other than per share amounts)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9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20" w:type="dxa"/>
            <w:vAlign w:val="bottom"/>
            <w:gridSpan w:val="5"/>
          </w:tcPr>
          <w:p>
            <w:pPr>
              <w:jc w:val="right"/>
              <w:spacing w:after="0"/>
              <w:rPr>
                <w:sz w:val="20"/>
                <w:szCs w:val="20"/>
                <w:color w:val="auto"/>
              </w:rPr>
            </w:pPr>
            <w:r>
              <w:rPr>
                <w:rFonts w:ascii="Arial" w:cs="Arial" w:eastAsia="Arial" w:hAnsi="Arial"/>
                <w:sz w:val="16"/>
                <w:szCs w:val="16"/>
                <w:b w:val="1"/>
                <w:bCs w:val="1"/>
                <w:color w:val="auto"/>
              </w:rPr>
              <w:t>THREE MONTHS ENDED</w:t>
            </w:r>
          </w:p>
        </w:tc>
        <w:tc>
          <w:tcPr>
            <w:tcW w:w="120" w:type="dxa"/>
            <w:vAlign w:val="bottom"/>
          </w:tcPr>
          <w:p>
            <w:pPr>
              <w:spacing w:after="0"/>
              <w:rPr>
                <w:sz w:val="18"/>
                <w:szCs w:val="18"/>
                <w:color w:val="auto"/>
              </w:rPr>
            </w:pPr>
          </w:p>
        </w:tc>
        <w:tc>
          <w:tcPr>
            <w:tcW w:w="1800" w:type="dxa"/>
            <w:vAlign w:val="bottom"/>
            <w:gridSpan w:val="6"/>
          </w:tcPr>
          <w:p>
            <w:pPr>
              <w:ind w:left="40"/>
              <w:spacing w:after="0"/>
              <w:rPr>
                <w:sz w:val="20"/>
                <w:szCs w:val="20"/>
                <w:color w:val="auto"/>
              </w:rPr>
            </w:pPr>
            <w:r>
              <w:rPr>
                <w:rFonts w:ascii="Arial" w:cs="Arial" w:eastAsia="Arial" w:hAnsi="Arial"/>
                <w:sz w:val="16"/>
                <w:szCs w:val="16"/>
                <w:b w:val="1"/>
                <w:bCs w:val="1"/>
                <w:color w:val="auto"/>
              </w:rPr>
              <w:t>SIX MONTHS ENDED</w:t>
            </w:r>
          </w:p>
        </w:tc>
      </w:tr>
      <w:tr>
        <w:trPr>
          <w:trHeight w:val="164"/>
        </w:trPr>
        <w:tc>
          <w:tcPr>
            <w:tcW w:w="39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jc w:val="right"/>
              <w:ind w:right="59"/>
              <w:spacing w:after="0" w:line="165" w:lineRule="exact"/>
              <w:rPr>
                <w:sz w:val="20"/>
                <w:szCs w:val="20"/>
                <w:color w:val="auto"/>
              </w:rPr>
            </w:pPr>
            <w:r>
              <w:rPr>
                <w:rFonts w:ascii="Arial" w:cs="Arial" w:eastAsia="Arial" w:hAnsi="Arial"/>
                <w:sz w:val="16"/>
                <w:szCs w:val="16"/>
                <w:b w:val="1"/>
                <w:bCs w:val="1"/>
                <w:color w:val="auto"/>
                <w:w w:val="97"/>
              </w:rPr>
              <w:t>JULY 31,</w:t>
            </w:r>
          </w:p>
        </w:tc>
        <w:tc>
          <w:tcPr>
            <w:tcW w:w="1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jc w:val="right"/>
              <w:ind w:right="79"/>
              <w:spacing w:after="0" w:line="165" w:lineRule="exact"/>
              <w:rPr>
                <w:sz w:val="20"/>
                <w:szCs w:val="20"/>
                <w:color w:val="auto"/>
              </w:rPr>
            </w:pPr>
            <w:r>
              <w:rPr>
                <w:rFonts w:ascii="Arial" w:cs="Arial" w:eastAsia="Arial" w:hAnsi="Arial"/>
                <w:sz w:val="16"/>
                <w:szCs w:val="16"/>
                <w:b w:val="1"/>
                <w:bCs w:val="1"/>
                <w:color w:val="auto"/>
                <w:w w:val="94"/>
              </w:rPr>
              <w:t>JULY 31,</w:t>
            </w:r>
          </w:p>
        </w:tc>
        <w:tc>
          <w:tcPr>
            <w:tcW w:w="120" w:type="dxa"/>
            <w:vAlign w:val="bottom"/>
          </w:tcPr>
          <w:p>
            <w:pPr>
              <w:spacing w:after="0"/>
              <w:rPr>
                <w:sz w:val="14"/>
                <w:szCs w:val="14"/>
                <w:color w:val="auto"/>
              </w:rPr>
            </w:pPr>
          </w:p>
        </w:tc>
        <w:tc>
          <w:tcPr>
            <w:tcW w:w="780" w:type="dxa"/>
            <w:vAlign w:val="bottom"/>
            <w:tcBorders>
              <w:top w:val="single" w:sz="8" w:color="auto"/>
            </w:tcBorders>
            <w:gridSpan w:val="2"/>
          </w:tcPr>
          <w:p>
            <w:pPr>
              <w:ind w:left="40"/>
              <w:spacing w:after="0" w:line="165" w:lineRule="exact"/>
              <w:rPr>
                <w:sz w:val="20"/>
                <w:szCs w:val="20"/>
                <w:color w:val="auto"/>
              </w:rPr>
            </w:pPr>
            <w:r>
              <w:rPr>
                <w:rFonts w:ascii="Arial" w:cs="Arial" w:eastAsia="Arial" w:hAnsi="Arial"/>
                <w:sz w:val="16"/>
                <w:szCs w:val="16"/>
                <w:b w:val="1"/>
                <w:bCs w:val="1"/>
                <w:color w:val="auto"/>
              </w:rPr>
              <w:t>JULY 31,</w:t>
            </w:r>
          </w:p>
        </w:tc>
        <w:tc>
          <w:tcPr>
            <w:tcW w:w="14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gridSpan w:val="2"/>
          </w:tcPr>
          <w:p>
            <w:pPr>
              <w:jc w:val="right"/>
              <w:spacing w:after="0" w:line="165" w:lineRule="exact"/>
              <w:rPr>
                <w:sz w:val="20"/>
                <w:szCs w:val="20"/>
                <w:color w:val="auto"/>
              </w:rPr>
            </w:pPr>
            <w:r>
              <w:rPr>
                <w:rFonts w:ascii="Arial" w:cs="Arial" w:eastAsia="Arial" w:hAnsi="Arial"/>
                <w:sz w:val="16"/>
                <w:szCs w:val="16"/>
                <w:b w:val="1"/>
                <w:bCs w:val="1"/>
                <w:color w:val="auto"/>
              </w:rPr>
              <w:t>JULY 31,</w:t>
            </w:r>
          </w:p>
        </w:tc>
        <w:tc>
          <w:tcPr>
            <w:tcW w:w="100" w:type="dxa"/>
            <w:vAlign w:val="bottom"/>
          </w:tcPr>
          <w:p>
            <w:pPr>
              <w:spacing w:after="0"/>
              <w:rPr>
                <w:sz w:val="14"/>
                <w:szCs w:val="14"/>
                <w:color w:val="auto"/>
              </w:rPr>
            </w:pPr>
          </w:p>
        </w:tc>
      </w:tr>
      <w:tr>
        <w:trPr>
          <w:trHeight w:val="207"/>
        </w:trPr>
        <w:tc>
          <w:tcPr>
            <w:tcW w:w="3940" w:type="dxa"/>
            <w:vAlign w:val="bottom"/>
            <w:tcBorders>
              <w:bottom w:val="single" w:sz="8" w:color="CCEEFF"/>
            </w:tcBorders>
          </w:tcPr>
          <w:p>
            <w:pPr>
              <w:spacing w:after="0"/>
              <w:rPr>
                <w:sz w:val="18"/>
                <w:szCs w:val="18"/>
                <w:color w:val="auto"/>
              </w:rPr>
            </w:pPr>
          </w:p>
        </w:tc>
        <w:tc>
          <w:tcPr>
            <w:tcW w:w="1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2019</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2019</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CCEEFF"/>
            </w:tcBorders>
          </w:tcPr>
          <w:p>
            <w:pPr>
              <w:spacing w:after="0"/>
              <w:rPr>
                <w:sz w:val="18"/>
                <w:szCs w:val="18"/>
                <w:color w:val="auto"/>
              </w:rPr>
            </w:pPr>
          </w:p>
        </w:tc>
      </w:tr>
      <w:tr>
        <w:trPr>
          <w:trHeight w:val="183"/>
        </w:trPr>
        <w:tc>
          <w:tcPr>
            <w:tcW w:w="394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Service revenues</w:t>
            </w:r>
          </w:p>
        </w:tc>
        <w:tc>
          <w:tcPr>
            <w:tcW w:w="1320" w:type="dxa"/>
            <w:vAlign w:val="bottom"/>
            <w:gridSpan w:val="2"/>
            <w:shd w:val="clear" w:color="auto" w:fill="CCEEFF"/>
          </w:tcPr>
          <w:p>
            <w:pPr>
              <w:jc w:val="right"/>
              <w:spacing w:after="0" w:line="183" w:lineRule="exact"/>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164.9</w:t>
            </w:r>
          </w:p>
        </w:tc>
        <w:tc>
          <w:tcPr>
            <w:tcW w:w="280" w:type="dxa"/>
            <w:vAlign w:val="bottom"/>
            <w:gridSpan w:val="2"/>
            <w:shd w:val="clear" w:color="auto" w:fill="CCEEFF"/>
          </w:tcPr>
          <w:p>
            <w:pPr>
              <w:jc w:val="right"/>
              <w:ind w:right="20"/>
              <w:spacing w:after="0" w:line="183" w:lineRule="exact"/>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117.9</w:t>
            </w:r>
          </w:p>
        </w:tc>
        <w:tc>
          <w:tcPr>
            <w:tcW w:w="260" w:type="dxa"/>
            <w:vAlign w:val="bottom"/>
            <w:gridSpan w:val="2"/>
            <w:shd w:val="clear" w:color="auto" w:fill="CCEEFF"/>
          </w:tcPr>
          <w:p>
            <w:pPr>
              <w:jc w:val="right"/>
              <w:spacing w:after="0" w:line="183" w:lineRule="exact"/>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310.7</w:t>
            </w:r>
          </w:p>
        </w:tc>
        <w:tc>
          <w:tcPr>
            <w:tcW w:w="280" w:type="dxa"/>
            <w:vAlign w:val="bottom"/>
            <w:gridSpan w:val="2"/>
            <w:shd w:val="clear" w:color="auto" w:fill="CCEEFF"/>
          </w:tcPr>
          <w:p>
            <w:pPr>
              <w:jc w:val="right"/>
              <w:spacing w:after="0" w:line="183" w:lineRule="exact"/>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228.2</w:t>
            </w:r>
          </w:p>
        </w:tc>
        <w:tc>
          <w:tcPr>
            <w:tcW w:w="100" w:type="dxa"/>
            <w:vAlign w:val="bottom"/>
            <w:shd w:val="clear" w:color="auto" w:fill="CCEEFF"/>
          </w:tcPr>
          <w:p>
            <w:pPr>
              <w:spacing w:after="0"/>
              <w:rPr>
                <w:sz w:val="15"/>
                <w:szCs w:val="15"/>
                <w:color w:val="auto"/>
              </w:rPr>
            </w:pPr>
          </w:p>
        </w:tc>
      </w:tr>
      <w:tr>
        <w:trPr>
          <w:trHeight w:val="189"/>
        </w:trPr>
        <w:tc>
          <w:tcPr>
            <w:tcW w:w="3940" w:type="dxa"/>
            <w:vAlign w:val="bottom"/>
          </w:tcPr>
          <w:p>
            <w:pPr>
              <w:spacing w:after="0"/>
              <w:rPr>
                <w:sz w:val="20"/>
                <w:szCs w:val="20"/>
                <w:color w:val="auto"/>
              </w:rPr>
            </w:pPr>
            <w:r>
              <w:rPr>
                <w:rFonts w:ascii="Arial" w:cs="Arial" w:eastAsia="Arial" w:hAnsi="Arial"/>
                <w:sz w:val="16"/>
                <w:szCs w:val="16"/>
                <w:color w:val="auto"/>
              </w:rPr>
              <w:t>Cost of sales</w:t>
            </w: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129.4</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85.7</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248.3</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167.7</w:t>
            </w:r>
          </w:p>
        </w:tc>
        <w:tc>
          <w:tcPr>
            <w:tcW w:w="100" w:type="dxa"/>
            <w:vAlign w:val="bottom"/>
          </w:tcPr>
          <w:p>
            <w:pPr>
              <w:spacing w:after="0"/>
              <w:rPr>
                <w:sz w:val="16"/>
                <w:szCs w:val="16"/>
                <w:color w:val="auto"/>
              </w:rPr>
            </w:pPr>
          </w:p>
        </w:tc>
      </w:tr>
      <w:tr>
        <w:trPr>
          <w:trHeight w:val="189"/>
        </w:trPr>
        <w:tc>
          <w:tcPr>
            <w:tcW w:w="3940" w:type="dxa"/>
            <w:vAlign w:val="bottom"/>
            <w:shd w:val="clear" w:color="auto" w:fill="CCEEFF"/>
          </w:tcPr>
          <w:p>
            <w:pPr>
              <w:spacing w:after="0"/>
              <w:rPr>
                <w:sz w:val="20"/>
                <w:szCs w:val="20"/>
                <w:color w:val="auto"/>
              </w:rPr>
            </w:pPr>
            <w:r>
              <w:rPr>
                <w:rFonts w:ascii="Arial" w:cs="Arial" w:eastAsia="Arial" w:hAnsi="Arial"/>
                <w:sz w:val="16"/>
                <w:szCs w:val="16"/>
                <w:color w:val="auto"/>
              </w:rPr>
              <w:t>Selling, general and administrative</w:t>
            </w: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23.7</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47.5</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39.7</w:t>
            </w:r>
          </w:p>
        </w:tc>
        <w:tc>
          <w:tcPr>
            <w:tcW w:w="100" w:type="dxa"/>
            <w:vAlign w:val="bottom"/>
            <w:shd w:val="clear" w:color="auto" w:fill="CCEEFF"/>
          </w:tcPr>
          <w:p>
            <w:pPr>
              <w:spacing w:after="0"/>
              <w:rPr>
                <w:sz w:val="16"/>
                <w:szCs w:val="16"/>
                <w:color w:val="auto"/>
              </w:rPr>
            </w:pPr>
          </w:p>
        </w:tc>
      </w:tr>
      <w:tr>
        <w:trPr>
          <w:trHeight w:val="189"/>
        </w:trPr>
        <w:tc>
          <w:tcPr>
            <w:tcW w:w="394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Research and development costs</w:t>
            </w:r>
          </w:p>
        </w:tc>
        <w:tc>
          <w:tcPr>
            <w:tcW w:w="12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0.8</w:t>
            </w:r>
          </w:p>
        </w:tc>
        <w:tc>
          <w:tcPr>
            <w:tcW w:w="1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0.6</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c>
          <w:tcPr>
            <w:tcW w:w="1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w:t>
            </w:r>
          </w:p>
        </w:tc>
        <w:tc>
          <w:tcPr>
            <w:tcW w:w="100" w:type="dxa"/>
            <w:vAlign w:val="bottom"/>
            <w:tcBorders>
              <w:bottom w:val="single" w:sz="8" w:color="CCEEFF"/>
            </w:tcBorders>
          </w:tcPr>
          <w:p>
            <w:pPr>
              <w:spacing w:after="0"/>
              <w:rPr>
                <w:sz w:val="16"/>
                <w:szCs w:val="16"/>
                <w:color w:val="auto"/>
              </w:rPr>
            </w:pPr>
          </w:p>
        </w:tc>
      </w:tr>
      <w:tr>
        <w:trPr>
          <w:trHeight w:val="183"/>
        </w:trPr>
        <w:tc>
          <w:tcPr>
            <w:tcW w:w="394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Operating earnings</w:t>
            </w: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11.0</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13.7</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13.4</w:t>
            </w: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19.5</w:t>
            </w:r>
          </w:p>
        </w:tc>
        <w:tc>
          <w:tcPr>
            <w:tcW w:w="100" w:type="dxa"/>
            <w:vAlign w:val="bottom"/>
            <w:shd w:val="clear" w:color="auto" w:fill="CCEEFF"/>
          </w:tcPr>
          <w:p>
            <w:pPr>
              <w:spacing w:after="0"/>
              <w:rPr>
                <w:sz w:val="15"/>
                <w:szCs w:val="15"/>
                <w:color w:val="auto"/>
              </w:rPr>
            </w:pPr>
          </w:p>
        </w:tc>
      </w:tr>
      <w:tr>
        <w:trPr>
          <w:trHeight w:val="189"/>
        </w:trPr>
        <w:tc>
          <w:tcPr>
            <w:tcW w:w="394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Interest expense, net</w:t>
            </w:r>
          </w:p>
        </w:tc>
        <w:tc>
          <w:tcPr>
            <w:tcW w:w="12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w:t>
            </w:r>
          </w:p>
        </w:tc>
        <w:tc>
          <w:tcPr>
            <w:tcW w:w="1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14.5</w:t>
            </w:r>
          </w:p>
        </w:tc>
        <w:tc>
          <w:tcPr>
            <w:tcW w:w="1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6"/>
                <w:szCs w:val="16"/>
                <w:color w:val="auto"/>
              </w:rPr>
            </w:pPr>
          </w:p>
        </w:tc>
      </w:tr>
      <w:tr>
        <w:trPr>
          <w:trHeight w:val="183"/>
        </w:trPr>
        <w:tc>
          <w:tcPr>
            <w:tcW w:w="394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Earnings (loss) before income taxes</w:t>
            </w: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3.6</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13.7</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(1.1)</w:t>
            </w: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19.5</w:t>
            </w:r>
          </w:p>
        </w:tc>
        <w:tc>
          <w:tcPr>
            <w:tcW w:w="100" w:type="dxa"/>
            <w:vAlign w:val="bottom"/>
            <w:shd w:val="clear" w:color="auto" w:fill="CCEEFF"/>
          </w:tcPr>
          <w:p>
            <w:pPr>
              <w:spacing w:after="0"/>
              <w:rPr>
                <w:sz w:val="15"/>
                <w:szCs w:val="15"/>
                <w:color w:val="auto"/>
              </w:rPr>
            </w:pPr>
          </w:p>
        </w:tc>
      </w:tr>
      <w:tr>
        <w:trPr>
          <w:trHeight w:val="189"/>
        </w:trPr>
        <w:tc>
          <w:tcPr>
            <w:tcW w:w="394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Income tax expense</w:t>
            </w:r>
          </w:p>
        </w:tc>
        <w:tc>
          <w:tcPr>
            <w:tcW w:w="12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w:t>
            </w:r>
          </w:p>
        </w:tc>
        <w:tc>
          <w:tcPr>
            <w:tcW w:w="1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0.4</w:t>
            </w:r>
          </w:p>
        </w:tc>
        <w:tc>
          <w:tcPr>
            <w:tcW w:w="1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w:t>
            </w:r>
          </w:p>
        </w:tc>
        <w:tc>
          <w:tcPr>
            <w:tcW w:w="100" w:type="dxa"/>
            <w:vAlign w:val="bottom"/>
            <w:tcBorders>
              <w:bottom w:val="single" w:sz="8" w:color="CCEEFF"/>
            </w:tcBorders>
          </w:tcPr>
          <w:p>
            <w:pPr>
              <w:spacing w:after="0"/>
              <w:rPr>
                <w:sz w:val="16"/>
                <w:szCs w:val="16"/>
                <w:color w:val="auto"/>
              </w:rPr>
            </w:pPr>
          </w:p>
        </w:tc>
      </w:tr>
      <w:tr>
        <w:trPr>
          <w:trHeight w:val="190"/>
        </w:trPr>
        <w:tc>
          <w:tcPr>
            <w:tcW w:w="394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Net earnings (loss)</w:t>
            </w:r>
          </w:p>
        </w:tc>
        <w:tc>
          <w:tcPr>
            <w:tcW w:w="1320" w:type="dxa"/>
            <w:vAlign w:val="bottom"/>
            <w:gridSpan w:val="2"/>
            <w:shd w:val="clear" w:color="auto" w:fill="CCEEFF"/>
          </w:tcPr>
          <w:p>
            <w:pPr>
              <w:jc w:val="right"/>
              <w:spacing w:after="0" w:line="183" w:lineRule="exact"/>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3.5</w:t>
            </w:r>
          </w:p>
        </w:tc>
        <w:tc>
          <w:tcPr>
            <w:tcW w:w="280" w:type="dxa"/>
            <w:vAlign w:val="bottom"/>
            <w:gridSpan w:val="2"/>
            <w:shd w:val="clear" w:color="auto" w:fill="CCEEFF"/>
          </w:tcPr>
          <w:p>
            <w:pPr>
              <w:jc w:val="right"/>
              <w:ind w:right="20"/>
              <w:spacing w:after="0" w:line="183" w:lineRule="exact"/>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13.6</w:t>
            </w:r>
          </w:p>
        </w:tc>
        <w:tc>
          <w:tcPr>
            <w:tcW w:w="260" w:type="dxa"/>
            <w:vAlign w:val="bottom"/>
            <w:gridSpan w:val="2"/>
            <w:shd w:val="clear" w:color="auto" w:fill="CCEEFF"/>
          </w:tcPr>
          <w:p>
            <w:pPr>
              <w:jc w:val="right"/>
              <w:spacing w:after="0" w:line="183" w:lineRule="exact"/>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(1.5)</w:t>
            </w:r>
          </w:p>
        </w:tc>
        <w:tc>
          <w:tcPr>
            <w:tcW w:w="280" w:type="dxa"/>
            <w:vAlign w:val="bottom"/>
            <w:gridSpan w:val="2"/>
            <w:shd w:val="clear" w:color="auto" w:fill="CCEEFF"/>
          </w:tcPr>
          <w:p>
            <w:pPr>
              <w:jc w:val="right"/>
              <w:spacing w:after="0" w:line="183" w:lineRule="exact"/>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19.4</w:t>
            </w:r>
          </w:p>
        </w:tc>
        <w:tc>
          <w:tcPr>
            <w:tcW w:w="100" w:type="dxa"/>
            <w:vAlign w:val="bottom"/>
            <w:shd w:val="clear" w:color="auto" w:fill="CCEEFF"/>
          </w:tcPr>
          <w:p>
            <w:pPr>
              <w:spacing w:after="0"/>
              <w:rPr>
                <w:sz w:val="16"/>
                <w:szCs w:val="16"/>
                <w:color w:val="auto"/>
              </w:rPr>
            </w:pPr>
          </w:p>
        </w:tc>
      </w:tr>
      <w:tr>
        <w:trPr>
          <w:trHeight w:val="189"/>
        </w:trPr>
        <w:tc>
          <w:tcPr>
            <w:tcW w:w="3940" w:type="dxa"/>
            <w:vAlign w:val="bottom"/>
            <w:tcBorders>
              <w:top w:val="single" w:sz="8" w:color="CCEEFF"/>
            </w:tcBorders>
          </w:tcPr>
          <w:p>
            <w:pPr>
              <w:spacing w:after="0"/>
              <w:rPr>
                <w:sz w:val="16"/>
                <w:szCs w:val="16"/>
                <w:color w:val="auto"/>
              </w:rPr>
            </w:pPr>
          </w:p>
        </w:tc>
        <w:tc>
          <w:tcPr>
            <w:tcW w:w="122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r>
      <w:tr>
        <w:trPr>
          <w:trHeight w:val="189"/>
        </w:trPr>
        <w:tc>
          <w:tcPr>
            <w:tcW w:w="3940" w:type="dxa"/>
            <w:vAlign w:val="bottom"/>
            <w:shd w:val="clear" w:color="auto" w:fill="CCEEFF"/>
          </w:tcPr>
          <w:p>
            <w:pPr>
              <w:spacing w:after="0"/>
              <w:rPr>
                <w:sz w:val="20"/>
                <w:szCs w:val="20"/>
                <w:color w:val="auto"/>
              </w:rPr>
            </w:pPr>
            <w:r>
              <w:rPr>
                <w:rFonts w:ascii="Arial" w:cs="Arial" w:eastAsia="Arial" w:hAnsi="Arial"/>
                <w:sz w:val="16"/>
                <w:szCs w:val="16"/>
                <w:color w:val="auto"/>
              </w:rPr>
              <w:t>Net earnings (loss) per share - basic</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0.16</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(0.07)</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0.97</w:t>
            </w:r>
          </w:p>
        </w:tc>
        <w:tc>
          <w:tcPr>
            <w:tcW w:w="100" w:type="dxa"/>
            <w:vAlign w:val="bottom"/>
            <w:shd w:val="clear" w:color="auto" w:fill="CCEEFF"/>
          </w:tcPr>
          <w:p>
            <w:pPr>
              <w:spacing w:after="0"/>
              <w:rPr>
                <w:sz w:val="16"/>
                <w:szCs w:val="16"/>
                <w:color w:val="auto"/>
              </w:rPr>
            </w:pPr>
          </w:p>
        </w:tc>
      </w:tr>
      <w:tr>
        <w:trPr>
          <w:trHeight w:val="197"/>
        </w:trPr>
        <w:tc>
          <w:tcPr>
            <w:tcW w:w="3940" w:type="dxa"/>
            <w:vAlign w:val="bottom"/>
          </w:tcPr>
          <w:p>
            <w:pPr>
              <w:spacing w:after="0"/>
              <w:rPr>
                <w:sz w:val="20"/>
                <w:szCs w:val="20"/>
                <w:color w:val="auto"/>
              </w:rPr>
            </w:pPr>
            <w:r>
              <w:rPr>
                <w:rFonts w:ascii="Arial" w:cs="Arial" w:eastAsia="Arial" w:hAnsi="Arial"/>
                <w:sz w:val="16"/>
                <w:szCs w:val="16"/>
                <w:color w:val="auto"/>
              </w:rPr>
              <w:t>Net earnings (loss) per share - diluted</w:t>
            </w: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0.16</w:t>
            </w:r>
          </w:p>
        </w:tc>
        <w:tc>
          <w:tcPr>
            <w:tcW w:w="2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0.68</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(0.07)</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0.97</w:t>
            </w:r>
          </w:p>
        </w:tc>
        <w:tc>
          <w:tcPr>
            <w:tcW w:w="100" w:type="dxa"/>
            <w:vAlign w:val="bottom"/>
          </w:tcPr>
          <w:p>
            <w:pPr>
              <w:spacing w:after="0"/>
              <w:rPr>
                <w:sz w:val="17"/>
                <w:szCs w:val="17"/>
                <w:color w:val="auto"/>
              </w:rPr>
            </w:pPr>
          </w:p>
        </w:tc>
      </w:tr>
    </w:tbl>
    <w:p>
      <w:pPr>
        <w:spacing w:after="0" w:line="20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1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100"/>
          </w:cols>
          <w:pgMar w:left="1420" w:top="140" w:right="1379" w:bottom="1440" w:gutter="0" w:footer="0" w:header="0"/>
        </w:sectPr>
      </w:pPr>
    </w:p>
    <w:bookmarkStart w:id="4" w:name="page5"/>
    <w:bookmarkEnd w:id="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KLX ENERGY SERVICES HOLDINGS,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 (UNAUDITED)</w:t>
      </w:r>
    </w:p>
    <w:p>
      <w:pPr>
        <w:jc w:val="center"/>
        <w:spacing w:after="0" w:line="234" w:lineRule="auto"/>
        <w:rPr>
          <w:sz w:val="20"/>
          <w:szCs w:val="20"/>
          <w:color w:val="auto"/>
        </w:rPr>
      </w:pPr>
      <w:r>
        <w:rPr>
          <w:rFonts w:ascii="Arial" w:cs="Arial" w:eastAsia="Arial" w:hAnsi="Arial"/>
          <w:sz w:val="18"/>
          <w:szCs w:val="18"/>
          <w:b w:val="1"/>
          <w:bCs w:val="1"/>
          <w:color w:val="auto"/>
        </w:rPr>
        <w:t>THREE AND SIX MONTHS ENDED JULY 31, 2019 AND 2018</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2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80" w:type="dxa"/>
            <w:vAlign w:val="bottom"/>
            <w:gridSpan w:val="4"/>
          </w:tcPr>
          <w:p>
            <w:pPr>
              <w:ind w:left="200"/>
              <w:spacing w:after="0"/>
              <w:rPr>
                <w:sz w:val="20"/>
                <w:szCs w:val="20"/>
                <w:color w:val="auto"/>
              </w:rPr>
            </w:pPr>
            <w:r>
              <w:rPr>
                <w:rFonts w:ascii="Arial" w:cs="Arial" w:eastAsia="Arial" w:hAnsi="Arial"/>
                <w:sz w:val="16"/>
                <w:szCs w:val="16"/>
                <w:b w:val="1"/>
                <w:bCs w:val="1"/>
                <w:color w:val="auto"/>
              </w:rPr>
              <w:t>Additional</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gridSpan w:val="2"/>
          </w:tcPr>
          <w:p>
            <w:pPr>
              <w:ind w:left="140"/>
              <w:spacing w:after="0"/>
              <w:rPr>
                <w:sz w:val="20"/>
                <w:szCs w:val="20"/>
                <w:color w:val="auto"/>
              </w:rPr>
            </w:pPr>
            <w:r>
              <w:rPr>
                <w:rFonts w:ascii="Arial" w:cs="Arial" w:eastAsia="Arial" w:hAnsi="Arial"/>
                <w:sz w:val="16"/>
                <w:szCs w:val="16"/>
                <w:b w:val="1"/>
                <w:bCs w:val="1"/>
                <w:color w:val="auto"/>
              </w:rPr>
              <w:t>Total</w:t>
            </w:r>
          </w:p>
        </w:tc>
      </w:tr>
      <w:tr>
        <w:trPr>
          <w:trHeight w:val="207"/>
        </w:trPr>
        <w:tc>
          <w:tcPr>
            <w:tcW w:w="3280" w:type="dxa"/>
            <w:vAlign w:val="bottom"/>
          </w:tcPr>
          <w:p>
            <w:pPr>
              <w:spacing w:after="0"/>
              <w:rPr>
                <w:sz w:val="18"/>
                <w:szCs w:val="18"/>
                <w:color w:val="auto"/>
              </w:rPr>
            </w:pPr>
          </w:p>
        </w:tc>
        <w:tc>
          <w:tcPr>
            <w:tcW w:w="1420" w:type="dxa"/>
            <w:vAlign w:val="bottom"/>
            <w:tcBorders>
              <w:bottom w:val="single" w:sz="8" w:color="auto"/>
            </w:tcBorders>
            <w:gridSpan w:val="4"/>
          </w:tcPr>
          <w:p>
            <w:pPr>
              <w:jc w:val="right"/>
              <w:ind w:right="39"/>
              <w:spacing w:after="0"/>
              <w:rPr>
                <w:sz w:val="20"/>
                <w:szCs w:val="20"/>
                <w:color w:val="auto"/>
              </w:rPr>
            </w:pPr>
            <w:r>
              <w:rPr>
                <w:rFonts w:ascii="Arial" w:cs="Arial" w:eastAsia="Arial" w:hAnsi="Arial"/>
                <w:sz w:val="16"/>
                <w:szCs w:val="16"/>
                <w:b w:val="1"/>
                <w:bCs w:val="1"/>
                <w:color w:val="auto"/>
              </w:rPr>
              <w:t>Common Stock</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ind w:left="20"/>
              <w:spacing w:after="0"/>
              <w:rPr>
                <w:sz w:val="20"/>
                <w:szCs w:val="20"/>
                <w:color w:val="auto"/>
              </w:rPr>
            </w:pPr>
            <w:r>
              <w:rPr>
                <w:rFonts w:ascii="Arial" w:cs="Arial" w:eastAsia="Arial" w:hAnsi="Arial"/>
                <w:sz w:val="16"/>
                <w:szCs w:val="16"/>
                <w:b w:val="1"/>
                <w:bCs w:val="1"/>
                <w:color w:val="auto"/>
              </w:rPr>
              <w:t>Paid-in</w:t>
            </w:r>
          </w:p>
        </w:tc>
        <w:tc>
          <w:tcPr>
            <w:tcW w:w="80" w:type="dxa"/>
            <w:vAlign w:val="bottom"/>
          </w:tcPr>
          <w:p>
            <w:pPr>
              <w:spacing w:after="0"/>
              <w:rPr>
                <w:sz w:val="18"/>
                <w:szCs w:val="18"/>
                <w:color w:val="auto"/>
              </w:rPr>
            </w:pPr>
          </w:p>
        </w:tc>
        <w:tc>
          <w:tcPr>
            <w:tcW w:w="700" w:type="dxa"/>
            <w:vAlign w:val="bottom"/>
            <w:gridSpan w:val="2"/>
          </w:tcPr>
          <w:p>
            <w:pPr>
              <w:ind w:left="20"/>
              <w:spacing w:after="0"/>
              <w:rPr>
                <w:sz w:val="20"/>
                <w:szCs w:val="20"/>
                <w:color w:val="auto"/>
              </w:rPr>
            </w:pPr>
            <w:r>
              <w:rPr>
                <w:rFonts w:ascii="Arial" w:cs="Arial" w:eastAsia="Arial" w:hAnsi="Arial"/>
                <w:sz w:val="16"/>
                <w:szCs w:val="16"/>
                <w:b w:val="1"/>
                <w:bCs w:val="1"/>
                <w:color w:val="auto"/>
                <w:w w:val="97"/>
              </w:rPr>
              <w:t>Treasury</w:t>
            </w:r>
          </w:p>
        </w:tc>
        <w:tc>
          <w:tcPr>
            <w:tcW w:w="1380" w:type="dxa"/>
            <w:vAlign w:val="bottom"/>
            <w:gridSpan w:val="4"/>
          </w:tcPr>
          <w:p>
            <w:pPr>
              <w:ind w:left="180"/>
              <w:spacing w:after="0"/>
              <w:rPr>
                <w:sz w:val="20"/>
                <w:szCs w:val="20"/>
                <w:color w:val="auto"/>
              </w:rPr>
            </w:pPr>
            <w:r>
              <w:rPr>
                <w:rFonts w:ascii="Arial" w:cs="Arial" w:eastAsia="Arial" w:hAnsi="Arial"/>
                <w:sz w:val="16"/>
                <w:szCs w:val="16"/>
                <w:b w:val="1"/>
                <w:bCs w:val="1"/>
                <w:color w:val="auto"/>
              </w:rPr>
              <w:t>Accumulated</w:t>
            </w:r>
          </w:p>
        </w:tc>
        <w:tc>
          <w:tcPr>
            <w:tcW w:w="1120" w:type="dxa"/>
            <w:vAlign w:val="bottom"/>
            <w:gridSpan w:val="3"/>
          </w:tcPr>
          <w:p>
            <w:pPr>
              <w:spacing w:after="0"/>
              <w:rPr>
                <w:sz w:val="20"/>
                <w:szCs w:val="20"/>
                <w:color w:val="auto"/>
              </w:rPr>
            </w:pPr>
            <w:r>
              <w:rPr>
                <w:rFonts w:ascii="Arial" w:cs="Arial" w:eastAsia="Arial" w:hAnsi="Arial"/>
                <w:sz w:val="16"/>
                <w:szCs w:val="16"/>
                <w:b w:val="1"/>
                <w:bCs w:val="1"/>
                <w:color w:val="auto"/>
              </w:rPr>
              <w:t>Stockholders’</w:t>
            </w:r>
          </w:p>
        </w:tc>
      </w:tr>
      <w:tr>
        <w:trPr>
          <w:trHeight w:val="183"/>
        </w:trPr>
        <w:tc>
          <w:tcPr>
            <w:tcW w:w="328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Shares</w:t>
            </w:r>
          </w:p>
        </w:tc>
        <w:tc>
          <w:tcPr>
            <w:tcW w:w="18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gridSpan w:val="2"/>
          </w:tcPr>
          <w:p>
            <w:pPr>
              <w:jc w:val="right"/>
              <w:spacing w:after="0" w:line="183" w:lineRule="exact"/>
              <w:rPr>
                <w:sz w:val="20"/>
                <w:szCs w:val="20"/>
                <w:color w:val="auto"/>
              </w:rPr>
            </w:pPr>
            <w:r>
              <w:rPr>
                <w:rFonts w:ascii="Arial" w:cs="Arial" w:eastAsia="Arial" w:hAnsi="Arial"/>
                <w:sz w:val="16"/>
                <w:szCs w:val="16"/>
                <w:b w:val="1"/>
                <w:bCs w:val="1"/>
                <w:color w:val="auto"/>
              </w:rPr>
              <w:t>Amount</w:t>
            </w:r>
          </w:p>
        </w:tc>
        <w:tc>
          <w:tcPr>
            <w:tcW w:w="2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ind w:left="20"/>
              <w:spacing w:after="0" w:line="183" w:lineRule="exact"/>
              <w:rPr>
                <w:sz w:val="20"/>
                <w:szCs w:val="20"/>
                <w:color w:val="auto"/>
              </w:rPr>
            </w:pPr>
            <w:r>
              <w:rPr>
                <w:rFonts w:ascii="Arial" w:cs="Arial" w:eastAsia="Arial" w:hAnsi="Arial"/>
                <w:sz w:val="16"/>
                <w:szCs w:val="16"/>
                <w:b w:val="1"/>
                <w:bCs w:val="1"/>
                <w:color w:val="auto"/>
              </w:rPr>
              <w:t>Capital</w:t>
            </w:r>
          </w:p>
        </w:tc>
        <w:tc>
          <w:tcPr>
            <w:tcW w:w="10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59"/>
              <w:spacing w:after="0" w:line="183" w:lineRule="exact"/>
              <w:rPr>
                <w:sz w:val="20"/>
                <w:szCs w:val="20"/>
                <w:color w:val="auto"/>
              </w:rPr>
            </w:pPr>
            <w:r>
              <w:rPr>
                <w:rFonts w:ascii="Arial" w:cs="Arial" w:eastAsia="Arial" w:hAnsi="Arial"/>
                <w:sz w:val="16"/>
                <w:szCs w:val="16"/>
                <w:b w:val="1"/>
                <w:bCs w:val="1"/>
                <w:color w:val="auto"/>
                <w:w w:val="96"/>
              </w:rPr>
              <w:t>Stock</w:t>
            </w:r>
          </w:p>
        </w:tc>
        <w:tc>
          <w:tcPr>
            <w:tcW w:w="1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179"/>
              <w:spacing w:after="0" w:line="183" w:lineRule="exact"/>
              <w:rPr>
                <w:sz w:val="20"/>
                <w:szCs w:val="20"/>
                <w:color w:val="auto"/>
              </w:rPr>
            </w:pPr>
            <w:r>
              <w:rPr>
                <w:rFonts w:ascii="Arial" w:cs="Arial" w:eastAsia="Arial" w:hAnsi="Arial"/>
                <w:sz w:val="16"/>
                <w:szCs w:val="16"/>
                <w:b w:val="1"/>
                <w:bCs w:val="1"/>
                <w:color w:val="auto"/>
              </w:rPr>
              <w:t>Deficit</w:t>
            </w:r>
          </w:p>
        </w:tc>
        <w:tc>
          <w:tcPr>
            <w:tcW w:w="1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19"/>
              <w:spacing w:after="0" w:line="183" w:lineRule="exact"/>
              <w:rPr>
                <w:sz w:val="20"/>
                <w:szCs w:val="20"/>
                <w:color w:val="auto"/>
              </w:rPr>
            </w:pPr>
            <w:r>
              <w:rPr>
                <w:rFonts w:ascii="Arial" w:cs="Arial" w:eastAsia="Arial" w:hAnsi="Arial"/>
                <w:sz w:val="16"/>
                <w:szCs w:val="16"/>
                <w:b w:val="1"/>
                <w:bCs w:val="1"/>
                <w:color w:val="auto"/>
              </w:rPr>
              <w:t>Equity</w:t>
            </w:r>
          </w:p>
        </w:tc>
        <w:tc>
          <w:tcPr>
            <w:tcW w:w="40" w:type="dxa"/>
            <w:vAlign w:val="bottom"/>
            <w:tcBorders>
              <w:bottom w:val="single" w:sz="8" w:color="CCEEFF"/>
            </w:tcBorders>
          </w:tcPr>
          <w:p>
            <w:pPr>
              <w:spacing w:after="0"/>
              <w:rPr>
                <w:sz w:val="15"/>
                <w:szCs w:val="15"/>
                <w:color w:val="auto"/>
              </w:rPr>
            </w:pPr>
          </w:p>
        </w:tc>
      </w:tr>
      <w:tr>
        <w:trPr>
          <w:trHeight w:val="183"/>
        </w:trPr>
        <w:tc>
          <w:tcPr>
            <w:tcW w:w="328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Balance, January 31, 2019</w:t>
            </w:r>
          </w:p>
        </w:tc>
        <w:tc>
          <w:tcPr>
            <w:tcW w:w="58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22.6</w:t>
            </w:r>
          </w:p>
        </w:tc>
        <w:tc>
          <w:tcPr>
            <w:tcW w:w="420" w:type="dxa"/>
            <w:vAlign w:val="bottom"/>
            <w:gridSpan w:val="2"/>
            <w:shd w:val="clear" w:color="auto" w:fill="CCEEFF"/>
          </w:tcPr>
          <w:p>
            <w:pPr>
              <w:jc w:val="right"/>
              <w:ind w:right="59"/>
              <w:spacing w:after="0" w:line="183" w:lineRule="exact"/>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0.2</w:t>
            </w:r>
          </w:p>
        </w:tc>
        <w:tc>
          <w:tcPr>
            <w:tcW w:w="300" w:type="dxa"/>
            <w:vAlign w:val="bottom"/>
            <w:gridSpan w:val="2"/>
            <w:shd w:val="clear" w:color="auto" w:fill="CCEEFF"/>
          </w:tcPr>
          <w:p>
            <w:pPr>
              <w:ind w:left="200"/>
              <w:spacing w:after="0" w:line="183" w:lineRule="exact"/>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345.0</w:t>
            </w:r>
          </w:p>
        </w:tc>
        <w:tc>
          <w:tcPr>
            <w:tcW w:w="100" w:type="dxa"/>
            <w:vAlign w:val="bottom"/>
            <w:shd w:val="clear" w:color="auto" w:fill="CCEEFF"/>
          </w:tcPr>
          <w:p>
            <w:pPr>
              <w:spacing w:after="0"/>
              <w:rPr>
                <w:sz w:val="15"/>
                <w:szCs w:val="15"/>
                <w:color w:val="auto"/>
              </w:rPr>
            </w:pPr>
          </w:p>
        </w:tc>
        <w:tc>
          <w:tcPr>
            <w:tcW w:w="200" w:type="dxa"/>
            <w:vAlign w:val="bottom"/>
            <w:gridSpan w:val="2"/>
            <w:shd w:val="clear" w:color="auto" w:fill="CCEEFF"/>
          </w:tcPr>
          <w:p>
            <w:pPr>
              <w:ind w:left="80"/>
              <w:spacing w:after="0" w:line="183" w:lineRule="exact"/>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w:t>
            </w:r>
          </w:p>
        </w:tc>
        <w:tc>
          <w:tcPr>
            <w:tcW w:w="360" w:type="dxa"/>
            <w:vAlign w:val="bottom"/>
            <w:gridSpan w:val="2"/>
            <w:shd w:val="clear" w:color="auto" w:fill="CCEEFF"/>
          </w:tcPr>
          <w:p>
            <w:pPr>
              <w:ind w:left="180"/>
              <w:spacing w:after="0" w:line="183" w:lineRule="exact"/>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(4.5)</w:t>
            </w:r>
          </w:p>
        </w:tc>
        <w:tc>
          <w:tcPr>
            <w:tcW w:w="1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340.7</w:t>
            </w:r>
          </w:p>
        </w:tc>
        <w:tc>
          <w:tcPr>
            <w:tcW w:w="40" w:type="dxa"/>
            <w:vAlign w:val="bottom"/>
            <w:shd w:val="clear" w:color="auto" w:fill="CCEEFF"/>
          </w:tcPr>
          <w:p>
            <w:pPr>
              <w:spacing w:after="0"/>
              <w:rPr>
                <w:sz w:val="15"/>
                <w:szCs w:val="15"/>
                <w:color w:val="auto"/>
              </w:rPr>
            </w:pPr>
          </w:p>
        </w:tc>
      </w:tr>
      <w:tr>
        <w:trPr>
          <w:trHeight w:val="189"/>
        </w:trPr>
        <w:tc>
          <w:tcPr>
            <w:tcW w:w="3280" w:type="dxa"/>
            <w:vAlign w:val="bottom"/>
          </w:tcPr>
          <w:p>
            <w:pPr>
              <w:spacing w:after="0"/>
              <w:rPr>
                <w:sz w:val="20"/>
                <w:szCs w:val="20"/>
                <w:color w:val="auto"/>
              </w:rPr>
            </w:pPr>
            <w:r>
              <w:rPr>
                <w:rFonts w:ascii="Arial" w:cs="Arial" w:eastAsia="Arial" w:hAnsi="Arial"/>
                <w:sz w:val="16"/>
                <w:szCs w:val="16"/>
                <w:color w:val="auto"/>
              </w:rPr>
              <w:t>Restricted stock, net of forfeitures</w:t>
            </w: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4.4</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4.4</w:t>
            </w:r>
          </w:p>
        </w:tc>
        <w:tc>
          <w:tcPr>
            <w:tcW w:w="40" w:type="dxa"/>
            <w:vAlign w:val="bottom"/>
          </w:tcPr>
          <w:p>
            <w:pPr>
              <w:spacing w:after="0"/>
              <w:rPr>
                <w:sz w:val="16"/>
                <w:szCs w:val="16"/>
                <w:color w:val="auto"/>
              </w:rPr>
            </w:pPr>
          </w:p>
        </w:tc>
      </w:tr>
      <w:tr>
        <w:trPr>
          <w:trHeight w:val="191"/>
        </w:trPr>
        <w:tc>
          <w:tcPr>
            <w:tcW w:w="3280" w:type="dxa"/>
            <w:vAlign w:val="bottom"/>
            <w:shd w:val="clear" w:color="auto" w:fill="CCEEFF"/>
          </w:tcPr>
          <w:p>
            <w:pPr>
              <w:spacing w:after="0"/>
              <w:rPr>
                <w:sz w:val="20"/>
                <w:szCs w:val="20"/>
                <w:color w:val="auto"/>
              </w:rPr>
            </w:pPr>
            <w:r>
              <w:rPr>
                <w:rFonts w:ascii="Arial" w:cs="Arial" w:eastAsia="Arial" w:hAnsi="Arial"/>
                <w:sz w:val="16"/>
                <w:szCs w:val="16"/>
                <w:color w:val="auto"/>
              </w:rPr>
              <w:t>Issuance of shares as a component of</w:t>
            </w:r>
          </w:p>
        </w:tc>
        <w:tc>
          <w:tcPr>
            <w:tcW w:w="5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r>
      <w:tr>
        <w:trPr>
          <w:trHeight w:val="187"/>
        </w:trPr>
        <w:tc>
          <w:tcPr>
            <w:tcW w:w="3280" w:type="dxa"/>
            <w:vAlign w:val="bottom"/>
            <w:shd w:val="clear" w:color="auto" w:fill="CCEEFF"/>
          </w:tcPr>
          <w:p>
            <w:pPr>
              <w:spacing w:after="0"/>
              <w:rPr>
                <w:sz w:val="20"/>
                <w:szCs w:val="20"/>
                <w:color w:val="auto"/>
              </w:rPr>
            </w:pPr>
            <w:r>
              <w:rPr>
                <w:rFonts w:ascii="Arial" w:cs="Arial" w:eastAsia="Arial" w:hAnsi="Arial"/>
                <w:sz w:val="16"/>
                <w:szCs w:val="16"/>
                <w:color w:val="auto"/>
              </w:rPr>
              <w:t>Tecton acquisition price</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1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w:t>
            </w:r>
          </w:p>
        </w:tc>
        <w:tc>
          <w:tcPr>
            <w:tcW w:w="40" w:type="dxa"/>
            <w:vAlign w:val="bottom"/>
            <w:shd w:val="clear" w:color="auto" w:fill="CCEEFF"/>
          </w:tcPr>
          <w:p>
            <w:pPr>
              <w:spacing w:after="0"/>
              <w:rPr>
                <w:sz w:val="16"/>
                <w:szCs w:val="16"/>
                <w:color w:val="auto"/>
              </w:rPr>
            </w:pPr>
          </w:p>
        </w:tc>
      </w:tr>
      <w:tr>
        <w:trPr>
          <w:trHeight w:val="191"/>
        </w:trPr>
        <w:tc>
          <w:tcPr>
            <w:tcW w:w="3280" w:type="dxa"/>
            <w:vAlign w:val="bottom"/>
          </w:tcPr>
          <w:p>
            <w:pPr>
              <w:spacing w:after="0"/>
              <w:rPr>
                <w:sz w:val="20"/>
                <w:szCs w:val="20"/>
                <w:color w:val="auto"/>
              </w:rPr>
            </w:pPr>
            <w:r>
              <w:rPr>
                <w:rFonts w:ascii="Arial" w:cs="Arial" w:eastAsia="Arial" w:hAnsi="Arial"/>
                <w:sz w:val="16"/>
                <w:szCs w:val="16"/>
                <w:color w:val="auto"/>
              </w:rPr>
              <w:t>Shares reserved as a component of Red</w:t>
            </w: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87"/>
        </w:trPr>
        <w:tc>
          <w:tcPr>
            <w:tcW w:w="3280" w:type="dxa"/>
            <w:vAlign w:val="bottom"/>
          </w:tcPr>
          <w:p>
            <w:pPr>
              <w:spacing w:after="0"/>
              <w:rPr>
                <w:sz w:val="20"/>
                <w:szCs w:val="20"/>
                <w:color w:val="auto"/>
              </w:rPr>
            </w:pPr>
            <w:r>
              <w:rPr>
                <w:rFonts w:ascii="Arial" w:cs="Arial" w:eastAsia="Arial" w:hAnsi="Arial"/>
                <w:sz w:val="16"/>
                <w:szCs w:val="16"/>
                <w:color w:val="auto"/>
              </w:rPr>
              <w:t>Bone acquisition price</w:t>
            </w: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36.4</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36.4</w:t>
            </w:r>
          </w:p>
        </w:tc>
        <w:tc>
          <w:tcPr>
            <w:tcW w:w="40" w:type="dxa"/>
            <w:vAlign w:val="bottom"/>
          </w:tcPr>
          <w:p>
            <w:pPr>
              <w:spacing w:after="0"/>
              <w:rPr>
                <w:sz w:val="16"/>
                <w:szCs w:val="16"/>
                <w:color w:val="auto"/>
              </w:rPr>
            </w:pPr>
          </w:p>
        </w:tc>
      </w:tr>
      <w:tr>
        <w:trPr>
          <w:trHeight w:val="191"/>
        </w:trPr>
        <w:tc>
          <w:tcPr>
            <w:tcW w:w="3280" w:type="dxa"/>
            <w:vAlign w:val="bottom"/>
            <w:shd w:val="clear" w:color="auto" w:fill="CCEEFF"/>
          </w:tcPr>
          <w:p>
            <w:pPr>
              <w:spacing w:after="0"/>
              <w:rPr>
                <w:sz w:val="20"/>
                <w:szCs w:val="20"/>
                <w:color w:val="auto"/>
              </w:rPr>
            </w:pPr>
            <w:r>
              <w:rPr>
                <w:rFonts w:ascii="Arial" w:cs="Arial" w:eastAsia="Arial" w:hAnsi="Arial"/>
                <w:sz w:val="16"/>
                <w:szCs w:val="16"/>
                <w:color w:val="auto"/>
              </w:rPr>
              <w:t>Escrowed shares related to Tecton</w:t>
            </w:r>
          </w:p>
        </w:tc>
        <w:tc>
          <w:tcPr>
            <w:tcW w:w="5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r>
      <w:tr>
        <w:trPr>
          <w:trHeight w:val="187"/>
        </w:trPr>
        <w:tc>
          <w:tcPr>
            <w:tcW w:w="3280" w:type="dxa"/>
            <w:vAlign w:val="bottom"/>
            <w:shd w:val="clear" w:color="auto" w:fill="CCEEFF"/>
          </w:tcPr>
          <w:p>
            <w:pPr>
              <w:spacing w:after="0"/>
              <w:rPr>
                <w:sz w:val="20"/>
                <w:szCs w:val="20"/>
                <w:color w:val="auto"/>
              </w:rPr>
            </w:pPr>
            <w:r>
              <w:rPr>
                <w:rFonts w:ascii="Arial" w:cs="Arial" w:eastAsia="Arial" w:hAnsi="Arial"/>
                <w:sz w:val="16"/>
                <w:szCs w:val="16"/>
                <w:color w:val="auto"/>
              </w:rPr>
              <w:t>acquisition</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40" w:type="dxa"/>
            <w:vAlign w:val="bottom"/>
            <w:shd w:val="clear" w:color="auto" w:fill="CCEEFF"/>
          </w:tcPr>
          <w:p>
            <w:pPr>
              <w:spacing w:after="0"/>
              <w:rPr>
                <w:sz w:val="16"/>
                <w:szCs w:val="16"/>
                <w:color w:val="auto"/>
              </w:rPr>
            </w:pPr>
          </w:p>
        </w:tc>
      </w:tr>
      <w:tr>
        <w:trPr>
          <w:trHeight w:val="189"/>
        </w:trPr>
        <w:tc>
          <w:tcPr>
            <w:tcW w:w="3280" w:type="dxa"/>
            <w:vAlign w:val="bottom"/>
          </w:tcPr>
          <w:p>
            <w:pPr>
              <w:spacing w:after="0"/>
              <w:rPr>
                <w:sz w:val="20"/>
                <w:szCs w:val="20"/>
                <w:color w:val="auto"/>
              </w:rPr>
            </w:pPr>
            <w:r>
              <w:rPr>
                <w:rFonts w:ascii="Arial" w:cs="Arial" w:eastAsia="Arial" w:hAnsi="Arial"/>
                <w:sz w:val="16"/>
                <w:szCs w:val="16"/>
                <w:color w:val="auto"/>
              </w:rPr>
              <w:t>Net loss</w:t>
            </w: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(5.0)</w:t>
            </w: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(5.0)</w:t>
            </w:r>
          </w:p>
        </w:tc>
        <w:tc>
          <w:tcPr>
            <w:tcW w:w="40" w:type="dxa"/>
            <w:vAlign w:val="bottom"/>
          </w:tcPr>
          <w:p>
            <w:pPr>
              <w:spacing w:after="0"/>
              <w:rPr>
                <w:sz w:val="16"/>
                <w:szCs w:val="16"/>
                <w:color w:val="auto"/>
              </w:rPr>
            </w:pPr>
          </w:p>
        </w:tc>
      </w:tr>
      <w:tr>
        <w:trPr>
          <w:trHeight w:val="183"/>
        </w:trPr>
        <w:tc>
          <w:tcPr>
            <w:tcW w:w="328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6"/>
                <w:szCs w:val="16"/>
                <w:color w:val="auto"/>
              </w:rPr>
              <w:t>Balance, April 30, 2019</w:t>
            </w:r>
          </w:p>
        </w:tc>
        <w:tc>
          <w:tcPr>
            <w:tcW w:w="58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23.1</w:t>
            </w:r>
          </w:p>
        </w:tc>
        <w:tc>
          <w:tcPr>
            <w:tcW w:w="18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0.2</w:t>
            </w:r>
          </w:p>
        </w:tc>
        <w:tc>
          <w:tcPr>
            <w:tcW w:w="2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397.9</w:t>
            </w:r>
          </w:p>
        </w:tc>
        <w:tc>
          <w:tcPr>
            <w:tcW w:w="1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(1.4)</w:t>
            </w:r>
          </w:p>
        </w:tc>
        <w:tc>
          <w:tcPr>
            <w:tcW w:w="1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(9.5)</w:t>
            </w:r>
          </w:p>
        </w:tc>
        <w:tc>
          <w:tcPr>
            <w:tcW w:w="1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387.2</w:t>
            </w:r>
          </w:p>
        </w:tc>
        <w:tc>
          <w:tcPr>
            <w:tcW w:w="40" w:type="dxa"/>
            <w:vAlign w:val="bottom"/>
            <w:tcBorders>
              <w:top w:val="single" w:sz="8" w:color="CCEEFF"/>
            </w:tcBorders>
            <w:shd w:val="clear" w:color="auto" w:fill="CCEEFF"/>
          </w:tcPr>
          <w:p>
            <w:pPr>
              <w:spacing w:after="0"/>
              <w:rPr>
                <w:sz w:val="15"/>
                <w:szCs w:val="15"/>
                <w:color w:val="auto"/>
              </w:rPr>
            </w:pPr>
          </w:p>
        </w:tc>
      </w:tr>
      <w:tr>
        <w:trPr>
          <w:trHeight w:val="191"/>
        </w:trPr>
        <w:tc>
          <w:tcPr>
            <w:tcW w:w="3280" w:type="dxa"/>
            <w:vAlign w:val="bottom"/>
          </w:tcPr>
          <w:p>
            <w:pPr>
              <w:spacing w:after="0"/>
              <w:rPr>
                <w:sz w:val="20"/>
                <w:szCs w:val="20"/>
                <w:color w:val="auto"/>
              </w:rPr>
            </w:pPr>
            <w:r>
              <w:rPr>
                <w:rFonts w:ascii="Arial" w:cs="Arial" w:eastAsia="Arial" w:hAnsi="Arial"/>
                <w:sz w:val="16"/>
                <w:szCs w:val="16"/>
                <w:color w:val="auto"/>
              </w:rPr>
              <w:t>Sale of stock under employee stock</w:t>
            </w: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87"/>
        </w:trPr>
        <w:tc>
          <w:tcPr>
            <w:tcW w:w="3280" w:type="dxa"/>
            <w:vAlign w:val="bottom"/>
          </w:tcPr>
          <w:p>
            <w:pPr>
              <w:spacing w:after="0"/>
              <w:rPr>
                <w:sz w:val="20"/>
                <w:szCs w:val="20"/>
                <w:color w:val="auto"/>
              </w:rPr>
            </w:pPr>
            <w:r>
              <w:rPr>
                <w:rFonts w:ascii="Arial" w:cs="Arial" w:eastAsia="Arial" w:hAnsi="Arial"/>
                <w:sz w:val="16"/>
                <w:szCs w:val="16"/>
                <w:color w:val="auto"/>
              </w:rPr>
              <w:t>purchase plan</w:t>
            </w:r>
          </w:p>
        </w:tc>
        <w:tc>
          <w:tcPr>
            <w:tcW w:w="580" w:type="dxa"/>
            <w:vAlign w:val="bottom"/>
          </w:tcPr>
          <w:p>
            <w:pPr>
              <w:jc w:val="right"/>
              <w:spacing w:after="0"/>
              <w:rPr>
                <w:sz w:val="20"/>
                <w:szCs w:val="20"/>
                <w:color w:val="auto"/>
              </w:rPr>
            </w:pPr>
            <w:r>
              <w:rPr>
                <w:rFonts w:ascii="Arial" w:cs="Arial" w:eastAsia="Arial" w:hAnsi="Arial"/>
                <w:sz w:val="16"/>
                <w:szCs w:val="16"/>
                <w:color w:val="auto"/>
              </w:rPr>
              <w:t>0.1</w:t>
            </w: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0.9</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0.9</w:t>
            </w:r>
          </w:p>
        </w:tc>
        <w:tc>
          <w:tcPr>
            <w:tcW w:w="40" w:type="dxa"/>
            <w:vAlign w:val="bottom"/>
          </w:tcPr>
          <w:p>
            <w:pPr>
              <w:spacing w:after="0"/>
              <w:rPr>
                <w:sz w:val="16"/>
                <w:szCs w:val="16"/>
                <w:color w:val="auto"/>
              </w:rPr>
            </w:pPr>
          </w:p>
        </w:tc>
      </w:tr>
      <w:tr>
        <w:trPr>
          <w:trHeight w:val="189"/>
        </w:trPr>
        <w:tc>
          <w:tcPr>
            <w:tcW w:w="3280" w:type="dxa"/>
            <w:vAlign w:val="bottom"/>
            <w:shd w:val="clear" w:color="auto" w:fill="CCEEFF"/>
          </w:tcPr>
          <w:p>
            <w:pPr>
              <w:spacing w:after="0"/>
              <w:rPr>
                <w:sz w:val="20"/>
                <w:szCs w:val="20"/>
                <w:color w:val="auto"/>
              </w:rPr>
            </w:pPr>
            <w:r>
              <w:rPr>
                <w:rFonts w:ascii="Arial" w:cs="Arial" w:eastAsia="Arial" w:hAnsi="Arial"/>
                <w:sz w:val="16"/>
                <w:szCs w:val="16"/>
                <w:color w:val="auto"/>
              </w:rPr>
              <w:t>Restricted stock, net of forfeitures</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40" w:type="dxa"/>
            <w:vAlign w:val="bottom"/>
            <w:shd w:val="clear" w:color="auto" w:fill="CCEEFF"/>
          </w:tcPr>
          <w:p>
            <w:pPr>
              <w:spacing w:after="0"/>
              <w:rPr>
                <w:sz w:val="16"/>
                <w:szCs w:val="16"/>
                <w:color w:val="auto"/>
              </w:rPr>
            </w:pPr>
          </w:p>
        </w:tc>
      </w:tr>
      <w:tr>
        <w:trPr>
          <w:trHeight w:val="191"/>
        </w:trPr>
        <w:tc>
          <w:tcPr>
            <w:tcW w:w="3280" w:type="dxa"/>
            <w:vAlign w:val="bottom"/>
          </w:tcPr>
          <w:p>
            <w:pPr>
              <w:spacing w:after="0"/>
              <w:rPr>
                <w:sz w:val="20"/>
                <w:szCs w:val="20"/>
                <w:color w:val="auto"/>
              </w:rPr>
            </w:pPr>
            <w:r>
              <w:rPr>
                <w:rFonts w:ascii="Arial" w:cs="Arial" w:eastAsia="Arial" w:hAnsi="Arial"/>
                <w:sz w:val="16"/>
                <w:szCs w:val="16"/>
                <w:color w:val="auto"/>
              </w:rPr>
              <w:t>Issuance of shares reserved as a</w:t>
            </w: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87"/>
        </w:trPr>
        <w:tc>
          <w:tcPr>
            <w:tcW w:w="3280" w:type="dxa"/>
            <w:vAlign w:val="bottom"/>
          </w:tcPr>
          <w:p>
            <w:pPr>
              <w:spacing w:after="0"/>
              <w:rPr>
                <w:sz w:val="20"/>
                <w:szCs w:val="20"/>
                <w:color w:val="auto"/>
              </w:rPr>
            </w:pPr>
            <w:r>
              <w:rPr>
                <w:rFonts w:ascii="Arial" w:cs="Arial" w:eastAsia="Arial" w:hAnsi="Arial"/>
                <w:sz w:val="16"/>
                <w:szCs w:val="16"/>
                <w:color w:val="auto"/>
              </w:rPr>
              <w:t>component of Red Bone acquisition price</w:t>
            </w:r>
          </w:p>
        </w:tc>
        <w:tc>
          <w:tcPr>
            <w:tcW w:w="580" w:type="dxa"/>
            <w:vAlign w:val="bottom"/>
          </w:tcPr>
          <w:p>
            <w:pPr>
              <w:jc w:val="right"/>
              <w:spacing w:after="0"/>
              <w:rPr>
                <w:sz w:val="20"/>
                <w:szCs w:val="20"/>
                <w:color w:val="auto"/>
              </w:rPr>
            </w:pPr>
            <w:r>
              <w:rPr>
                <w:rFonts w:ascii="Arial" w:cs="Arial" w:eastAsia="Arial" w:hAnsi="Arial"/>
                <w:sz w:val="16"/>
                <w:szCs w:val="16"/>
                <w:color w:val="auto"/>
              </w:rPr>
              <w:t>0.4</w:t>
            </w: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189"/>
        </w:trPr>
        <w:tc>
          <w:tcPr>
            <w:tcW w:w="3280" w:type="dxa"/>
            <w:vAlign w:val="bottom"/>
            <w:shd w:val="clear" w:color="auto" w:fill="CCEEFF"/>
          </w:tcPr>
          <w:p>
            <w:pPr>
              <w:spacing w:after="0"/>
              <w:rPr>
                <w:sz w:val="20"/>
                <w:szCs w:val="20"/>
                <w:color w:val="auto"/>
              </w:rPr>
            </w:pPr>
            <w:r>
              <w:rPr>
                <w:rFonts w:ascii="Arial" w:cs="Arial" w:eastAsia="Arial" w:hAnsi="Arial"/>
                <w:sz w:val="16"/>
                <w:szCs w:val="16"/>
                <w:color w:val="auto"/>
              </w:rPr>
              <w:t>Net earnings</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18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40" w:type="dxa"/>
            <w:vAlign w:val="bottom"/>
            <w:shd w:val="clear" w:color="auto" w:fill="CCEEFF"/>
          </w:tcPr>
          <w:p>
            <w:pPr>
              <w:spacing w:after="0"/>
              <w:rPr>
                <w:sz w:val="16"/>
                <w:szCs w:val="16"/>
                <w:color w:val="auto"/>
              </w:rPr>
            </w:pPr>
          </w:p>
        </w:tc>
      </w:tr>
      <w:tr>
        <w:trPr>
          <w:trHeight w:val="183"/>
        </w:trPr>
        <w:tc>
          <w:tcPr>
            <w:tcW w:w="3280" w:type="dxa"/>
            <w:vAlign w:val="bottom"/>
          </w:tcPr>
          <w:p>
            <w:pPr>
              <w:spacing w:after="0" w:line="183" w:lineRule="exact"/>
              <w:rPr>
                <w:sz w:val="20"/>
                <w:szCs w:val="20"/>
                <w:color w:val="auto"/>
              </w:rPr>
            </w:pPr>
            <w:r>
              <w:rPr>
                <w:rFonts w:ascii="Arial" w:cs="Arial" w:eastAsia="Arial" w:hAnsi="Arial"/>
                <w:sz w:val="16"/>
                <w:szCs w:val="16"/>
                <w:color w:val="auto"/>
              </w:rPr>
              <w:t>Balance, July 31, 2019</w:t>
            </w:r>
          </w:p>
        </w:tc>
        <w:tc>
          <w:tcPr>
            <w:tcW w:w="580" w:type="dxa"/>
            <w:vAlign w:val="bottom"/>
          </w:tcPr>
          <w:p>
            <w:pPr>
              <w:jc w:val="right"/>
              <w:spacing w:after="0" w:line="183" w:lineRule="exact"/>
              <w:rPr>
                <w:sz w:val="20"/>
                <w:szCs w:val="20"/>
                <w:color w:val="auto"/>
              </w:rPr>
            </w:pPr>
            <w:r>
              <w:rPr>
                <w:rFonts w:ascii="Arial" w:cs="Arial" w:eastAsia="Arial" w:hAnsi="Arial"/>
                <w:sz w:val="16"/>
                <w:szCs w:val="16"/>
                <w:color w:val="auto"/>
              </w:rPr>
              <w:t>23.6</w:t>
            </w:r>
          </w:p>
        </w:tc>
        <w:tc>
          <w:tcPr>
            <w:tcW w:w="180" w:type="dxa"/>
            <w:vAlign w:val="bottom"/>
          </w:tcPr>
          <w:p>
            <w:pPr>
              <w:spacing w:after="0"/>
              <w:rPr>
                <w:sz w:val="15"/>
                <w:szCs w:val="15"/>
                <w:color w:val="auto"/>
              </w:rPr>
            </w:pPr>
          </w:p>
        </w:tc>
        <w:tc>
          <w:tcPr>
            <w:tcW w:w="240" w:type="dxa"/>
            <w:vAlign w:val="bottom"/>
          </w:tcPr>
          <w:p>
            <w:pPr>
              <w:jc w:val="right"/>
              <w:ind w:right="59"/>
              <w:spacing w:after="0" w:line="183" w:lineRule="exact"/>
              <w:rPr>
                <w:sz w:val="20"/>
                <w:szCs w:val="20"/>
                <w:color w:val="auto"/>
              </w:rPr>
            </w:pPr>
            <w:r>
              <w:rPr>
                <w:rFonts w:ascii="Arial" w:cs="Arial" w:eastAsia="Arial" w:hAnsi="Arial"/>
                <w:sz w:val="16"/>
                <w:szCs w:val="16"/>
                <w:color w:val="auto"/>
                <w:w w:val="89"/>
              </w:rPr>
              <w:t>$</w:t>
            </w:r>
          </w:p>
        </w:tc>
        <w:tc>
          <w:tcPr>
            <w:tcW w:w="420" w:type="dxa"/>
            <w:vAlign w:val="bottom"/>
          </w:tcPr>
          <w:p>
            <w:pPr>
              <w:jc w:val="right"/>
              <w:spacing w:after="0" w:line="183" w:lineRule="exact"/>
              <w:rPr>
                <w:sz w:val="20"/>
                <w:szCs w:val="20"/>
                <w:color w:val="auto"/>
              </w:rPr>
            </w:pPr>
            <w:r>
              <w:rPr>
                <w:rFonts w:ascii="Arial" w:cs="Arial" w:eastAsia="Arial" w:hAnsi="Arial"/>
                <w:sz w:val="16"/>
                <w:szCs w:val="16"/>
                <w:color w:val="auto"/>
              </w:rPr>
              <w:t>0.2</w:t>
            </w:r>
          </w:p>
        </w:tc>
        <w:tc>
          <w:tcPr>
            <w:tcW w:w="300" w:type="dxa"/>
            <w:vAlign w:val="bottom"/>
            <w:gridSpan w:val="2"/>
          </w:tcPr>
          <w:p>
            <w:pPr>
              <w:ind w:left="200"/>
              <w:spacing w:after="0" w:line="183" w:lineRule="exact"/>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line="183" w:lineRule="exact"/>
              <w:rPr>
                <w:sz w:val="20"/>
                <w:szCs w:val="20"/>
                <w:color w:val="auto"/>
              </w:rPr>
            </w:pPr>
            <w:r>
              <w:rPr>
                <w:rFonts w:ascii="Arial" w:cs="Arial" w:eastAsia="Arial" w:hAnsi="Arial"/>
                <w:sz w:val="16"/>
                <w:szCs w:val="16"/>
                <w:color w:val="auto"/>
              </w:rPr>
              <w:t>403.3</w:t>
            </w:r>
          </w:p>
        </w:tc>
        <w:tc>
          <w:tcPr>
            <w:tcW w:w="100" w:type="dxa"/>
            <w:vAlign w:val="bottom"/>
          </w:tcPr>
          <w:p>
            <w:pPr>
              <w:spacing w:after="0"/>
              <w:rPr>
                <w:sz w:val="15"/>
                <w:szCs w:val="15"/>
                <w:color w:val="auto"/>
              </w:rPr>
            </w:pPr>
          </w:p>
        </w:tc>
        <w:tc>
          <w:tcPr>
            <w:tcW w:w="200" w:type="dxa"/>
            <w:vAlign w:val="bottom"/>
            <w:gridSpan w:val="2"/>
          </w:tcPr>
          <w:p>
            <w:pPr>
              <w:ind w:left="80"/>
              <w:spacing w:after="0" w:line="183" w:lineRule="exact"/>
              <w:rPr>
                <w:sz w:val="20"/>
                <w:szCs w:val="20"/>
                <w:color w:val="auto"/>
              </w:rPr>
            </w:pPr>
            <w:r>
              <w:rPr>
                <w:rFonts w:ascii="Arial" w:cs="Arial" w:eastAsia="Arial" w:hAnsi="Arial"/>
                <w:sz w:val="16"/>
                <w:szCs w:val="16"/>
                <w:color w:val="auto"/>
              </w:rPr>
              <w:t>$</w:t>
            </w:r>
          </w:p>
        </w:tc>
        <w:tc>
          <w:tcPr>
            <w:tcW w:w="580" w:type="dxa"/>
            <w:vAlign w:val="bottom"/>
          </w:tcPr>
          <w:p>
            <w:pPr>
              <w:jc w:val="right"/>
              <w:spacing w:after="0" w:line="183" w:lineRule="exact"/>
              <w:rPr>
                <w:sz w:val="20"/>
                <w:szCs w:val="20"/>
                <w:color w:val="auto"/>
              </w:rPr>
            </w:pPr>
            <w:r>
              <w:rPr>
                <w:rFonts w:ascii="Arial" w:cs="Arial" w:eastAsia="Arial" w:hAnsi="Arial"/>
                <w:sz w:val="16"/>
                <w:szCs w:val="16"/>
                <w:color w:val="auto"/>
              </w:rPr>
              <w:t>(1.4)</w:t>
            </w:r>
          </w:p>
        </w:tc>
        <w:tc>
          <w:tcPr>
            <w:tcW w:w="360" w:type="dxa"/>
            <w:vAlign w:val="bottom"/>
            <w:gridSpan w:val="2"/>
          </w:tcPr>
          <w:p>
            <w:pPr>
              <w:ind w:left="180"/>
              <w:spacing w:after="0" w:line="183" w:lineRule="exact"/>
              <w:rPr>
                <w:sz w:val="20"/>
                <w:szCs w:val="20"/>
                <w:color w:val="auto"/>
              </w:rPr>
            </w:pPr>
            <w:r>
              <w:rPr>
                <w:rFonts w:ascii="Arial" w:cs="Arial" w:eastAsia="Arial" w:hAnsi="Arial"/>
                <w:sz w:val="16"/>
                <w:szCs w:val="16"/>
                <w:color w:val="auto"/>
              </w:rPr>
              <w:t>$</w:t>
            </w:r>
          </w:p>
        </w:tc>
        <w:tc>
          <w:tcPr>
            <w:tcW w:w="840" w:type="dxa"/>
            <w:vAlign w:val="bottom"/>
          </w:tcPr>
          <w:p>
            <w:pPr>
              <w:jc w:val="right"/>
              <w:spacing w:after="0" w:line="183" w:lineRule="exact"/>
              <w:rPr>
                <w:sz w:val="20"/>
                <w:szCs w:val="20"/>
                <w:color w:val="auto"/>
              </w:rPr>
            </w:pPr>
            <w:r>
              <w:rPr>
                <w:rFonts w:ascii="Arial" w:cs="Arial" w:eastAsia="Arial" w:hAnsi="Arial"/>
                <w:sz w:val="16"/>
                <w:szCs w:val="16"/>
                <w:color w:val="auto"/>
              </w:rPr>
              <w:t>(6.0)</w:t>
            </w:r>
          </w:p>
        </w:tc>
        <w:tc>
          <w:tcPr>
            <w:tcW w:w="180" w:type="dxa"/>
            <w:vAlign w:val="bottom"/>
          </w:tcPr>
          <w:p>
            <w:pPr>
              <w:spacing w:after="0"/>
              <w:rPr>
                <w:sz w:val="15"/>
                <w:szCs w:val="15"/>
                <w:color w:val="auto"/>
              </w:rPr>
            </w:pPr>
          </w:p>
        </w:tc>
        <w:tc>
          <w:tcPr>
            <w:tcW w:w="200" w:type="dxa"/>
            <w:vAlign w:val="bottom"/>
          </w:tcPr>
          <w:p>
            <w:pPr>
              <w:spacing w:after="0" w:line="183" w:lineRule="exact"/>
              <w:rPr>
                <w:sz w:val="20"/>
                <w:szCs w:val="20"/>
                <w:color w:val="auto"/>
              </w:rPr>
            </w:pPr>
            <w:r>
              <w:rPr>
                <w:rFonts w:ascii="Arial" w:cs="Arial" w:eastAsia="Arial" w:hAnsi="Arial"/>
                <w:sz w:val="16"/>
                <w:szCs w:val="16"/>
                <w:color w:val="auto"/>
              </w:rPr>
              <w:t>$</w:t>
            </w:r>
          </w:p>
        </w:tc>
        <w:tc>
          <w:tcPr>
            <w:tcW w:w="880" w:type="dxa"/>
            <w:vAlign w:val="bottom"/>
          </w:tcPr>
          <w:p>
            <w:pPr>
              <w:jc w:val="right"/>
              <w:spacing w:after="0" w:line="183" w:lineRule="exact"/>
              <w:rPr>
                <w:sz w:val="20"/>
                <w:szCs w:val="20"/>
                <w:color w:val="auto"/>
              </w:rPr>
            </w:pPr>
            <w:r>
              <w:rPr>
                <w:rFonts w:ascii="Arial" w:cs="Arial" w:eastAsia="Arial" w:hAnsi="Arial"/>
                <w:sz w:val="16"/>
                <w:szCs w:val="16"/>
                <w:color w:val="auto"/>
              </w:rPr>
              <w:t>396.1</w:t>
            </w:r>
          </w:p>
        </w:tc>
        <w:tc>
          <w:tcPr>
            <w:tcW w:w="40" w:type="dxa"/>
            <w:vAlign w:val="bottom"/>
          </w:tcPr>
          <w:p>
            <w:pPr>
              <w:spacing w:after="0"/>
              <w:rPr>
                <w:sz w:val="15"/>
                <w:szCs w:val="15"/>
                <w:color w:val="auto"/>
              </w:rPr>
            </w:pPr>
          </w:p>
        </w:tc>
      </w:tr>
      <w:tr>
        <w:trPr>
          <w:trHeight w:val="27"/>
        </w:trPr>
        <w:tc>
          <w:tcPr>
            <w:tcW w:w="32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center"/>
              <w:ind w:right="39"/>
              <w:spacing w:after="0"/>
              <w:rPr>
                <w:sz w:val="20"/>
                <w:szCs w:val="20"/>
                <w:color w:val="auto"/>
              </w:rPr>
            </w:pPr>
            <w:r>
              <w:rPr>
                <w:rFonts w:ascii="Arial" w:cs="Arial" w:eastAsia="Arial" w:hAnsi="Arial"/>
                <w:sz w:val="16"/>
                <w:szCs w:val="16"/>
                <w:b w:val="1"/>
                <w:bCs w:val="1"/>
                <w:color w:val="auto"/>
              </w:rPr>
              <w:t>Former</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40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center"/>
              <w:ind w:right="39"/>
              <w:spacing w:after="0"/>
              <w:rPr>
                <w:sz w:val="20"/>
                <w:szCs w:val="20"/>
                <w:color w:val="auto"/>
              </w:rPr>
            </w:pPr>
            <w:r>
              <w:rPr>
                <w:rFonts w:ascii="Arial" w:cs="Arial" w:eastAsia="Arial" w:hAnsi="Arial"/>
                <w:sz w:val="16"/>
                <w:szCs w:val="16"/>
                <w:b w:val="1"/>
                <w:bCs w:val="1"/>
                <w:color w:val="auto"/>
              </w:rPr>
              <w:t>Parent</w:t>
            </w:r>
          </w:p>
        </w:tc>
        <w:tc>
          <w:tcPr>
            <w:tcW w:w="180" w:type="dxa"/>
            <w:vAlign w:val="bottom"/>
          </w:tcPr>
          <w:p>
            <w:pPr>
              <w:spacing w:after="0"/>
              <w:rPr>
                <w:sz w:val="17"/>
                <w:szCs w:val="17"/>
                <w:color w:val="auto"/>
              </w:rPr>
            </w:pPr>
          </w:p>
        </w:tc>
        <w:tc>
          <w:tcPr>
            <w:tcW w:w="1040" w:type="dxa"/>
            <w:vAlign w:val="bottom"/>
            <w:gridSpan w:val="2"/>
          </w:tcPr>
          <w:p>
            <w:pPr>
              <w:ind w:left="20"/>
              <w:spacing w:after="0"/>
              <w:rPr>
                <w:sz w:val="20"/>
                <w:szCs w:val="20"/>
                <w:color w:val="auto"/>
              </w:rPr>
            </w:pPr>
            <w:r>
              <w:rPr>
                <w:rFonts w:ascii="Arial" w:cs="Arial" w:eastAsia="Arial" w:hAnsi="Arial"/>
                <w:sz w:val="16"/>
                <w:szCs w:val="16"/>
                <w:b w:val="1"/>
                <w:bCs w:val="1"/>
                <w:color w:val="auto"/>
                <w:w w:val="99"/>
              </w:rPr>
              <w:t>Accumulated</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jc w:val="right"/>
              <w:ind w:right="319"/>
              <w:spacing w:after="0"/>
              <w:rPr>
                <w:sz w:val="20"/>
                <w:szCs w:val="20"/>
                <w:color w:val="auto"/>
              </w:rPr>
            </w:pPr>
            <w:r>
              <w:rPr>
                <w:rFonts w:ascii="Arial" w:cs="Arial" w:eastAsia="Arial" w:hAnsi="Arial"/>
                <w:sz w:val="16"/>
                <w:szCs w:val="16"/>
                <w:b w:val="1"/>
                <w:bCs w:val="1"/>
                <w:color w:val="auto"/>
              </w:rPr>
              <w:t>Total</w:t>
            </w:r>
          </w:p>
        </w:tc>
      </w:tr>
      <w:tr>
        <w:trPr>
          <w:trHeight w:val="203"/>
        </w:trPr>
        <w:tc>
          <w:tcPr>
            <w:tcW w:w="40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880" w:type="dxa"/>
            <w:vAlign w:val="bottom"/>
            <w:gridSpan w:val="2"/>
          </w:tcPr>
          <w:p>
            <w:pPr>
              <w:jc w:val="center"/>
              <w:spacing w:after="0"/>
              <w:rPr>
                <w:sz w:val="20"/>
                <w:szCs w:val="20"/>
                <w:color w:val="auto"/>
              </w:rPr>
            </w:pPr>
            <w:r>
              <w:rPr>
                <w:rFonts w:ascii="Arial" w:cs="Arial" w:eastAsia="Arial" w:hAnsi="Arial"/>
                <w:sz w:val="16"/>
                <w:szCs w:val="16"/>
                <w:b w:val="1"/>
                <w:bCs w:val="1"/>
                <w:color w:val="auto"/>
                <w:w w:val="98"/>
              </w:rPr>
              <w:t>Company</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b w:val="1"/>
                <w:bCs w:val="1"/>
                <w:color w:val="auto"/>
              </w:rPr>
              <w:t>Earnings</w:t>
            </w:r>
          </w:p>
        </w:tc>
        <w:tc>
          <w:tcPr>
            <w:tcW w:w="200" w:type="dxa"/>
            <w:vAlign w:val="bottom"/>
          </w:tcPr>
          <w:p>
            <w:pPr>
              <w:spacing w:after="0"/>
              <w:rPr>
                <w:sz w:val="17"/>
                <w:szCs w:val="17"/>
                <w:color w:val="auto"/>
              </w:rPr>
            </w:pPr>
          </w:p>
        </w:tc>
        <w:tc>
          <w:tcPr>
            <w:tcW w:w="1140" w:type="dxa"/>
            <w:vAlign w:val="bottom"/>
            <w:gridSpan w:val="2"/>
          </w:tcPr>
          <w:p>
            <w:pPr>
              <w:spacing w:after="0"/>
              <w:rPr>
                <w:sz w:val="20"/>
                <w:szCs w:val="20"/>
                <w:color w:val="auto"/>
              </w:rPr>
            </w:pPr>
            <w:r>
              <w:rPr>
                <w:rFonts w:ascii="Arial" w:cs="Arial" w:eastAsia="Arial" w:hAnsi="Arial"/>
                <w:sz w:val="16"/>
                <w:szCs w:val="16"/>
                <w:b w:val="1"/>
                <w:bCs w:val="1"/>
                <w:color w:val="auto"/>
              </w:rPr>
              <w:t>Stockholders’</w:t>
            </w:r>
          </w:p>
        </w:tc>
      </w:tr>
      <w:tr>
        <w:trPr>
          <w:trHeight w:val="207"/>
        </w:trPr>
        <w:tc>
          <w:tcPr>
            <w:tcW w:w="4060" w:type="dxa"/>
            <w:vAlign w:val="bottom"/>
            <w:tcBorders>
              <w:bottom w:val="single" w:sz="8" w:color="CCEEFF"/>
            </w:tcBorders>
          </w:tcPr>
          <w:p>
            <w:pPr>
              <w:spacing w:after="0"/>
              <w:rPr>
                <w:sz w:val="18"/>
                <w:szCs w:val="18"/>
                <w:color w:val="auto"/>
              </w:rPr>
            </w:pPr>
          </w:p>
        </w:tc>
        <w:tc>
          <w:tcPr>
            <w:tcW w:w="156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99"/>
              </w:rPr>
              <w:t>Investment</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(Deficit)</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Equity</w:t>
            </w:r>
          </w:p>
        </w:tc>
      </w:tr>
      <w:tr>
        <w:trPr>
          <w:trHeight w:val="183"/>
        </w:trPr>
        <w:tc>
          <w:tcPr>
            <w:tcW w:w="406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Balance, January 31, 2018</w:t>
            </w:r>
          </w:p>
        </w:tc>
        <w:tc>
          <w:tcPr>
            <w:tcW w:w="1680" w:type="dxa"/>
            <w:vAlign w:val="bottom"/>
            <w:gridSpan w:val="2"/>
            <w:shd w:val="clear" w:color="auto" w:fill="CCEEFF"/>
          </w:tcPr>
          <w:p>
            <w:pPr>
              <w:jc w:val="right"/>
              <w:spacing w:after="0" w:line="183" w:lineRule="exact"/>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1,025.8</w:t>
            </w:r>
          </w:p>
        </w:tc>
        <w:tc>
          <w:tcPr>
            <w:tcW w:w="320" w:type="dxa"/>
            <w:vAlign w:val="bottom"/>
            <w:gridSpan w:val="2"/>
            <w:shd w:val="clear" w:color="auto" w:fill="CCEEFF"/>
          </w:tcPr>
          <w:p>
            <w:pPr>
              <w:ind w:left="180"/>
              <w:spacing w:after="0" w:line="183" w:lineRule="exact"/>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(801.2)</w:t>
            </w:r>
          </w:p>
        </w:tc>
        <w:tc>
          <w:tcPr>
            <w:tcW w:w="400" w:type="dxa"/>
            <w:vAlign w:val="bottom"/>
            <w:gridSpan w:val="2"/>
            <w:shd w:val="clear" w:color="auto" w:fill="CCEEFF"/>
          </w:tcPr>
          <w:p>
            <w:pPr>
              <w:ind w:left="200"/>
              <w:spacing w:after="0" w:line="183" w:lineRule="exact"/>
              <w:rPr>
                <w:sz w:val="20"/>
                <w:szCs w:val="20"/>
                <w:color w:val="auto"/>
              </w:rPr>
            </w:pPr>
            <w:r>
              <w:rPr>
                <w:rFonts w:ascii="Arial" w:cs="Arial" w:eastAsia="Arial" w:hAnsi="Arial"/>
                <w:sz w:val="16"/>
                <w:szCs w:val="16"/>
                <w:color w:val="auto"/>
              </w:rPr>
              <w:t>$</w:t>
            </w:r>
          </w:p>
        </w:tc>
        <w:tc>
          <w:tcPr>
            <w:tcW w:w="940" w:type="dxa"/>
            <w:vAlign w:val="bottom"/>
            <w:tcBorders>
              <w:right w:val="single" w:sz="8" w:color="CCEEFF"/>
            </w:tcBorders>
            <w:shd w:val="clear" w:color="auto" w:fill="CCEEFF"/>
          </w:tcPr>
          <w:p>
            <w:pPr>
              <w:jc w:val="right"/>
              <w:ind w:right="19"/>
              <w:spacing w:after="0" w:line="183" w:lineRule="exact"/>
              <w:rPr>
                <w:sz w:val="20"/>
                <w:szCs w:val="20"/>
                <w:color w:val="auto"/>
              </w:rPr>
            </w:pPr>
            <w:r>
              <w:rPr>
                <w:rFonts w:ascii="Arial" w:cs="Arial" w:eastAsia="Arial" w:hAnsi="Arial"/>
                <w:sz w:val="16"/>
                <w:szCs w:val="16"/>
                <w:color w:val="auto"/>
              </w:rPr>
              <w:t>224.6</w:t>
            </w:r>
          </w:p>
        </w:tc>
      </w:tr>
      <w:tr>
        <w:trPr>
          <w:trHeight w:val="203"/>
        </w:trPr>
        <w:tc>
          <w:tcPr>
            <w:tcW w:w="4060" w:type="dxa"/>
            <w:vAlign w:val="bottom"/>
          </w:tcPr>
          <w:p>
            <w:pPr>
              <w:ind w:left="120"/>
              <w:spacing w:after="0"/>
              <w:rPr>
                <w:sz w:val="20"/>
                <w:szCs w:val="20"/>
                <w:color w:val="auto"/>
              </w:rPr>
            </w:pPr>
            <w:r>
              <w:rPr>
                <w:rFonts w:ascii="Arial" w:cs="Arial" w:eastAsia="Arial" w:hAnsi="Arial"/>
                <w:sz w:val="16"/>
                <w:szCs w:val="16"/>
                <w:color w:val="auto"/>
              </w:rPr>
              <w:t>Net earnings</w:t>
            </w:r>
          </w:p>
        </w:tc>
        <w:tc>
          <w:tcPr>
            <w:tcW w:w="1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5.8</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5.8</w:t>
            </w:r>
          </w:p>
        </w:tc>
      </w:tr>
      <w:tr>
        <w:trPr>
          <w:trHeight w:val="203"/>
        </w:trPr>
        <w:tc>
          <w:tcPr>
            <w:tcW w:w="40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Net transfers from Former Parent</w:t>
            </w:r>
          </w:p>
        </w:tc>
        <w:tc>
          <w:tcPr>
            <w:tcW w:w="15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16.5</w:t>
            </w:r>
          </w:p>
        </w:tc>
        <w:tc>
          <w:tcPr>
            <w:tcW w:w="1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right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16.5</w:t>
            </w:r>
          </w:p>
        </w:tc>
      </w:tr>
      <w:tr>
        <w:trPr>
          <w:trHeight w:val="183"/>
        </w:trPr>
        <w:tc>
          <w:tcPr>
            <w:tcW w:w="4060" w:type="dxa"/>
            <w:vAlign w:val="bottom"/>
          </w:tcPr>
          <w:p>
            <w:pPr>
              <w:spacing w:after="0" w:line="183" w:lineRule="exact"/>
              <w:rPr>
                <w:sz w:val="20"/>
                <w:szCs w:val="20"/>
                <w:color w:val="auto"/>
              </w:rPr>
            </w:pPr>
            <w:r>
              <w:rPr>
                <w:rFonts w:ascii="Arial" w:cs="Arial" w:eastAsia="Arial" w:hAnsi="Arial"/>
                <w:sz w:val="16"/>
                <w:szCs w:val="16"/>
                <w:color w:val="auto"/>
              </w:rPr>
              <w:t>Balance, April 30, 2018</w:t>
            </w:r>
          </w:p>
        </w:tc>
        <w:tc>
          <w:tcPr>
            <w:tcW w:w="1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spacing w:after="0" w:line="183" w:lineRule="exact"/>
              <w:rPr>
                <w:sz w:val="20"/>
                <w:szCs w:val="20"/>
                <w:color w:val="auto"/>
              </w:rPr>
            </w:pPr>
            <w:r>
              <w:rPr>
                <w:rFonts w:ascii="Arial" w:cs="Arial" w:eastAsia="Arial" w:hAnsi="Arial"/>
                <w:sz w:val="16"/>
                <w:szCs w:val="16"/>
                <w:color w:val="auto"/>
              </w:rPr>
              <w:t>1,042.3</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jc w:val="right"/>
              <w:spacing w:after="0" w:line="183" w:lineRule="exact"/>
              <w:rPr>
                <w:sz w:val="20"/>
                <w:szCs w:val="20"/>
                <w:color w:val="auto"/>
              </w:rPr>
            </w:pPr>
            <w:r>
              <w:rPr>
                <w:rFonts w:ascii="Arial" w:cs="Arial" w:eastAsia="Arial" w:hAnsi="Arial"/>
                <w:sz w:val="16"/>
                <w:szCs w:val="16"/>
                <w:color w:val="auto"/>
              </w:rPr>
              <w:t>(795.4)</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jc w:val="right"/>
              <w:ind w:right="19"/>
              <w:spacing w:after="0" w:line="183" w:lineRule="exact"/>
              <w:rPr>
                <w:sz w:val="20"/>
                <w:szCs w:val="20"/>
                <w:color w:val="auto"/>
              </w:rPr>
            </w:pPr>
            <w:r>
              <w:rPr>
                <w:rFonts w:ascii="Arial" w:cs="Arial" w:eastAsia="Arial" w:hAnsi="Arial"/>
                <w:sz w:val="16"/>
                <w:szCs w:val="16"/>
                <w:color w:val="auto"/>
              </w:rPr>
              <w:t>246.9</w:t>
            </w:r>
          </w:p>
        </w:tc>
      </w:tr>
      <w:tr>
        <w:trPr>
          <w:trHeight w:val="203"/>
        </w:trPr>
        <w:tc>
          <w:tcPr>
            <w:tcW w:w="40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Net earnings</w:t>
            </w:r>
          </w:p>
        </w:tc>
        <w:tc>
          <w:tcPr>
            <w:tcW w:w="1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tcBorders>
              <w:right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13.6</w:t>
            </w:r>
          </w:p>
        </w:tc>
      </w:tr>
      <w:tr>
        <w:trPr>
          <w:trHeight w:val="203"/>
        </w:trPr>
        <w:tc>
          <w:tcPr>
            <w:tcW w:w="406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Net transfers from Former Parent</w:t>
            </w:r>
          </w:p>
        </w:tc>
        <w:tc>
          <w:tcPr>
            <w:tcW w:w="15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w:t>
            </w:r>
          </w:p>
        </w:tc>
        <w:tc>
          <w:tcPr>
            <w:tcW w:w="1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w:t>
            </w:r>
          </w:p>
        </w:tc>
      </w:tr>
      <w:tr>
        <w:trPr>
          <w:trHeight w:val="183"/>
        </w:trPr>
        <w:tc>
          <w:tcPr>
            <w:tcW w:w="406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Balance, July 31, 2018</w:t>
            </w:r>
          </w:p>
        </w:tc>
        <w:tc>
          <w:tcPr>
            <w:tcW w:w="156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1,036.7</w:t>
            </w: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(781.8)</w:t>
            </w:r>
          </w:p>
        </w:tc>
        <w:tc>
          <w:tcPr>
            <w:tcW w:w="400" w:type="dxa"/>
            <w:vAlign w:val="bottom"/>
            <w:gridSpan w:val="2"/>
            <w:shd w:val="clear" w:color="auto" w:fill="CCEEFF"/>
          </w:tcPr>
          <w:p>
            <w:pPr>
              <w:ind w:left="200"/>
              <w:spacing w:after="0" w:line="183" w:lineRule="exact"/>
              <w:rPr>
                <w:sz w:val="20"/>
                <w:szCs w:val="20"/>
                <w:color w:val="auto"/>
              </w:rPr>
            </w:pPr>
            <w:r>
              <w:rPr>
                <w:rFonts w:ascii="Arial" w:cs="Arial" w:eastAsia="Arial" w:hAnsi="Arial"/>
                <w:sz w:val="16"/>
                <w:szCs w:val="16"/>
                <w:color w:val="auto"/>
              </w:rPr>
              <w:t>$</w:t>
            </w:r>
          </w:p>
        </w:tc>
        <w:tc>
          <w:tcPr>
            <w:tcW w:w="940" w:type="dxa"/>
            <w:vAlign w:val="bottom"/>
            <w:tcBorders>
              <w:right w:val="single" w:sz="8" w:color="CCEEFF"/>
            </w:tcBorders>
            <w:shd w:val="clear" w:color="auto" w:fill="CCEEFF"/>
          </w:tcPr>
          <w:p>
            <w:pPr>
              <w:jc w:val="right"/>
              <w:ind w:right="19"/>
              <w:spacing w:after="0" w:line="183" w:lineRule="exact"/>
              <w:rPr>
                <w:sz w:val="20"/>
                <w:szCs w:val="20"/>
                <w:color w:val="auto"/>
              </w:rPr>
            </w:pPr>
            <w:r>
              <w:rPr>
                <w:rFonts w:ascii="Arial" w:cs="Arial" w:eastAsia="Arial" w:hAnsi="Arial"/>
                <w:sz w:val="16"/>
                <w:szCs w:val="16"/>
                <w:color w:val="auto"/>
              </w:rPr>
              <w:t>254.9</w:t>
            </w:r>
          </w:p>
        </w:tc>
      </w:tr>
      <w:tr>
        <w:trPr>
          <w:trHeight w:val="27"/>
        </w:trPr>
        <w:tc>
          <w:tcPr>
            <w:tcW w:w="406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tcBorders>
              <w:right w:val="single" w:sz="8" w:color="CCEEFF"/>
            </w:tcBorders>
            <w:shd w:val="clear" w:color="auto" w:fill="000000"/>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40" w:right="1419" w:bottom="1440" w:gutter="0" w:footer="0" w:header="0"/>
        </w:sectPr>
      </w:pPr>
    </w:p>
    <w:bookmarkStart w:id="5" w:name="page6"/>
    <w:bookmarkEnd w:id="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13" w:lineRule="exact"/>
        <w:rPr>
          <w:sz w:val="20"/>
          <w:szCs w:val="20"/>
          <w:color w:val="auto"/>
        </w:rPr>
      </w:pPr>
    </w:p>
    <w:p>
      <w:pPr>
        <w:jc w:val="center"/>
        <w:spacing w:after="0" w:line="257" w:lineRule="auto"/>
        <w:rPr>
          <w:sz w:val="20"/>
          <w:szCs w:val="20"/>
          <w:color w:val="auto"/>
        </w:rPr>
      </w:pPr>
      <w:r>
        <w:rPr>
          <w:rFonts w:ascii="Arial" w:cs="Arial" w:eastAsia="Arial" w:hAnsi="Arial"/>
          <w:sz w:val="18"/>
          <w:szCs w:val="18"/>
          <w:b w:val="1"/>
          <w:bCs w:val="1"/>
          <w:color w:val="auto"/>
        </w:rPr>
        <w:t>KLX ENERGY SERVICES HOLDINGS, INC. CONDENSED CONSOLIDATED STATEMENTS OF CASH FLOWS (UNAUDITED) (In millions)</w:t>
      </w: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6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gridSpan w:val="5"/>
          </w:tcPr>
          <w:p>
            <w:pPr>
              <w:ind w:left="140"/>
              <w:spacing w:after="0"/>
              <w:rPr>
                <w:sz w:val="20"/>
                <w:szCs w:val="20"/>
                <w:color w:val="auto"/>
              </w:rPr>
            </w:pPr>
            <w:r>
              <w:rPr>
                <w:rFonts w:ascii="Arial" w:cs="Arial" w:eastAsia="Arial" w:hAnsi="Arial"/>
                <w:sz w:val="16"/>
                <w:szCs w:val="16"/>
                <w:b w:val="1"/>
                <w:bCs w:val="1"/>
                <w:color w:val="auto"/>
              </w:rPr>
              <w:t>SIX MONTHS ENDED</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jc w:val="right"/>
              <w:ind w:right="79"/>
              <w:spacing w:after="0" w:line="165" w:lineRule="exact"/>
              <w:rPr>
                <w:sz w:val="20"/>
                <w:szCs w:val="20"/>
                <w:color w:val="auto"/>
              </w:rPr>
            </w:pPr>
            <w:r>
              <w:rPr>
                <w:rFonts w:ascii="Arial" w:cs="Arial" w:eastAsia="Arial" w:hAnsi="Arial"/>
                <w:sz w:val="16"/>
                <w:szCs w:val="16"/>
                <w:b w:val="1"/>
                <w:bCs w:val="1"/>
                <w:color w:val="auto"/>
              </w:rPr>
              <w:t>JULY 31,</w:t>
            </w:r>
          </w:p>
        </w:tc>
        <w:tc>
          <w:tcPr>
            <w:tcW w:w="2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jc w:val="right"/>
              <w:ind w:right="79"/>
              <w:spacing w:after="0" w:line="165" w:lineRule="exact"/>
              <w:rPr>
                <w:sz w:val="20"/>
                <w:szCs w:val="20"/>
                <w:color w:val="auto"/>
              </w:rPr>
            </w:pPr>
            <w:r>
              <w:rPr>
                <w:rFonts w:ascii="Arial" w:cs="Arial" w:eastAsia="Arial" w:hAnsi="Arial"/>
                <w:sz w:val="16"/>
                <w:szCs w:val="16"/>
                <w:b w:val="1"/>
                <w:bCs w:val="1"/>
                <w:color w:val="auto"/>
                <w:w w:val="94"/>
              </w:rPr>
              <w:t>JULY 31,</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6420" w:type="dxa"/>
            <w:vAlign w:val="bottom"/>
            <w:tcBorders>
              <w:bottom w:val="single" w:sz="8" w:color="CCEEFF"/>
            </w:tcBorders>
          </w:tcPr>
          <w:p>
            <w:pPr>
              <w:spacing w:after="0"/>
              <w:rPr>
                <w:sz w:val="18"/>
                <w:szCs w:val="18"/>
                <w:color w:val="auto"/>
              </w:rPr>
            </w:pPr>
          </w:p>
        </w:tc>
        <w:tc>
          <w:tcPr>
            <w:tcW w:w="3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2019</w:t>
            </w: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2018</w:t>
            </w:r>
          </w:p>
        </w:tc>
        <w:tc>
          <w:tcPr>
            <w:tcW w:w="2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420" w:type="dxa"/>
            <w:vAlign w:val="bottom"/>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CASH FLOWS FROM OPERATING ACTIVITIES:</w:t>
            </w: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420" w:type="dxa"/>
            <w:vAlign w:val="bottom"/>
          </w:tcPr>
          <w:p>
            <w:pPr>
              <w:ind w:left="100"/>
              <w:spacing w:after="0"/>
              <w:rPr>
                <w:sz w:val="20"/>
                <w:szCs w:val="20"/>
                <w:color w:val="auto"/>
              </w:rPr>
            </w:pPr>
            <w:r>
              <w:rPr>
                <w:rFonts w:ascii="Arial" w:cs="Arial" w:eastAsia="Arial" w:hAnsi="Arial"/>
                <w:sz w:val="16"/>
                <w:szCs w:val="16"/>
                <w:color w:val="auto"/>
              </w:rPr>
              <w:t>Net (loss) earnings</w:t>
            </w:r>
          </w:p>
        </w:tc>
        <w:tc>
          <w:tcPr>
            <w:tcW w:w="4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(1.5)</w:t>
            </w:r>
          </w:p>
        </w:tc>
        <w:tc>
          <w:tcPr>
            <w:tcW w:w="3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19.4</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6420" w:type="dxa"/>
            <w:vAlign w:val="bottom"/>
            <w:shd w:val="clear" w:color="auto" w:fill="CCEEFF"/>
          </w:tcPr>
          <w:p>
            <w:pPr>
              <w:ind w:left="100"/>
              <w:spacing w:after="0"/>
              <w:rPr>
                <w:sz w:val="20"/>
                <w:szCs w:val="20"/>
                <w:color w:val="auto"/>
              </w:rPr>
            </w:pPr>
            <w:r>
              <w:rPr>
                <w:rFonts w:ascii="Arial" w:cs="Arial" w:eastAsia="Arial" w:hAnsi="Arial"/>
                <w:sz w:val="16"/>
                <w:szCs w:val="16"/>
                <w:color w:val="auto"/>
              </w:rPr>
              <w:t>Adjustments to reconcile net (loss) earnings to net cash flows provided by operating</w:t>
            </w: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6420" w:type="dxa"/>
            <w:vAlign w:val="bottom"/>
            <w:shd w:val="clear" w:color="auto" w:fill="CCEEFF"/>
          </w:tcPr>
          <w:p>
            <w:pPr>
              <w:ind w:left="100"/>
              <w:spacing w:after="0"/>
              <w:rPr>
                <w:sz w:val="20"/>
                <w:szCs w:val="20"/>
                <w:color w:val="auto"/>
              </w:rPr>
            </w:pPr>
            <w:r>
              <w:rPr>
                <w:rFonts w:ascii="Arial" w:cs="Arial" w:eastAsia="Arial" w:hAnsi="Arial"/>
                <w:sz w:val="16"/>
                <w:szCs w:val="16"/>
                <w:color w:val="auto"/>
              </w:rPr>
              <w:t>activities:</w:t>
            </w: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420" w:type="dxa"/>
            <w:vAlign w:val="bottom"/>
          </w:tcPr>
          <w:p>
            <w:pPr>
              <w:ind w:left="200"/>
              <w:spacing w:after="0"/>
              <w:rPr>
                <w:sz w:val="20"/>
                <w:szCs w:val="20"/>
                <w:color w:val="auto"/>
              </w:rPr>
            </w:pPr>
            <w:r>
              <w:rPr>
                <w:rFonts w:ascii="Arial" w:cs="Arial" w:eastAsia="Arial" w:hAnsi="Arial"/>
                <w:sz w:val="16"/>
                <w:szCs w:val="16"/>
                <w:color w:val="auto"/>
              </w:rPr>
              <w:t>Depreciation and amortization</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31.3</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18.2</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4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Non-cash compensation</w:t>
            </w: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w:t>
            </w: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420" w:type="dxa"/>
            <w:vAlign w:val="bottom"/>
          </w:tcPr>
          <w:p>
            <w:pPr>
              <w:ind w:left="200"/>
              <w:spacing w:after="0"/>
              <w:rPr>
                <w:sz w:val="20"/>
                <w:szCs w:val="20"/>
                <w:color w:val="auto"/>
              </w:rPr>
            </w:pPr>
            <w:r>
              <w:rPr>
                <w:rFonts w:ascii="Arial" w:cs="Arial" w:eastAsia="Arial" w:hAnsi="Arial"/>
                <w:sz w:val="16"/>
                <w:szCs w:val="16"/>
                <w:color w:val="auto"/>
              </w:rPr>
              <w:t>Amortization of deferred financing fees</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0.5</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4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Provision for inventory reserve</w:t>
            </w: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w:t>
            </w: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w:t>
            </w: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420" w:type="dxa"/>
            <w:vAlign w:val="bottom"/>
          </w:tcPr>
          <w:p>
            <w:pPr>
              <w:ind w:left="200"/>
              <w:spacing w:after="0"/>
              <w:rPr>
                <w:sz w:val="20"/>
                <w:szCs w:val="20"/>
                <w:color w:val="auto"/>
              </w:rPr>
            </w:pPr>
            <w:r>
              <w:rPr>
                <w:rFonts w:ascii="Arial" w:cs="Arial" w:eastAsia="Arial" w:hAnsi="Arial"/>
                <w:sz w:val="16"/>
                <w:szCs w:val="16"/>
                <w:color w:val="auto"/>
              </w:rPr>
              <w:t>Change in allowance for doubtful accounts</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1.8</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0.5</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4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Loss on disposal of property, equipment and other</w:t>
            </w: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420" w:type="dxa"/>
            <w:vAlign w:val="bottom"/>
          </w:tcPr>
          <w:p>
            <w:pPr>
              <w:ind w:left="100"/>
              <w:spacing w:after="0"/>
              <w:rPr>
                <w:sz w:val="20"/>
                <w:szCs w:val="20"/>
                <w:color w:val="auto"/>
              </w:rPr>
            </w:pPr>
            <w:r>
              <w:rPr>
                <w:rFonts w:ascii="Arial" w:cs="Arial" w:eastAsia="Arial" w:hAnsi="Arial"/>
                <w:sz w:val="16"/>
                <w:szCs w:val="16"/>
                <w:color w:val="auto"/>
              </w:rPr>
              <w:t>Changes in operating assets and liabilities:</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4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Accounts receivable</w:t>
            </w: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(26.5)</w:t>
            </w: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w:t>
            </w: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420" w:type="dxa"/>
            <w:vAlign w:val="bottom"/>
          </w:tcPr>
          <w:p>
            <w:pPr>
              <w:ind w:left="200"/>
              <w:spacing w:after="0"/>
              <w:rPr>
                <w:sz w:val="20"/>
                <w:szCs w:val="20"/>
                <w:color w:val="auto"/>
              </w:rPr>
            </w:pPr>
            <w:r>
              <w:rPr>
                <w:rFonts w:ascii="Arial" w:cs="Arial" w:eastAsia="Arial" w:hAnsi="Arial"/>
                <w:sz w:val="16"/>
                <w:szCs w:val="16"/>
                <w:color w:val="auto"/>
              </w:rPr>
              <w:t>Inventories</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1.4</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(1.9)</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4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Other current and non-current assets</w:t>
            </w: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420" w:type="dxa"/>
            <w:vAlign w:val="bottom"/>
          </w:tcPr>
          <w:p>
            <w:pPr>
              <w:ind w:left="200"/>
              <w:spacing w:after="0"/>
              <w:rPr>
                <w:sz w:val="20"/>
                <w:szCs w:val="20"/>
                <w:color w:val="auto"/>
              </w:rPr>
            </w:pPr>
            <w:r>
              <w:rPr>
                <w:rFonts w:ascii="Arial" w:cs="Arial" w:eastAsia="Arial" w:hAnsi="Arial"/>
                <w:sz w:val="16"/>
                <w:szCs w:val="16"/>
                <w:color w:val="auto"/>
              </w:rPr>
              <w:t>Accounts payable</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(0.2)</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3.6</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4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Other current and non-current liabilities</w:t>
            </w:r>
          </w:p>
        </w:tc>
        <w:tc>
          <w:tcPr>
            <w:tcW w:w="3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w:t>
            </w:r>
          </w:p>
        </w:tc>
        <w:tc>
          <w:tcPr>
            <w:tcW w:w="2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440" w:type="dxa"/>
            <w:vAlign w:val="bottom"/>
            <w:gridSpan w:val="2"/>
          </w:tcPr>
          <w:p>
            <w:pPr>
              <w:spacing w:after="0" w:line="177" w:lineRule="exact"/>
              <w:rPr>
                <w:sz w:val="20"/>
                <w:szCs w:val="20"/>
                <w:color w:val="auto"/>
              </w:rPr>
            </w:pPr>
            <w:r>
              <w:rPr>
                <w:rFonts w:ascii="Arial" w:cs="Arial" w:eastAsia="Arial" w:hAnsi="Arial"/>
                <w:sz w:val="16"/>
                <w:szCs w:val="16"/>
                <w:color w:val="auto"/>
              </w:rPr>
              <w:t>Net cash flows provided by operating activities</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right"/>
              <w:spacing w:after="0" w:line="183" w:lineRule="exact"/>
              <w:rPr>
                <w:sz w:val="20"/>
                <w:szCs w:val="20"/>
                <w:color w:val="auto"/>
              </w:rPr>
            </w:pPr>
            <w:r>
              <w:rPr>
                <w:rFonts w:ascii="Arial" w:cs="Arial" w:eastAsia="Arial" w:hAnsi="Arial"/>
                <w:sz w:val="16"/>
                <w:szCs w:val="16"/>
                <w:color w:val="auto"/>
              </w:rPr>
              <w:t>11.9</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right"/>
              <w:spacing w:after="0" w:line="183" w:lineRule="exact"/>
              <w:rPr>
                <w:sz w:val="20"/>
                <w:szCs w:val="20"/>
                <w:color w:val="auto"/>
              </w:rPr>
            </w:pPr>
            <w:r>
              <w:rPr>
                <w:rFonts w:ascii="Arial" w:cs="Arial" w:eastAsia="Arial" w:hAnsi="Arial"/>
                <w:sz w:val="16"/>
                <w:szCs w:val="16"/>
                <w:color w:val="auto"/>
              </w:rPr>
              <w:t>29.7</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642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6420" w:type="dxa"/>
            <w:vAlign w:val="bottom"/>
          </w:tcPr>
          <w:p>
            <w:pPr>
              <w:spacing w:after="0"/>
              <w:rPr>
                <w:sz w:val="20"/>
                <w:szCs w:val="20"/>
                <w:color w:val="auto"/>
              </w:rPr>
            </w:pPr>
            <w:r>
              <w:rPr>
                <w:rFonts w:ascii="Arial" w:cs="Arial" w:eastAsia="Arial" w:hAnsi="Arial"/>
                <w:sz w:val="16"/>
                <w:szCs w:val="16"/>
                <w:b w:val="1"/>
                <w:bCs w:val="1"/>
                <w:color w:val="auto"/>
              </w:rPr>
              <w:t>CASH FLOWS FROM INVESTING ACTIVITIES:</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4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Capital expenditures</w:t>
            </w: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(56.8)</w:t>
            </w: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(36.2)</w:t>
            </w: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420" w:type="dxa"/>
            <w:vAlign w:val="bottom"/>
          </w:tcPr>
          <w:p>
            <w:pPr>
              <w:ind w:left="200"/>
              <w:spacing w:after="0"/>
              <w:rPr>
                <w:sz w:val="20"/>
                <w:szCs w:val="20"/>
                <w:color w:val="auto"/>
              </w:rPr>
            </w:pPr>
            <w:r>
              <w:rPr>
                <w:rFonts w:ascii="Arial" w:cs="Arial" w:eastAsia="Arial" w:hAnsi="Arial"/>
                <w:sz w:val="16"/>
                <w:szCs w:val="16"/>
                <w:color w:val="auto"/>
              </w:rPr>
              <w:t>Proceeds from sale of assets</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0.3</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0.7</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4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Acquisitions, net of cash acquired</w:t>
            </w: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(27.6)</w:t>
            </w: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6440" w:type="dxa"/>
            <w:vAlign w:val="bottom"/>
            <w:gridSpan w:val="2"/>
          </w:tcPr>
          <w:p>
            <w:pPr>
              <w:spacing w:after="0" w:line="177" w:lineRule="exact"/>
              <w:rPr>
                <w:sz w:val="20"/>
                <w:szCs w:val="20"/>
                <w:color w:val="auto"/>
              </w:rPr>
            </w:pPr>
            <w:r>
              <w:rPr>
                <w:rFonts w:ascii="Arial" w:cs="Arial" w:eastAsia="Arial" w:hAnsi="Arial"/>
                <w:sz w:val="16"/>
                <w:szCs w:val="16"/>
                <w:color w:val="auto"/>
              </w:rPr>
              <w:t>Net cash flows used in investing activities</w:t>
            </w:r>
          </w:p>
        </w:tc>
        <w:tc>
          <w:tcPr>
            <w:tcW w:w="3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6"/>
                <w:szCs w:val="16"/>
                <w:color w:val="auto"/>
              </w:rPr>
              <w:t>(84.1)</w:t>
            </w:r>
          </w:p>
        </w:tc>
        <w:tc>
          <w:tcPr>
            <w:tcW w:w="2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6"/>
                <w:szCs w:val="16"/>
                <w:color w:val="auto"/>
              </w:rPr>
              <w:t>(35.5)</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642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6420" w:type="dxa"/>
            <w:vAlign w:val="bottom"/>
          </w:tcPr>
          <w:p>
            <w:pPr>
              <w:spacing w:after="0"/>
              <w:rPr>
                <w:sz w:val="20"/>
                <w:szCs w:val="20"/>
                <w:color w:val="auto"/>
              </w:rPr>
            </w:pPr>
            <w:r>
              <w:rPr>
                <w:rFonts w:ascii="Arial" w:cs="Arial" w:eastAsia="Arial" w:hAnsi="Arial"/>
                <w:sz w:val="16"/>
                <w:szCs w:val="16"/>
                <w:b w:val="1"/>
                <w:bCs w:val="1"/>
                <w:color w:val="auto"/>
              </w:rPr>
              <w:t>CASH FLOWS FROM FINANCING ACTIVITIES:</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4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Cash proceeds from stock issuance</w:t>
            </w: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w:t>
            </w: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42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Net transfers from Former Parent (pre spin-off)</w:t>
            </w:r>
          </w:p>
        </w:tc>
        <w:tc>
          <w:tcPr>
            <w:tcW w:w="3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w:t>
            </w:r>
          </w:p>
        </w:tc>
        <w:tc>
          <w:tcPr>
            <w:tcW w:w="20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420" w:type="dxa"/>
            <w:vAlign w:val="bottom"/>
            <w:shd w:val="clear" w:color="auto" w:fill="CCEEFF"/>
          </w:tcPr>
          <w:p>
            <w:pPr>
              <w:spacing w:after="0" w:line="177" w:lineRule="exact"/>
              <w:rPr>
                <w:sz w:val="20"/>
                <w:szCs w:val="20"/>
                <w:color w:val="auto"/>
              </w:rPr>
            </w:pPr>
            <w:r>
              <w:rPr>
                <w:rFonts w:ascii="Arial" w:cs="Arial" w:eastAsia="Arial" w:hAnsi="Arial"/>
                <w:sz w:val="16"/>
                <w:szCs w:val="16"/>
                <w:color w:val="auto"/>
              </w:rPr>
              <w:t>Net cash flows provided by financing activities</w:t>
            </w:r>
          </w:p>
        </w:tc>
        <w:tc>
          <w:tcPr>
            <w:tcW w:w="32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0.8</w:t>
            </w:r>
          </w:p>
        </w:tc>
        <w:tc>
          <w:tcPr>
            <w:tcW w:w="22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5.8</w:t>
            </w:r>
          </w:p>
        </w:tc>
        <w:tc>
          <w:tcPr>
            <w:tcW w:w="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6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Net change in cash and cash equivalents</w:t>
            </w: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(71.4)</w:t>
            </w: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420" w:type="dxa"/>
            <w:vAlign w:val="bottom"/>
            <w:tcBorders>
              <w:bottom w:val="single" w:sz="8" w:color="CCEEFF"/>
            </w:tcBorders>
          </w:tcPr>
          <w:p>
            <w:pPr>
              <w:spacing w:after="0"/>
              <w:rPr>
                <w:sz w:val="20"/>
                <w:szCs w:val="20"/>
                <w:color w:val="auto"/>
              </w:rPr>
            </w:pPr>
            <w:r>
              <w:rPr>
                <w:rFonts w:ascii="Arial" w:cs="Arial" w:eastAsia="Arial" w:hAnsi="Arial"/>
                <w:sz w:val="16"/>
                <w:szCs w:val="16"/>
                <w:b w:val="1"/>
                <w:bCs w:val="1"/>
                <w:color w:val="auto"/>
              </w:rPr>
              <w:t>Cash and cash equivalents, beginning of period</w:t>
            </w:r>
          </w:p>
        </w:tc>
        <w:tc>
          <w:tcPr>
            <w:tcW w:w="3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163.8</w:t>
            </w:r>
          </w:p>
        </w:tc>
        <w:tc>
          <w:tcPr>
            <w:tcW w:w="2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420" w:type="dxa"/>
            <w:vAlign w:val="bottom"/>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Cash and cash equivalents, end of period</w:t>
            </w:r>
          </w:p>
        </w:tc>
        <w:tc>
          <w:tcPr>
            <w:tcW w:w="420" w:type="dxa"/>
            <w:vAlign w:val="bottom"/>
            <w:gridSpan w:val="2"/>
            <w:shd w:val="clear" w:color="auto" w:fill="CCEEFF"/>
          </w:tcPr>
          <w:p>
            <w:pPr>
              <w:jc w:val="right"/>
              <w:ind w:right="20"/>
              <w:spacing w:after="0" w:line="183" w:lineRule="exact"/>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92.4</w:t>
            </w:r>
          </w:p>
        </w:tc>
        <w:tc>
          <w:tcPr>
            <w:tcW w:w="320" w:type="dxa"/>
            <w:vAlign w:val="bottom"/>
            <w:gridSpan w:val="2"/>
            <w:shd w:val="clear" w:color="auto" w:fill="CCEEFF"/>
          </w:tcPr>
          <w:p>
            <w:pPr>
              <w:jc w:val="right"/>
              <w:ind w:right="20"/>
              <w:spacing w:after="0" w:line="183" w:lineRule="exact"/>
              <w:rPr>
                <w:sz w:val="20"/>
                <w:szCs w:val="20"/>
                <w:color w:val="auto"/>
              </w:rPr>
            </w:pPr>
            <w:r>
              <w:rPr>
                <w:rFonts w:ascii="Arial" w:cs="Arial" w:eastAsia="Arial" w:hAnsi="Arial"/>
                <w:sz w:val="16"/>
                <w:szCs w:val="16"/>
                <w:color w:val="auto"/>
              </w:rPr>
              <w:t>$</w:t>
            </w:r>
          </w:p>
        </w:tc>
        <w:tc>
          <w:tcPr>
            <w:tcW w:w="1020" w:type="dxa"/>
            <w:vAlign w:val="bottom"/>
            <w:gridSpan w:val="2"/>
            <w:shd w:val="clear" w:color="auto" w:fill="CCEEFF"/>
          </w:tcPr>
          <w:p>
            <w:pPr>
              <w:jc w:val="right"/>
              <w:ind w:right="260"/>
              <w:spacing w:after="0" w:line="183"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6420" w:type="dxa"/>
            <w:vAlign w:val="bottom"/>
            <w:tcBorders>
              <w:top w:val="single" w:sz="8" w:color="CCEEFF"/>
            </w:tcBorders>
          </w:tcPr>
          <w:p>
            <w:pPr>
              <w:spacing w:after="0"/>
              <w:rPr>
                <w:sz w:val="16"/>
                <w:szCs w:val="16"/>
                <w:color w:val="auto"/>
              </w:rPr>
            </w:pPr>
          </w:p>
        </w:tc>
        <w:tc>
          <w:tcPr>
            <w:tcW w:w="32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Supplemental disclosures of cash flow information:</w:t>
            </w: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440" w:type="dxa"/>
            <w:vAlign w:val="bottom"/>
            <w:gridSpan w:val="2"/>
          </w:tcPr>
          <w:p>
            <w:pPr>
              <w:spacing w:after="0"/>
              <w:rPr>
                <w:sz w:val="20"/>
                <w:szCs w:val="20"/>
                <w:color w:val="auto"/>
              </w:rPr>
            </w:pPr>
            <w:r>
              <w:rPr>
                <w:rFonts w:ascii="Arial" w:cs="Arial" w:eastAsia="Arial" w:hAnsi="Arial"/>
                <w:sz w:val="16"/>
                <w:szCs w:val="16"/>
                <w:color w:val="auto"/>
              </w:rPr>
              <w:t>Cash paid during period for:</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420" w:type="dxa"/>
            <w:vAlign w:val="bottom"/>
            <w:shd w:val="clear" w:color="auto" w:fill="CCEEFF"/>
          </w:tcPr>
          <w:p>
            <w:pPr>
              <w:ind w:left="100"/>
              <w:spacing w:after="0"/>
              <w:rPr>
                <w:sz w:val="20"/>
                <w:szCs w:val="20"/>
                <w:color w:val="auto"/>
              </w:rPr>
            </w:pPr>
            <w:r>
              <w:rPr>
                <w:rFonts w:ascii="Arial" w:cs="Arial" w:eastAsia="Arial" w:hAnsi="Arial"/>
                <w:sz w:val="16"/>
                <w:szCs w:val="16"/>
                <w:color w:val="auto"/>
              </w:rPr>
              <w:t>Change in deposits on capital expenditures</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420" w:type="dxa"/>
            <w:vAlign w:val="bottom"/>
          </w:tcPr>
          <w:p>
            <w:pPr>
              <w:ind w:left="100"/>
              <w:spacing w:after="0"/>
              <w:rPr>
                <w:sz w:val="20"/>
                <w:szCs w:val="20"/>
                <w:color w:val="auto"/>
              </w:rPr>
            </w:pPr>
            <w:r>
              <w:rPr>
                <w:rFonts w:ascii="Arial" w:cs="Arial" w:eastAsia="Arial" w:hAnsi="Arial"/>
                <w:sz w:val="16"/>
                <w:szCs w:val="16"/>
                <w:color w:val="auto"/>
              </w:rPr>
              <w:t>Income taxes paid, net of refunds</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420" w:type="dxa"/>
            <w:vAlign w:val="bottom"/>
            <w:shd w:val="clear" w:color="auto" w:fill="CCEEFF"/>
          </w:tcPr>
          <w:p>
            <w:pPr>
              <w:ind w:left="100"/>
              <w:spacing w:after="0"/>
              <w:rPr>
                <w:sz w:val="20"/>
                <w:szCs w:val="20"/>
                <w:color w:val="auto"/>
              </w:rPr>
            </w:pPr>
            <w:r>
              <w:rPr>
                <w:rFonts w:ascii="Arial" w:cs="Arial" w:eastAsia="Arial" w:hAnsi="Arial"/>
                <w:sz w:val="16"/>
                <w:szCs w:val="16"/>
                <w:color w:val="auto"/>
              </w:rPr>
              <w:t>Interest</w:t>
            </w: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w:t>
            </w: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420" w:type="dxa"/>
            <w:vAlign w:val="bottom"/>
          </w:tcPr>
          <w:p>
            <w:pPr>
              <w:spacing w:after="0"/>
              <w:rPr>
                <w:sz w:val="20"/>
                <w:szCs w:val="20"/>
                <w:color w:val="auto"/>
              </w:rPr>
            </w:pPr>
            <w:r>
              <w:rPr>
                <w:rFonts w:ascii="Arial" w:cs="Arial" w:eastAsia="Arial" w:hAnsi="Arial"/>
                <w:sz w:val="16"/>
                <w:szCs w:val="16"/>
                <w:b w:val="1"/>
                <w:bCs w:val="1"/>
                <w:color w:val="auto"/>
              </w:rPr>
              <w:t>Supplemental schedule of non-cash activities:</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420" w:type="dxa"/>
            <w:vAlign w:val="bottom"/>
            <w:shd w:val="clear" w:color="auto" w:fill="CCEEFF"/>
          </w:tcPr>
          <w:p>
            <w:pPr>
              <w:ind w:left="100"/>
              <w:spacing w:after="0"/>
              <w:rPr>
                <w:sz w:val="20"/>
                <w:szCs w:val="20"/>
                <w:color w:val="auto"/>
              </w:rPr>
            </w:pPr>
            <w:r>
              <w:rPr>
                <w:rFonts w:ascii="Arial" w:cs="Arial" w:eastAsia="Arial" w:hAnsi="Arial"/>
                <w:sz w:val="16"/>
                <w:szCs w:val="16"/>
                <w:color w:val="auto"/>
              </w:rPr>
              <w:t>Accrued capital expenditures</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40" w:right="1419" w:bottom="1440" w:gutter="0" w:footer="0" w:header="0"/>
        </w:sectPr>
      </w:pPr>
    </w:p>
    <w:bookmarkStart w:id="6" w:name="page7"/>
    <w:bookmarkEnd w:id="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13" w:lineRule="exact"/>
        <w:rPr>
          <w:sz w:val="20"/>
          <w:szCs w:val="20"/>
          <w:color w:val="auto"/>
        </w:rPr>
      </w:pPr>
    </w:p>
    <w:p>
      <w:pPr>
        <w:jc w:val="center"/>
        <w:ind w:left="1440" w:right="1580"/>
        <w:spacing w:after="0" w:line="253" w:lineRule="auto"/>
        <w:rPr>
          <w:sz w:val="20"/>
          <w:szCs w:val="20"/>
          <w:color w:val="auto"/>
        </w:rPr>
      </w:pPr>
      <w:r>
        <w:rPr>
          <w:rFonts w:ascii="Arial" w:cs="Arial" w:eastAsia="Arial" w:hAnsi="Arial"/>
          <w:sz w:val="18"/>
          <w:szCs w:val="18"/>
          <w:b w:val="1"/>
          <w:bCs w:val="1"/>
          <w:color w:val="auto"/>
        </w:rPr>
        <w:t>KLX ENERGY SERVICES HOLDINGS, INC. NOTES TO CONDENSED CONSOLIDATED FINANCIAL STATEMENTS (Unaudited – In millions)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Note 1. </w:t>
      </w:r>
      <w:r>
        <w:rPr>
          <w:rFonts w:ascii="Arial" w:cs="Arial" w:eastAsia="Arial" w:hAnsi="Arial"/>
          <w:sz w:val="18"/>
          <w:szCs w:val="18"/>
          <w:u w:val="single" w:color="auto"/>
          <w:color w:val="auto"/>
        </w:rPr>
        <w:t>Description of Business and Basis of Presentation</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Description of Business</w:t>
      </w:r>
    </w:p>
    <w:p>
      <w:pPr>
        <w:spacing w:after="0" w:line="216" w:lineRule="exact"/>
        <w:rPr>
          <w:sz w:val="20"/>
          <w:szCs w:val="20"/>
          <w:color w:val="auto"/>
        </w:rPr>
      </w:pPr>
    </w:p>
    <w:p>
      <w:pPr>
        <w:ind w:firstLine="648"/>
        <w:spacing w:after="0" w:line="237" w:lineRule="auto"/>
        <w:rPr>
          <w:sz w:val="20"/>
          <w:szCs w:val="20"/>
          <w:color w:val="auto"/>
        </w:rPr>
      </w:pPr>
      <w:r>
        <w:rPr>
          <w:rFonts w:ascii="Arial" w:cs="Arial" w:eastAsia="Arial" w:hAnsi="Arial"/>
          <w:sz w:val="18"/>
          <w:szCs w:val="18"/>
          <w:color w:val="auto"/>
        </w:rPr>
        <w:t>On September 14, 2018, KLX Inc. (the “Former Parent” or “KLX”) created an independent, publicly-traded company through a spin-off of its Energy Services Group business to Former Parent’s stockholders (the “Spin-Off”). As a result of the Spin-Off, KLX Energy Services Holdings, Inc. (the “Company” or “KLX Energy Services”) now operates as an independent, publicly-traded company. The July 31, 2018 basic and diluted earnings per common share and the average number of common shares outstanding were calculated using the number of KLX Energy Services common shares outstanding immediately following the Spin-Off.</w:t>
      </w:r>
    </w:p>
    <w:p>
      <w:pPr>
        <w:spacing w:after="0" w:line="192" w:lineRule="exact"/>
        <w:rPr>
          <w:sz w:val="20"/>
          <w:szCs w:val="20"/>
          <w:color w:val="auto"/>
        </w:rPr>
      </w:pPr>
    </w:p>
    <w:p>
      <w:pPr>
        <w:ind w:right="40" w:firstLine="648"/>
        <w:spacing w:after="0" w:line="246" w:lineRule="auto"/>
        <w:rPr>
          <w:sz w:val="20"/>
          <w:szCs w:val="20"/>
          <w:color w:val="auto"/>
        </w:rPr>
      </w:pPr>
      <w:r>
        <w:rPr>
          <w:rFonts w:ascii="Arial" w:cs="Arial" w:eastAsia="Arial" w:hAnsi="Arial"/>
          <w:sz w:val="18"/>
          <w:szCs w:val="18"/>
          <w:color w:val="auto"/>
        </w:rPr>
        <w:t>The Company is a provider of completion, intervention and production services and products to the major onshore oil and gas producing regions of the United States.</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Basis of Presentation</w:t>
      </w:r>
    </w:p>
    <w:p>
      <w:pPr>
        <w:spacing w:after="0" w:line="216" w:lineRule="exact"/>
        <w:rPr>
          <w:sz w:val="20"/>
          <w:szCs w:val="20"/>
          <w:color w:val="auto"/>
        </w:rPr>
      </w:pPr>
    </w:p>
    <w:p>
      <w:pPr>
        <w:ind w:right="20" w:firstLine="648"/>
        <w:spacing w:after="0" w:line="238" w:lineRule="auto"/>
        <w:rPr>
          <w:sz w:val="20"/>
          <w:szCs w:val="20"/>
          <w:color w:val="auto"/>
        </w:rPr>
      </w:pPr>
      <w:r>
        <w:rPr>
          <w:rFonts w:ascii="Arial" w:cs="Arial" w:eastAsia="Arial" w:hAnsi="Arial"/>
          <w:sz w:val="18"/>
          <w:szCs w:val="18"/>
          <w:color w:val="auto"/>
        </w:rPr>
        <w:t>Prior to the Spin-Off on September 14, 2018, the Company’s unaudited condensed financial statements were derived from the Former Parent’s condensed consolidated financial statements and accounting records as if it was operated on a stand-alone basis and were prepared in accordance with accounting principles generally accepted in the United States (“GAAP”). All intercompany transactions and account balances within the Company have been eliminated.</w:t>
      </w:r>
    </w:p>
    <w:p>
      <w:pPr>
        <w:spacing w:after="0" w:line="189"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The condensed consolidated statements of earnings (loss) for periods prior to the Spin-Off reflect allocations of general corporate expenses from the Former Parent, including, but not limited to, executive management, finance, legal, information technology, human resources, employee benefits administration, treasury, risk management, procurement and other shared services. The allocations were made on a direct usage basis when identifiable, with the remainder allocated on the basis of revenues generated, costs incurred, headcount or other measures. Management of the Company considers these allocations to be a reasonable reflection of the utilization of services by, or the benefits provided to, the Company. The allocations may not, however, reflect the expense the Company would have incurred as a stand-alone company for the periods presented. Actual costs that may have been incurred if the Company had been a stand-alone company would depend on a number of factors, including the chosen organizational structure, what functions were outsourced or performed by employees and strategic decisions made in areas such as information technology and infrastructure.</w:t>
      </w:r>
    </w:p>
    <w:p>
      <w:pPr>
        <w:spacing w:after="0" w:line="173" w:lineRule="exact"/>
        <w:rPr>
          <w:sz w:val="20"/>
          <w:szCs w:val="20"/>
          <w:color w:val="auto"/>
        </w:rPr>
      </w:pPr>
    </w:p>
    <w:p>
      <w:pPr>
        <w:ind w:right="200" w:firstLine="648"/>
        <w:spacing w:after="0" w:line="242" w:lineRule="auto"/>
        <w:rPr>
          <w:sz w:val="20"/>
          <w:szCs w:val="20"/>
          <w:color w:val="auto"/>
        </w:rPr>
      </w:pPr>
      <w:r>
        <w:rPr>
          <w:rFonts w:ascii="Arial" w:cs="Arial" w:eastAsia="Arial" w:hAnsi="Arial"/>
          <w:sz w:val="18"/>
          <w:szCs w:val="18"/>
          <w:i w:val="1"/>
          <w:iCs w:val="1"/>
          <w:color w:val="auto"/>
        </w:rPr>
        <w:t xml:space="preserve">Former Parent Company Investment </w:t>
      </w:r>
      <w:r>
        <w:rPr>
          <w:rFonts w:ascii="Arial" w:cs="Arial" w:eastAsia="Arial" w:hAnsi="Arial"/>
          <w:sz w:val="18"/>
          <w:szCs w:val="18"/>
          <w:color w:val="auto"/>
        </w:rPr>
        <w:t>– Former Parent company investment in the condensed</w:t>
      </w:r>
      <w:r>
        <w:rPr>
          <w:rFonts w:ascii="Arial" w:cs="Arial" w:eastAsia="Arial" w:hAnsi="Arial"/>
          <w:sz w:val="18"/>
          <w:szCs w:val="18"/>
          <w:i w:val="1"/>
          <w:iCs w:val="1"/>
          <w:color w:val="auto"/>
        </w:rPr>
        <w:t xml:space="preserve"> </w:t>
      </w:r>
      <w:r>
        <w:rPr>
          <w:rFonts w:ascii="Arial" w:cs="Arial" w:eastAsia="Arial" w:hAnsi="Arial"/>
          <w:sz w:val="18"/>
          <w:szCs w:val="18"/>
          <w:color w:val="auto"/>
        </w:rPr>
        <w:t>consolidated statement of stockholders’ equity for the three and six months ended July 31, 2018 represents Former Parent’s historical investment in the Company, the net effect of cost allocations from transactions with Former Parent and net transfers of cash and assets from Former Parent. See Note 6 for a further description of the transactions between the Company and Former Parent.</w:t>
      </w:r>
    </w:p>
    <w:p>
      <w:pPr>
        <w:spacing w:after="0" w:line="172" w:lineRule="exact"/>
        <w:rPr>
          <w:sz w:val="20"/>
          <w:szCs w:val="20"/>
          <w:color w:val="auto"/>
        </w:rPr>
      </w:pPr>
    </w:p>
    <w:p>
      <w:pPr>
        <w:ind w:right="300" w:firstLine="648"/>
        <w:spacing w:after="0" w:line="239" w:lineRule="auto"/>
        <w:rPr>
          <w:sz w:val="20"/>
          <w:szCs w:val="20"/>
          <w:color w:val="auto"/>
        </w:rPr>
      </w:pPr>
      <w:r>
        <w:rPr>
          <w:rFonts w:ascii="Arial" w:cs="Arial" w:eastAsia="Arial" w:hAnsi="Arial"/>
          <w:sz w:val="18"/>
          <w:szCs w:val="18"/>
          <w:i w:val="1"/>
          <w:iCs w:val="1"/>
          <w:color w:val="auto"/>
        </w:rPr>
        <w:t xml:space="preserve">Financial Statement Preparation </w:t>
      </w:r>
      <w:r>
        <w:rPr>
          <w:rFonts w:ascii="Arial" w:cs="Arial" w:eastAsia="Arial" w:hAnsi="Arial"/>
          <w:sz w:val="18"/>
          <w:szCs w:val="18"/>
          <w:color w:val="auto"/>
        </w:rPr>
        <w:t>– The accompanying unaudited condensed consolidated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statements have been prepared in accordance with GAAP for interim financial information and pursuant to the rules and regulations of the Securities and Exchange Commission. Accordingly, they do not include all of the information and footnotes required by GAAP for complete financial statements. All adjustments which, in the opinion of the Company’s management, are considered necessary for a fair presentation of the results of operations for the periods shown are of a normal recurring nature and have been reflected in the condensed consolidated financial statements. The results of operations for the periods presented are not necessarily indicative of the results expected for the full fiscal year or for any future period.</w:t>
      </w: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40" w:right="1439" w:bottom="1440" w:gutter="0" w:footer="0" w:header="0"/>
        </w:sectPr>
      </w:pPr>
    </w:p>
    <w:bookmarkStart w:id="7" w:name="page8"/>
    <w:bookmarkEnd w:id="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Note 2. </w:t>
      </w:r>
      <w:r>
        <w:rPr>
          <w:rFonts w:ascii="Arial" w:cs="Arial" w:eastAsia="Arial" w:hAnsi="Arial"/>
          <w:sz w:val="18"/>
          <w:szCs w:val="18"/>
          <w:u w:val="single" w:color="auto"/>
          <w:color w:val="auto"/>
        </w:rPr>
        <w:t>Recent Accounting Pronouncements</w:t>
      </w:r>
    </w:p>
    <w:p>
      <w:pPr>
        <w:spacing w:after="0" w:line="212" w:lineRule="exact"/>
        <w:rPr>
          <w:sz w:val="20"/>
          <w:szCs w:val="20"/>
          <w:color w:val="auto"/>
        </w:rPr>
      </w:pPr>
    </w:p>
    <w:p>
      <w:pPr>
        <w:ind w:right="200" w:firstLine="648"/>
        <w:spacing w:after="0" w:line="237" w:lineRule="auto"/>
        <w:rPr>
          <w:sz w:val="20"/>
          <w:szCs w:val="20"/>
          <w:color w:val="auto"/>
        </w:rPr>
      </w:pPr>
      <w:r>
        <w:rPr>
          <w:rFonts w:ascii="Arial" w:cs="Arial" w:eastAsia="Arial" w:hAnsi="Arial"/>
          <w:sz w:val="18"/>
          <w:szCs w:val="18"/>
          <w:color w:val="auto"/>
        </w:rPr>
        <w:t>In January 2017, the Financial Accounting Standards Board (“FASB”) issued ASU 2017-01, Business Combinations. This update clarifies the definition of a business with the objective of adding guidance to assist entities with evaluating whether transactions should be accounted for as acquisitions (or disposals) of assets or businesses. This ASU is effective for fiscal years beginning after December 15, 2018, including interim periods within those fiscal years. The adoption of ASU 2017-01 did not have a material impact on the Company’s condensed consolidated financial statements.</w:t>
      </w:r>
    </w:p>
    <w:p>
      <w:pPr>
        <w:spacing w:after="0" w:line="192"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In August 2016, the FASB issued ASU 2016-15, Statement of Cash Flows (Topic 230): Classification of Certain Cash Receipts and Cash Payments related to how certain cash receipts and payments are presented and classified in the statement of cash flows. These cash flow issues include debt prepayment or extinguishment costs, settlement of zero-coupon debt, contingent consideration payments made after a business combination, proceeds from the settlement of insurance claims, proceeds from the settlement of corporate-owned life insurance policies, distributions received from equity method investees, beneficial interests in securitization transactions, and separately identifiable cash flows. This ASU is effective for fiscal years beginning after December 15, 2018, and interim periods within fiscal years beginning after December 15, 2019, with early adoption permitted, and should be applied retrospectively. The Company does not expect a material impact upon adoption of this ASU to its condensed consolidated financial statements as the Company’s condensed consolidated statements of cash flows are not impacted by the eight issues listed above.</w:t>
      </w:r>
    </w:p>
    <w:p>
      <w:pPr>
        <w:spacing w:after="0" w:line="192"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In March 2016, the FASB issued ASU 2016-09, Improvements to Employee Share-Based Payment Accounting, which amends ASC Topic 718, Compensation—Stock Compensation. The ASU includes multiple provisions intended to simplify various aspects of the accounting for share-based payments, including that excess tax benefits and shortfalls be recorded as income tax benefit or expense in the statement of earnings, rather than equity, and requires excess tax benefits from stock-based compensation to be classified in cash flows from operations. The guidance is effective for annual periods beginning after December 15, 2017, and interim periods within annual periods beginning after December 15, 2018. Early adoption is permitted in any interim or annual period. If an entity early adopts the amendments in an interim period, any adjustments should be reflected as of the beginning of the fiscal year that includes that interim period. An entity that elects early adoption must adopt all of the amendments in the same period. The adoption of this ASU did not have a material impact on the Company’s condensed consolidated financial statements.</w:t>
      </w:r>
    </w:p>
    <w:p>
      <w:pPr>
        <w:spacing w:after="0" w:line="192"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In February 2016, the FASB issued ASU 2016-02, Leases, which supersedes ASC Topic 840, Leases, and creates a new topic, ASC Topic 842, Leases. This update is effective for fiscal years beginning after December 15, 2019 and interim periods within fiscal years beginning after December 15, 2020. Earlier adoption is permitted. ASU 2016-02 requires lessees to recognize a lease liability and a lease asset for all leases, including operating leases, with a term greater than 12 months on its balance sheet. The update also expands the required quantitative and qualitative disclosures surrounding leases. ASU 2016-02 will be applied using a modified retrospective transition approach for leases existing at, or entered into after, the beginning of the earliest comparative period presented in the financial statements. To assess the impact of this guidance, the Company has established a cross functional implementation project team and is currently in the process of accumulating and evaluating all the necessary information required to properly account for its lease portfolio under the new standard. The Company is in the process of developing its new accounting policies and determining the potential aggregate impact this guidance is likely to have on its financial statements as of its adoption date.</w:t>
      </w:r>
    </w:p>
    <w:p>
      <w:pPr>
        <w:spacing w:after="0" w:line="191" w:lineRule="exact"/>
        <w:rPr>
          <w:sz w:val="20"/>
          <w:szCs w:val="20"/>
          <w:color w:val="auto"/>
        </w:rPr>
      </w:pPr>
    </w:p>
    <w:p>
      <w:pPr>
        <w:ind w:firstLine="648"/>
        <w:spacing w:after="0" w:line="237" w:lineRule="auto"/>
        <w:rPr>
          <w:sz w:val="20"/>
          <w:szCs w:val="20"/>
          <w:color w:val="auto"/>
        </w:rPr>
      </w:pPr>
      <w:r>
        <w:rPr>
          <w:rFonts w:ascii="Arial" w:cs="Arial" w:eastAsia="Arial" w:hAnsi="Arial"/>
          <w:sz w:val="18"/>
          <w:szCs w:val="18"/>
          <w:color w:val="auto"/>
        </w:rPr>
        <w:t>In May 2014, FASB issued ASU 2014-09, Revenue from Contracts with Customers, which updated the guidance in ASC Topic 606, Revenue Recognition. The core principle of the guidance is that an entity should recognize revenue to depict the transfer of promised goods or services to customers in an amount that reflects the consideration to which the entity expects to be entitled in exchange for those goods or services. To achieve that core principle, an entity should identify the contract(s) with a customer, identify the performance obligations in the contract, determine the transaction price, allocate the transaction price to the</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40" w:right="1439" w:bottom="1440" w:gutter="0" w:footer="0" w:header="0"/>
        </w:sectPr>
      </w:pPr>
    </w:p>
    <w:bookmarkStart w:id="8" w:name="page9"/>
    <w:bookmarkEnd w:id="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35"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performance obligations in the contract and recognize revenue when (or as) the entity satisfies a performance obligation. In August 2015, the FASB deferred the effective date for implementation of ASU 2014-09 by one year and during 2016, the FASB issued various related accounting standard updates, which clarified revenue accounting principles and provided supplemental adoption guidance. The guidance under ASU 2014-09 is effective for fiscal years beginning after December 15, 2018 and interim periods within annual reporting periods beginning after December 15, 2019. To assess the impact of this guidance, the Company established a cross functional implementation project team, inventoried its revenue streams and contracts with customers and applied the principles of the guidance against a selection of contracts to assist in the determination of potential revenue accounting differences. No individually significant implementation matters were identified, and revenue is recognized on a “point-in-time” basis for product revenues and over time for service revenues under the new standard, which is consistent with current practice. The Company implemented internal controls, policies and processes to comply with the new standard. The Company adopted ASC Topic 606 in the first quarter of fiscal 2019 using the modified retrospective method of adoption, which resulted in no changes to the opening balance sheet as of February 1, 2019. Prior period statements of earnings (loss) will remain unchanged.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Note 3. </w:t>
      </w:r>
      <w:r>
        <w:rPr>
          <w:rFonts w:ascii="Arial" w:cs="Arial" w:eastAsia="Arial" w:hAnsi="Arial"/>
          <w:sz w:val="18"/>
          <w:szCs w:val="18"/>
          <w:u w:val="single" w:color="auto"/>
          <w:color w:val="auto"/>
        </w:rPr>
        <w:t>Business Combinations</w:t>
      </w:r>
    </w:p>
    <w:p>
      <w:pPr>
        <w:spacing w:after="0" w:line="212" w:lineRule="exact"/>
        <w:rPr>
          <w:sz w:val="20"/>
          <w:szCs w:val="20"/>
          <w:color w:val="auto"/>
        </w:rPr>
      </w:pPr>
    </w:p>
    <w:p>
      <w:pPr>
        <w:ind w:right="40" w:firstLine="648"/>
        <w:spacing w:after="0" w:line="236" w:lineRule="auto"/>
        <w:rPr>
          <w:sz w:val="20"/>
          <w:szCs w:val="20"/>
          <w:color w:val="auto"/>
        </w:rPr>
      </w:pPr>
      <w:r>
        <w:rPr>
          <w:rFonts w:ascii="Arial" w:cs="Arial" w:eastAsia="Arial" w:hAnsi="Arial"/>
          <w:sz w:val="18"/>
          <w:szCs w:val="18"/>
          <w:color w:val="auto"/>
        </w:rPr>
        <w:t>On November 5, 2018, the Company acquired Motley Services, LLC (“Motley”), a premier provider of well completion and intervention services for complex, long lateral, horizontal wells, for $140.0 in cash (net of cash acquired) and $9.0 of shares of the Company’s common stock payable to certain employees of Motley. Based on the Company’s purchase price allocation, the excess of the purchase price over the fair value of the identifiable assets acquired approximated $71.8, of which $28.3 was allocated to identifiable intangible assets consisting of customer contracts and relationships and covenants not to compete, and $43.5 is included in goodwill. The useful life assigned to the customer contracts and relationships is 20 years, and the covenants not to compete are being amortized over their contractual periods of three years.</w:t>
      </w:r>
    </w:p>
    <w:p>
      <w:pPr>
        <w:spacing w:after="0" w:line="195"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On March 15, 2019, the Company acquired Tecton Energy Services (“Tecton”), a leading provider of flowback, drill-out and production testing services, operating primarily in the greater Rocky Mountains. On March 19, 2019, the Company acquired Red Bone Services LLC (“Red Bone”), a premier provider of oilfield services primarily in the Mid-Continent, providing fishing, non-frac high pressure pumping, thru-tubing and certain other services. The aggregate acquisition price of the acquisitions was approximately $74.6, comprised of approximately $47.0 in shares of the Company’s common stock issuable over time at a fixed price and approximately $27.6 in cash to the sellers and for the retirement of debt. The Company issued shares in a subsidiary company to effect the Red Bone acquisition, which become exchangeable for KLXE common stock over specified dates between the acquisition date and September 19, 2021. The Company issued shares in its common stock to effect the Tecton acquisition, a portion of which is not included in purchase consideration as the shares were escrowed and held as treasury stock to satisfy identified future tax obligations through cancellation of the shares. The shares issued to the sellers of Tecton and Red Bone are subject to restrictions on public re-sale from a minimum of six months to a maximum of 24 months, subject to acceleration upon the occurrence of certain events.</w:t>
      </w:r>
    </w:p>
    <w:p>
      <w:pPr>
        <w:spacing w:after="0" w:line="189" w:lineRule="exact"/>
        <w:rPr>
          <w:sz w:val="20"/>
          <w:szCs w:val="20"/>
          <w:color w:val="auto"/>
        </w:rPr>
      </w:pPr>
    </w:p>
    <w:p>
      <w:pPr>
        <w:ind w:right="40" w:firstLine="648"/>
        <w:spacing w:after="0" w:line="237" w:lineRule="auto"/>
        <w:rPr>
          <w:sz w:val="20"/>
          <w:szCs w:val="20"/>
          <w:color w:val="auto"/>
        </w:rPr>
      </w:pPr>
      <w:r>
        <w:rPr>
          <w:rFonts w:ascii="Arial" w:cs="Arial" w:eastAsia="Arial" w:hAnsi="Arial"/>
          <w:sz w:val="18"/>
          <w:szCs w:val="18"/>
          <w:color w:val="auto"/>
        </w:rPr>
        <w:t>Based on the Company’s preliminary purchase price allocation, the excess of the purchase price over the fair value of the identifiable assets acquired approximated $46.1, of which $19.4 was allocated to identifiable intangible assets consisting of customer contracts and relationships and covenants not to compete and $26.7 is included in goodwill. The useful life assigned to the customer contracts and relationships is 20 years, and the covenants not to compete are being amortized over their contractual periods of 18 months and three years for Tecton and Red Bone, respectively.</w:t>
      </w:r>
    </w:p>
    <w:p>
      <w:pPr>
        <w:spacing w:after="0" w:line="192" w:lineRule="exact"/>
        <w:rPr>
          <w:sz w:val="20"/>
          <w:szCs w:val="20"/>
          <w:color w:val="auto"/>
        </w:rPr>
      </w:pPr>
    </w:p>
    <w:p>
      <w:pPr>
        <w:ind w:right="20" w:firstLine="648"/>
        <w:spacing w:after="0" w:line="238" w:lineRule="auto"/>
        <w:rPr>
          <w:sz w:val="20"/>
          <w:szCs w:val="20"/>
          <w:color w:val="auto"/>
        </w:rPr>
      </w:pPr>
      <w:r>
        <w:rPr>
          <w:rFonts w:ascii="Arial" w:cs="Arial" w:eastAsia="Arial" w:hAnsi="Arial"/>
          <w:sz w:val="18"/>
          <w:szCs w:val="18"/>
          <w:color w:val="auto"/>
        </w:rPr>
        <w:t>The Motley, Tecton and Red Bone acquisitions were accounted for as purchases under FASB ASC 805, Business Combinations (“ASC 805”). The assets purchased and liabilities assumed have been reflected, as of the respective dates of acquisition, in the accompanying condensed consolidated balance sheet as of July 31, 2019 and January 31, 2019. The results of operations for the Motley, Tecton and Red Bone acquisitions are included in the accompanying condensed consolidated statements of earnings (loss) from the</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40" w:right="1419" w:bottom="1440" w:gutter="0" w:footer="0" w:header="0"/>
        </w:sectPr>
      </w:pPr>
    </w:p>
    <w:bookmarkStart w:id="9" w:name="page10"/>
    <w:bookmarkEnd w:id="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35" w:lineRule="exact"/>
        <w:rPr>
          <w:sz w:val="20"/>
          <w:szCs w:val="20"/>
          <w:color w:val="auto"/>
        </w:rPr>
      </w:pPr>
    </w:p>
    <w:p>
      <w:pPr>
        <w:jc w:val="both"/>
        <w:spacing w:after="0"/>
        <w:rPr>
          <w:sz w:val="20"/>
          <w:szCs w:val="20"/>
          <w:color w:val="auto"/>
        </w:rPr>
      </w:pPr>
      <w:r>
        <w:rPr>
          <w:rFonts w:ascii="Arial" w:cs="Arial" w:eastAsia="Arial" w:hAnsi="Arial"/>
          <w:sz w:val="18"/>
          <w:szCs w:val="18"/>
          <w:color w:val="auto"/>
        </w:rPr>
        <w:t>respective dates of acquisition. The valuation of certain assets, principally intangible assets including goodwill and identified intangible assets related to the Tecton and Red Bone acquisitions, is not yet complete, and as such, the Company has not yet finalized its allocation of the purchase price for the acquisitions.</w:t>
      </w:r>
    </w:p>
    <w:p>
      <w:pPr>
        <w:spacing w:after="0" w:line="189" w:lineRule="exact"/>
        <w:rPr>
          <w:sz w:val="20"/>
          <w:szCs w:val="20"/>
          <w:color w:val="auto"/>
        </w:rPr>
      </w:pPr>
    </w:p>
    <w:p>
      <w:pPr>
        <w:ind w:right="100" w:firstLine="648"/>
        <w:spacing w:after="0" w:line="239" w:lineRule="auto"/>
        <w:rPr>
          <w:sz w:val="20"/>
          <w:szCs w:val="20"/>
          <w:color w:val="auto"/>
        </w:rPr>
      </w:pPr>
      <w:r>
        <w:rPr>
          <w:rFonts w:ascii="Arial" w:cs="Arial" w:eastAsia="Arial" w:hAnsi="Arial"/>
          <w:sz w:val="18"/>
          <w:szCs w:val="18"/>
          <w:color w:val="auto"/>
        </w:rPr>
        <w:t>The following table summarizes the fair values of assets acquired and liabilities assumed in the Motley acquisition, and the current estimates of fair values of assets acquired and liabilities assumed in the Tecton and Red Bone acquisitions, which are currently recorded based on management’s estimates in accordance with ASC 805:</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20" w:type="dxa"/>
            <w:vAlign w:val="bottom"/>
            <w:tcBorders>
              <w:bottom w:val="single" w:sz="8" w:color="CCEEFF"/>
            </w:tcBorders>
          </w:tcPr>
          <w:p>
            <w:pPr>
              <w:spacing w:after="0"/>
              <w:rPr>
                <w:sz w:val="18"/>
                <w:szCs w:val="18"/>
                <w:color w:val="auto"/>
              </w:rPr>
            </w:pPr>
          </w:p>
        </w:tc>
        <w:tc>
          <w:tcPr>
            <w:tcW w:w="16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Motley</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Tecton</w:t>
            </w:r>
          </w:p>
        </w:tc>
        <w:tc>
          <w:tcPr>
            <w:tcW w:w="16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Red Bone</w:t>
            </w:r>
          </w:p>
        </w:tc>
        <w:tc>
          <w:tcPr>
            <w:tcW w:w="120" w:type="dxa"/>
            <w:vAlign w:val="bottom"/>
            <w:tcBorders>
              <w:bottom w:val="single" w:sz="8" w:color="CCEEFF"/>
            </w:tcBorders>
          </w:tcPr>
          <w:p>
            <w:pPr>
              <w:spacing w:after="0"/>
              <w:rPr>
                <w:sz w:val="18"/>
                <w:szCs w:val="18"/>
                <w:color w:val="auto"/>
              </w:rPr>
            </w:pPr>
          </w:p>
        </w:tc>
      </w:tr>
      <w:tr>
        <w:trPr>
          <w:trHeight w:val="183"/>
        </w:trPr>
        <w:tc>
          <w:tcPr>
            <w:tcW w:w="4420" w:type="dxa"/>
            <w:vAlign w:val="bottom"/>
            <w:shd w:val="clear" w:color="auto" w:fill="CCEEFF"/>
          </w:tcPr>
          <w:p>
            <w:pPr>
              <w:spacing w:after="0" w:line="177" w:lineRule="exact"/>
              <w:rPr>
                <w:sz w:val="20"/>
                <w:szCs w:val="20"/>
                <w:color w:val="auto"/>
              </w:rPr>
            </w:pPr>
            <w:r>
              <w:rPr>
                <w:rFonts w:ascii="Arial" w:cs="Arial" w:eastAsia="Arial" w:hAnsi="Arial"/>
                <w:sz w:val="16"/>
                <w:szCs w:val="16"/>
                <w:color w:val="auto"/>
              </w:rPr>
              <w:t>Accounts receivable-trade</w:t>
            </w:r>
          </w:p>
        </w:tc>
        <w:tc>
          <w:tcPr>
            <w:tcW w:w="1740" w:type="dxa"/>
            <w:vAlign w:val="bottom"/>
            <w:gridSpan w:val="2"/>
            <w:shd w:val="clear" w:color="auto" w:fill="CCEEFF"/>
          </w:tcPr>
          <w:p>
            <w:pPr>
              <w:jc w:val="right"/>
              <w:spacing w:after="0" w:line="183" w:lineRule="exact"/>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23.2</w:t>
            </w:r>
          </w:p>
        </w:tc>
        <w:tc>
          <w:tcPr>
            <w:tcW w:w="300" w:type="dxa"/>
            <w:vAlign w:val="bottom"/>
            <w:gridSpan w:val="2"/>
            <w:shd w:val="clear" w:color="auto" w:fill="CCEEFF"/>
          </w:tcPr>
          <w:p>
            <w:pPr>
              <w:jc w:val="right"/>
              <w:ind w:right="40"/>
              <w:spacing w:after="0" w:line="183" w:lineRule="exact"/>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2.1</w:t>
            </w:r>
          </w:p>
        </w:tc>
        <w:tc>
          <w:tcPr>
            <w:tcW w:w="16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99"/>
              <w:spacing w:after="0" w:line="183" w:lineRule="exact"/>
              <w:rPr>
                <w:sz w:val="20"/>
                <w:szCs w:val="20"/>
                <w:color w:val="auto"/>
              </w:rPr>
            </w:pPr>
            <w:r>
              <w:rPr>
                <w:rFonts w:ascii="Arial" w:cs="Arial" w:eastAsia="Arial" w:hAnsi="Arial"/>
                <w:sz w:val="16"/>
                <w:szCs w:val="16"/>
                <w:color w:val="auto"/>
                <w:w w:val="89"/>
              </w:rPr>
              <w:t>$</w:t>
            </w:r>
          </w:p>
        </w:tc>
        <w:tc>
          <w:tcPr>
            <w:tcW w:w="56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7.2</w:t>
            </w:r>
          </w:p>
        </w:tc>
        <w:tc>
          <w:tcPr>
            <w:tcW w:w="120" w:type="dxa"/>
            <w:vAlign w:val="bottom"/>
            <w:shd w:val="clear" w:color="auto" w:fill="CCEEFF"/>
          </w:tcPr>
          <w:p>
            <w:pPr>
              <w:spacing w:after="0"/>
              <w:rPr>
                <w:sz w:val="15"/>
                <w:szCs w:val="15"/>
                <w:color w:val="auto"/>
              </w:rPr>
            </w:pPr>
          </w:p>
        </w:tc>
      </w:tr>
      <w:tr>
        <w:trPr>
          <w:trHeight w:val="189"/>
        </w:trPr>
        <w:tc>
          <w:tcPr>
            <w:tcW w:w="4420" w:type="dxa"/>
            <w:vAlign w:val="bottom"/>
          </w:tcPr>
          <w:p>
            <w:pPr>
              <w:spacing w:after="0"/>
              <w:rPr>
                <w:sz w:val="20"/>
                <w:szCs w:val="20"/>
                <w:color w:val="auto"/>
              </w:rPr>
            </w:pPr>
            <w:r>
              <w:rPr>
                <w:rFonts w:ascii="Arial" w:cs="Arial" w:eastAsia="Arial" w:hAnsi="Arial"/>
                <w:sz w:val="16"/>
                <w:szCs w:val="16"/>
                <w:color w:val="auto"/>
              </w:rPr>
              <w:t>Inventories</w:t>
            </w:r>
          </w:p>
        </w:tc>
        <w:tc>
          <w:tcPr>
            <w:tcW w:w="1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2.7</w:t>
            </w:r>
          </w:p>
        </w:tc>
        <w:tc>
          <w:tcPr>
            <w:tcW w:w="120" w:type="dxa"/>
            <w:vAlign w:val="bottom"/>
          </w:tcPr>
          <w:p>
            <w:pPr>
              <w:spacing w:after="0"/>
              <w:rPr>
                <w:sz w:val="16"/>
                <w:szCs w:val="16"/>
                <w:color w:val="auto"/>
              </w:rPr>
            </w:pPr>
          </w:p>
        </w:tc>
      </w:tr>
      <w:tr>
        <w:trPr>
          <w:trHeight w:val="189"/>
        </w:trPr>
        <w:tc>
          <w:tcPr>
            <w:tcW w:w="4420" w:type="dxa"/>
            <w:vAlign w:val="bottom"/>
            <w:shd w:val="clear" w:color="auto" w:fill="CCEEFF"/>
          </w:tcPr>
          <w:p>
            <w:pPr>
              <w:spacing w:after="0"/>
              <w:rPr>
                <w:sz w:val="20"/>
                <w:szCs w:val="20"/>
                <w:color w:val="auto"/>
              </w:rPr>
            </w:pPr>
            <w:r>
              <w:rPr>
                <w:rFonts w:ascii="Arial" w:cs="Arial" w:eastAsia="Arial" w:hAnsi="Arial"/>
                <w:sz w:val="16"/>
                <w:szCs w:val="16"/>
                <w:color w:val="auto"/>
              </w:rPr>
              <w:t>Other current and non-current assets</w:t>
            </w:r>
          </w:p>
        </w:tc>
        <w:tc>
          <w:tcPr>
            <w:tcW w:w="16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w:t>
            </w: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20" w:type="dxa"/>
            <w:vAlign w:val="bottom"/>
            <w:shd w:val="clear" w:color="auto" w:fill="CCEEFF"/>
          </w:tcPr>
          <w:p>
            <w:pPr>
              <w:spacing w:after="0"/>
              <w:rPr>
                <w:sz w:val="16"/>
                <w:szCs w:val="16"/>
                <w:color w:val="auto"/>
              </w:rPr>
            </w:pPr>
          </w:p>
        </w:tc>
      </w:tr>
      <w:tr>
        <w:trPr>
          <w:trHeight w:val="189"/>
        </w:trPr>
        <w:tc>
          <w:tcPr>
            <w:tcW w:w="4420" w:type="dxa"/>
            <w:vAlign w:val="bottom"/>
          </w:tcPr>
          <w:p>
            <w:pPr>
              <w:spacing w:after="0"/>
              <w:rPr>
                <w:sz w:val="20"/>
                <w:szCs w:val="20"/>
                <w:color w:val="auto"/>
              </w:rPr>
            </w:pPr>
            <w:r>
              <w:rPr>
                <w:rFonts w:ascii="Arial" w:cs="Arial" w:eastAsia="Arial" w:hAnsi="Arial"/>
                <w:sz w:val="16"/>
                <w:szCs w:val="16"/>
                <w:color w:val="auto"/>
              </w:rPr>
              <w:t>Property and equipment</w:t>
            </w:r>
          </w:p>
        </w:tc>
        <w:tc>
          <w:tcPr>
            <w:tcW w:w="1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56.3</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6.2</w:t>
            </w: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23.6</w:t>
            </w:r>
          </w:p>
        </w:tc>
        <w:tc>
          <w:tcPr>
            <w:tcW w:w="120" w:type="dxa"/>
            <w:vAlign w:val="bottom"/>
          </w:tcPr>
          <w:p>
            <w:pPr>
              <w:spacing w:after="0"/>
              <w:rPr>
                <w:sz w:val="16"/>
                <w:szCs w:val="16"/>
                <w:color w:val="auto"/>
              </w:rPr>
            </w:pPr>
          </w:p>
        </w:tc>
      </w:tr>
      <w:tr>
        <w:trPr>
          <w:trHeight w:val="189"/>
        </w:trPr>
        <w:tc>
          <w:tcPr>
            <w:tcW w:w="4420" w:type="dxa"/>
            <w:vAlign w:val="bottom"/>
            <w:shd w:val="clear" w:color="auto" w:fill="CCEEFF"/>
          </w:tcPr>
          <w:p>
            <w:pPr>
              <w:spacing w:after="0"/>
              <w:rPr>
                <w:sz w:val="20"/>
                <w:szCs w:val="20"/>
                <w:color w:val="auto"/>
              </w:rPr>
            </w:pPr>
            <w:r>
              <w:rPr>
                <w:rFonts w:ascii="Arial" w:cs="Arial" w:eastAsia="Arial" w:hAnsi="Arial"/>
                <w:sz w:val="16"/>
                <w:szCs w:val="16"/>
                <w:color w:val="auto"/>
              </w:rPr>
              <w:t>Goodwill</w:t>
            </w:r>
          </w:p>
        </w:tc>
        <w:tc>
          <w:tcPr>
            <w:tcW w:w="16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43.5</w:t>
            </w: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w:t>
            </w:r>
          </w:p>
        </w:tc>
        <w:tc>
          <w:tcPr>
            <w:tcW w:w="1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w:t>
            </w:r>
          </w:p>
        </w:tc>
        <w:tc>
          <w:tcPr>
            <w:tcW w:w="120" w:type="dxa"/>
            <w:vAlign w:val="bottom"/>
            <w:shd w:val="clear" w:color="auto" w:fill="CCEEFF"/>
          </w:tcPr>
          <w:p>
            <w:pPr>
              <w:spacing w:after="0"/>
              <w:rPr>
                <w:sz w:val="16"/>
                <w:szCs w:val="16"/>
                <w:color w:val="auto"/>
              </w:rPr>
            </w:pPr>
          </w:p>
        </w:tc>
      </w:tr>
      <w:tr>
        <w:trPr>
          <w:trHeight w:val="189"/>
        </w:trPr>
        <w:tc>
          <w:tcPr>
            <w:tcW w:w="4420" w:type="dxa"/>
            <w:vAlign w:val="bottom"/>
          </w:tcPr>
          <w:p>
            <w:pPr>
              <w:spacing w:after="0"/>
              <w:rPr>
                <w:sz w:val="20"/>
                <w:szCs w:val="20"/>
                <w:color w:val="auto"/>
              </w:rPr>
            </w:pPr>
            <w:r>
              <w:rPr>
                <w:rFonts w:ascii="Arial" w:cs="Arial" w:eastAsia="Arial" w:hAnsi="Arial"/>
                <w:sz w:val="16"/>
                <w:szCs w:val="16"/>
                <w:color w:val="auto"/>
              </w:rPr>
              <w:t>Identified intangibles</w:t>
            </w:r>
          </w:p>
        </w:tc>
        <w:tc>
          <w:tcPr>
            <w:tcW w:w="1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28.3</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6.2</w:t>
            </w: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13.2</w:t>
            </w:r>
          </w:p>
        </w:tc>
        <w:tc>
          <w:tcPr>
            <w:tcW w:w="120" w:type="dxa"/>
            <w:vAlign w:val="bottom"/>
          </w:tcPr>
          <w:p>
            <w:pPr>
              <w:spacing w:after="0"/>
              <w:rPr>
                <w:sz w:val="16"/>
                <w:szCs w:val="16"/>
                <w:color w:val="auto"/>
              </w:rPr>
            </w:pPr>
          </w:p>
        </w:tc>
      </w:tr>
      <w:tr>
        <w:trPr>
          <w:trHeight w:val="189"/>
        </w:trPr>
        <w:tc>
          <w:tcPr>
            <w:tcW w:w="4420" w:type="dxa"/>
            <w:vAlign w:val="bottom"/>
            <w:shd w:val="clear" w:color="auto" w:fill="CCEEFF"/>
          </w:tcPr>
          <w:p>
            <w:pPr>
              <w:spacing w:after="0"/>
              <w:rPr>
                <w:sz w:val="20"/>
                <w:szCs w:val="20"/>
                <w:color w:val="auto"/>
              </w:rPr>
            </w:pPr>
            <w:r>
              <w:rPr>
                <w:rFonts w:ascii="Arial" w:cs="Arial" w:eastAsia="Arial" w:hAnsi="Arial"/>
                <w:sz w:val="16"/>
                <w:szCs w:val="16"/>
                <w:color w:val="auto"/>
              </w:rPr>
              <w:t>Accounts payable</w:t>
            </w:r>
          </w:p>
        </w:tc>
        <w:tc>
          <w:tcPr>
            <w:tcW w:w="16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w:t>
            </w:r>
          </w:p>
        </w:tc>
        <w:tc>
          <w:tcPr>
            <w:tcW w:w="1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120" w:type="dxa"/>
            <w:vAlign w:val="bottom"/>
            <w:shd w:val="clear" w:color="auto" w:fill="CCEEFF"/>
          </w:tcPr>
          <w:p>
            <w:pPr>
              <w:spacing w:after="0"/>
              <w:rPr>
                <w:sz w:val="16"/>
                <w:szCs w:val="16"/>
                <w:color w:val="auto"/>
              </w:rPr>
            </w:pPr>
          </w:p>
        </w:tc>
      </w:tr>
      <w:tr>
        <w:trPr>
          <w:trHeight w:val="189"/>
        </w:trPr>
        <w:tc>
          <w:tcPr>
            <w:tcW w:w="4420" w:type="dxa"/>
            <w:vAlign w:val="bottom"/>
          </w:tcPr>
          <w:p>
            <w:pPr>
              <w:spacing w:after="0"/>
              <w:rPr>
                <w:sz w:val="20"/>
                <w:szCs w:val="20"/>
                <w:color w:val="auto"/>
              </w:rPr>
            </w:pPr>
            <w:r>
              <w:rPr>
                <w:rFonts w:ascii="Arial" w:cs="Arial" w:eastAsia="Arial" w:hAnsi="Arial"/>
                <w:sz w:val="16"/>
                <w:szCs w:val="16"/>
                <w:color w:val="auto"/>
              </w:rPr>
              <w:t>Accrued liabilities</w:t>
            </w:r>
          </w:p>
        </w:tc>
        <w:tc>
          <w:tcPr>
            <w:tcW w:w="1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(5.7)</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(2.1)</w:t>
            </w: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(0.9)</w:t>
            </w:r>
          </w:p>
        </w:tc>
        <w:tc>
          <w:tcPr>
            <w:tcW w:w="120" w:type="dxa"/>
            <w:vAlign w:val="bottom"/>
          </w:tcPr>
          <w:p>
            <w:pPr>
              <w:spacing w:after="0"/>
              <w:rPr>
                <w:sz w:val="16"/>
                <w:szCs w:val="16"/>
                <w:color w:val="auto"/>
              </w:rPr>
            </w:pPr>
          </w:p>
        </w:tc>
      </w:tr>
      <w:tr>
        <w:trPr>
          <w:trHeight w:val="189"/>
        </w:trPr>
        <w:tc>
          <w:tcPr>
            <w:tcW w:w="4420" w:type="dxa"/>
            <w:vAlign w:val="bottom"/>
            <w:shd w:val="clear" w:color="auto" w:fill="CCEEFF"/>
          </w:tcPr>
          <w:p>
            <w:pPr>
              <w:spacing w:after="0"/>
              <w:rPr>
                <w:sz w:val="20"/>
                <w:szCs w:val="20"/>
                <w:color w:val="auto"/>
              </w:rPr>
            </w:pPr>
            <w:r>
              <w:rPr>
                <w:rFonts w:ascii="Arial" w:cs="Arial" w:eastAsia="Arial" w:hAnsi="Arial"/>
                <w:sz w:val="16"/>
                <w:szCs w:val="16"/>
                <w:color w:val="auto"/>
              </w:rPr>
              <w:t>Other current and non-current liabilities</w:t>
            </w:r>
          </w:p>
        </w:tc>
        <w:tc>
          <w:tcPr>
            <w:tcW w:w="16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120" w:type="dxa"/>
            <w:vAlign w:val="bottom"/>
            <w:shd w:val="clear" w:color="auto" w:fill="CCEEFF"/>
          </w:tcPr>
          <w:p>
            <w:pPr>
              <w:spacing w:after="0"/>
              <w:rPr>
                <w:sz w:val="16"/>
                <w:szCs w:val="16"/>
                <w:color w:val="auto"/>
              </w:rPr>
            </w:pPr>
          </w:p>
        </w:tc>
      </w:tr>
      <w:tr>
        <w:trPr>
          <w:trHeight w:val="183"/>
        </w:trPr>
        <w:tc>
          <w:tcPr>
            <w:tcW w:w="4420" w:type="dxa"/>
            <w:vAlign w:val="bottom"/>
          </w:tcPr>
          <w:p>
            <w:pPr>
              <w:spacing w:after="0" w:line="177" w:lineRule="exact"/>
              <w:rPr>
                <w:sz w:val="20"/>
                <w:szCs w:val="20"/>
                <w:color w:val="auto"/>
              </w:rPr>
            </w:pPr>
            <w:r>
              <w:rPr>
                <w:rFonts w:ascii="Arial" w:cs="Arial" w:eastAsia="Arial" w:hAnsi="Arial"/>
                <w:sz w:val="16"/>
                <w:szCs w:val="16"/>
                <w:color w:val="auto"/>
              </w:rPr>
              <w:t>Total consideration paid</w:t>
            </w:r>
          </w:p>
        </w:tc>
        <w:tc>
          <w:tcPr>
            <w:tcW w:w="1600" w:type="dxa"/>
            <w:vAlign w:val="bottom"/>
          </w:tcPr>
          <w:p>
            <w:pPr>
              <w:spacing w:after="0"/>
              <w:rPr>
                <w:sz w:val="15"/>
                <w:szCs w:val="15"/>
                <w:color w:val="auto"/>
              </w:rPr>
            </w:pPr>
          </w:p>
        </w:tc>
        <w:tc>
          <w:tcPr>
            <w:tcW w:w="140" w:type="dxa"/>
            <w:vAlign w:val="bottom"/>
          </w:tcPr>
          <w:p>
            <w:pPr>
              <w:jc w:val="right"/>
              <w:spacing w:after="0" w:line="183" w:lineRule="exact"/>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line="183" w:lineRule="exact"/>
              <w:rPr>
                <w:sz w:val="20"/>
                <w:szCs w:val="20"/>
                <w:color w:val="auto"/>
              </w:rPr>
            </w:pPr>
            <w:r>
              <w:rPr>
                <w:rFonts w:ascii="Arial" w:cs="Arial" w:eastAsia="Arial" w:hAnsi="Arial"/>
                <w:sz w:val="16"/>
                <w:szCs w:val="16"/>
                <w:color w:val="auto"/>
              </w:rPr>
              <w:t>149.0</w:t>
            </w:r>
          </w:p>
        </w:tc>
        <w:tc>
          <w:tcPr>
            <w:tcW w:w="300" w:type="dxa"/>
            <w:vAlign w:val="bottom"/>
            <w:gridSpan w:val="2"/>
          </w:tcPr>
          <w:p>
            <w:pPr>
              <w:jc w:val="right"/>
              <w:ind w:right="40"/>
              <w:spacing w:after="0" w:line="183" w:lineRule="exact"/>
              <w:rPr>
                <w:sz w:val="20"/>
                <w:szCs w:val="20"/>
                <w:color w:val="auto"/>
              </w:rPr>
            </w:pPr>
            <w:r>
              <w:rPr>
                <w:rFonts w:ascii="Arial" w:cs="Arial" w:eastAsia="Arial" w:hAnsi="Arial"/>
                <w:sz w:val="16"/>
                <w:szCs w:val="16"/>
                <w:color w:val="auto"/>
              </w:rPr>
              <w:t>$</w:t>
            </w:r>
          </w:p>
        </w:tc>
        <w:tc>
          <w:tcPr>
            <w:tcW w:w="740" w:type="dxa"/>
            <w:vAlign w:val="bottom"/>
          </w:tcPr>
          <w:p>
            <w:pPr>
              <w:jc w:val="right"/>
              <w:spacing w:after="0" w:line="183" w:lineRule="exact"/>
              <w:rPr>
                <w:sz w:val="20"/>
                <w:szCs w:val="20"/>
                <w:color w:val="auto"/>
              </w:rPr>
            </w:pPr>
            <w:r>
              <w:rPr>
                <w:rFonts w:ascii="Arial" w:cs="Arial" w:eastAsia="Arial" w:hAnsi="Arial"/>
                <w:sz w:val="16"/>
                <w:szCs w:val="16"/>
                <w:color w:val="auto"/>
              </w:rPr>
              <w:t>22.6</w:t>
            </w:r>
          </w:p>
        </w:tc>
        <w:tc>
          <w:tcPr>
            <w:tcW w:w="160" w:type="dxa"/>
            <w:vAlign w:val="bottom"/>
          </w:tcPr>
          <w:p>
            <w:pPr>
              <w:spacing w:after="0"/>
              <w:rPr>
                <w:sz w:val="15"/>
                <w:szCs w:val="15"/>
                <w:color w:val="auto"/>
              </w:rPr>
            </w:pPr>
          </w:p>
        </w:tc>
        <w:tc>
          <w:tcPr>
            <w:tcW w:w="280" w:type="dxa"/>
            <w:vAlign w:val="bottom"/>
          </w:tcPr>
          <w:p>
            <w:pPr>
              <w:jc w:val="right"/>
              <w:ind w:right="99"/>
              <w:spacing w:after="0" w:line="183" w:lineRule="exact"/>
              <w:rPr>
                <w:sz w:val="20"/>
                <w:szCs w:val="20"/>
                <w:color w:val="auto"/>
              </w:rPr>
            </w:pPr>
            <w:r>
              <w:rPr>
                <w:rFonts w:ascii="Arial" w:cs="Arial" w:eastAsia="Arial" w:hAnsi="Arial"/>
                <w:sz w:val="16"/>
                <w:szCs w:val="16"/>
                <w:color w:val="auto"/>
                <w:w w:val="89"/>
              </w:rPr>
              <w:t>$</w:t>
            </w:r>
          </w:p>
        </w:tc>
        <w:tc>
          <w:tcPr>
            <w:tcW w:w="560" w:type="dxa"/>
            <w:vAlign w:val="bottom"/>
          </w:tcPr>
          <w:p>
            <w:pPr>
              <w:jc w:val="right"/>
              <w:spacing w:after="0" w:line="183" w:lineRule="exact"/>
              <w:rPr>
                <w:sz w:val="20"/>
                <w:szCs w:val="20"/>
                <w:color w:val="auto"/>
              </w:rPr>
            </w:pPr>
            <w:r>
              <w:rPr>
                <w:rFonts w:ascii="Arial" w:cs="Arial" w:eastAsia="Arial" w:hAnsi="Arial"/>
                <w:sz w:val="16"/>
                <w:szCs w:val="16"/>
                <w:color w:val="auto"/>
              </w:rPr>
              <w:t>52.0</w:t>
            </w:r>
          </w:p>
        </w:tc>
        <w:tc>
          <w:tcPr>
            <w:tcW w:w="120" w:type="dxa"/>
            <w:vAlign w:val="bottom"/>
          </w:tcPr>
          <w:p>
            <w:pPr>
              <w:spacing w:after="0"/>
              <w:rPr>
                <w:sz w:val="15"/>
                <w:szCs w:val="15"/>
                <w:color w:val="auto"/>
              </w:rPr>
            </w:pPr>
          </w:p>
        </w:tc>
      </w:tr>
      <w:tr>
        <w:trPr>
          <w:trHeight w:val="27"/>
        </w:trPr>
        <w:tc>
          <w:tcPr>
            <w:tcW w:w="44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bl>
    <w:p>
      <w:pPr>
        <w:spacing w:after="0" w:line="202" w:lineRule="exact"/>
        <w:rPr>
          <w:sz w:val="20"/>
          <w:szCs w:val="20"/>
          <w:color w:val="auto"/>
        </w:rPr>
      </w:pPr>
    </w:p>
    <w:p>
      <w:pPr>
        <w:jc w:val="both"/>
        <w:ind w:right="120" w:firstLine="648"/>
        <w:spacing w:after="0"/>
        <w:rPr>
          <w:sz w:val="20"/>
          <w:szCs w:val="20"/>
          <w:color w:val="auto"/>
        </w:rPr>
      </w:pPr>
      <w:r>
        <w:rPr>
          <w:rFonts w:ascii="Arial" w:cs="Arial" w:eastAsia="Arial" w:hAnsi="Arial"/>
          <w:sz w:val="18"/>
          <w:szCs w:val="18"/>
          <w:color w:val="auto"/>
        </w:rPr>
        <w:t>The majority of goodwill and intangible assets for Motley are expected to be deductible for tax purposes. The majority of goodwill and intangible assets for Tecton and Red Bone are not expected to be deductible for tax purposes.</w:t>
      </w:r>
    </w:p>
    <w:p>
      <w:pPr>
        <w:spacing w:after="0" w:line="189" w:lineRule="exact"/>
        <w:rPr>
          <w:sz w:val="20"/>
          <w:szCs w:val="20"/>
          <w:color w:val="auto"/>
        </w:rPr>
      </w:pPr>
    </w:p>
    <w:p>
      <w:pPr>
        <w:ind w:right="80" w:firstLine="648"/>
        <w:spacing w:after="0" w:line="238" w:lineRule="auto"/>
        <w:rPr>
          <w:sz w:val="20"/>
          <w:szCs w:val="20"/>
          <w:color w:val="auto"/>
        </w:rPr>
      </w:pPr>
      <w:r>
        <w:rPr>
          <w:rFonts w:ascii="Arial" w:cs="Arial" w:eastAsia="Arial" w:hAnsi="Arial"/>
          <w:sz w:val="18"/>
          <w:szCs w:val="18"/>
          <w:color w:val="auto"/>
        </w:rPr>
        <w:t>The Company has substantially integrated Motley and Red Bone and, as a result, it is not practicable to report stand-alone revenues and operating earnings of the acquired businesses since the acquisition date. The amount of Tecton revenues included in the Company’s results was approximately $6.0 and $9.1 for the three and six months ended July 31, 2019, respectively. It is not practicable to report stand-alone operating earnings of Tecton since the acquisition date.</w:t>
      </w:r>
    </w:p>
    <w:p>
      <w:pPr>
        <w:spacing w:after="0" w:line="189" w:lineRule="exact"/>
        <w:rPr>
          <w:sz w:val="20"/>
          <w:szCs w:val="20"/>
          <w:color w:val="auto"/>
        </w:rPr>
      </w:pPr>
    </w:p>
    <w:p>
      <w:pPr>
        <w:ind w:right="200" w:firstLine="648"/>
        <w:spacing w:after="0"/>
        <w:rPr>
          <w:sz w:val="20"/>
          <w:szCs w:val="20"/>
          <w:color w:val="auto"/>
        </w:rPr>
      </w:pPr>
      <w:r>
        <w:rPr>
          <w:rFonts w:ascii="Arial" w:cs="Arial" w:eastAsia="Arial" w:hAnsi="Arial"/>
          <w:sz w:val="18"/>
          <w:szCs w:val="18"/>
          <w:color w:val="auto"/>
        </w:rPr>
        <w:t>On a pro forma basis to give effect to the Motley, Tecton and Red Bone acquisitions, as if they occurred on February 1, 2018, revenues, net earnings (loss) and earnings (loss) per diluted share for the three and six months ended July 31, 2019 and 2018 would have been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gridSpan w:val="6"/>
          </w:tcPr>
          <w:p>
            <w:pPr>
              <w:ind w:left="300"/>
              <w:spacing w:after="0"/>
              <w:rPr>
                <w:sz w:val="20"/>
                <w:szCs w:val="20"/>
                <w:color w:val="auto"/>
              </w:rPr>
            </w:pPr>
            <w:r>
              <w:rPr>
                <w:rFonts w:ascii="Arial" w:cs="Arial" w:eastAsia="Arial" w:hAnsi="Arial"/>
                <w:sz w:val="16"/>
                <w:szCs w:val="16"/>
                <w:b w:val="1"/>
                <w:bCs w:val="1"/>
                <w:color w:val="auto"/>
              </w:rPr>
              <w:t>UNAUDITED</w:t>
            </w:r>
          </w:p>
        </w:tc>
        <w:tc>
          <w:tcPr>
            <w:tcW w:w="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r>
      <w:tr>
        <w:trPr>
          <w:trHeight w:val="183"/>
        </w:trPr>
        <w:tc>
          <w:tcPr>
            <w:tcW w:w="33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60" w:type="dxa"/>
            <w:vAlign w:val="bottom"/>
            <w:gridSpan w:val="6"/>
          </w:tcPr>
          <w:p>
            <w:pPr>
              <w:ind w:left="20"/>
              <w:spacing w:after="0" w:line="183" w:lineRule="exact"/>
              <w:rPr>
                <w:sz w:val="20"/>
                <w:szCs w:val="20"/>
                <w:color w:val="auto"/>
              </w:rPr>
            </w:pPr>
            <w:r>
              <w:rPr>
                <w:rFonts w:ascii="Arial" w:cs="Arial" w:eastAsia="Arial" w:hAnsi="Arial"/>
                <w:sz w:val="16"/>
                <w:szCs w:val="16"/>
                <w:b w:val="1"/>
                <w:bCs w:val="1"/>
                <w:color w:val="auto"/>
              </w:rPr>
              <w:t>THREE MONTHS ENDED</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60" w:type="dxa"/>
            <w:vAlign w:val="bottom"/>
            <w:gridSpan w:val="5"/>
          </w:tcPr>
          <w:p>
            <w:pPr>
              <w:jc w:val="right"/>
              <w:ind w:right="179"/>
              <w:spacing w:after="0" w:line="183" w:lineRule="exact"/>
              <w:rPr>
                <w:sz w:val="20"/>
                <w:szCs w:val="20"/>
                <w:color w:val="auto"/>
              </w:rPr>
            </w:pPr>
            <w:r>
              <w:rPr>
                <w:rFonts w:ascii="Arial" w:cs="Arial" w:eastAsia="Arial" w:hAnsi="Arial"/>
                <w:sz w:val="16"/>
                <w:szCs w:val="16"/>
                <w:b w:val="1"/>
                <w:bCs w:val="1"/>
                <w:color w:val="auto"/>
              </w:rPr>
              <w:t>SIX MONTHS ENDED</w:t>
            </w:r>
          </w:p>
        </w:tc>
        <w:tc>
          <w:tcPr>
            <w:tcW w:w="140" w:type="dxa"/>
            <w:vAlign w:val="bottom"/>
          </w:tcPr>
          <w:p>
            <w:pPr>
              <w:spacing w:after="0"/>
              <w:rPr>
                <w:sz w:val="15"/>
                <w:szCs w:val="15"/>
                <w:color w:val="auto"/>
              </w:rPr>
            </w:pPr>
          </w:p>
        </w:tc>
      </w:tr>
      <w:tr>
        <w:trPr>
          <w:trHeight w:val="164"/>
        </w:trPr>
        <w:tc>
          <w:tcPr>
            <w:tcW w:w="33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80" w:type="dxa"/>
            <w:vAlign w:val="bottom"/>
            <w:tcBorders>
              <w:top w:val="single" w:sz="8" w:color="auto"/>
            </w:tcBorders>
            <w:gridSpan w:val="3"/>
          </w:tcPr>
          <w:p>
            <w:pPr>
              <w:spacing w:after="0" w:line="165" w:lineRule="exact"/>
              <w:rPr>
                <w:sz w:val="20"/>
                <w:szCs w:val="20"/>
                <w:color w:val="auto"/>
              </w:rPr>
            </w:pPr>
            <w:r>
              <w:rPr>
                <w:rFonts w:ascii="Arial" w:cs="Arial" w:eastAsia="Arial" w:hAnsi="Arial"/>
                <w:sz w:val="16"/>
                <w:szCs w:val="16"/>
                <w:b w:val="1"/>
                <w:bCs w:val="1"/>
                <w:color w:val="auto"/>
              </w:rPr>
              <w:t>July 31, 2019</w:t>
            </w:r>
          </w:p>
        </w:tc>
        <w:tc>
          <w:tcPr>
            <w:tcW w:w="1100" w:type="dxa"/>
            <w:vAlign w:val="bottom"/>
            <w:tcBorders>
              <w:top w:val="single" w:sz="8" w:color="auto"/>
            </w:tcBorders>
            <w:gridSpan w:val="3"/>
          </w:tcPr>
          <w:p>
            <w:pPr>
              <w:jc w:val="right"/>
              <w:spacing w:after="0" w:line="165" w:lineRule="exact"/>
              <w:rPr>
                <w:sz w:val="20"/>
                <w:szCs w:val="20"/>
                <w:color w:val="auto"/>
              </w:rPr>
            </w:pPr>
            <w:r>
              <w:rPr>
                <w:rFonts w:ascii="Arial" w:cs="Arial" w:eastAsia="Arial" w:hAnsi="Arial"/>
                <w:sz w:val="16"/>
                <w:szCs w:val="16"/>
                <w:b w:val="1"/>
                <w:bCs w:val="1"/>
                <w:color w:val="auto"/>
              </w:rPr>
              <w:t>July 31, 2018</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Borders>
              <w:top w:val="single" w:sz="8" w:color="auto"/>
            </w:tcBorders>
            <w:gridSpan w:val="3"/>
          </w:tcPr>
          <w:p>
            <w:pPr>
              <w:spacing w:after="0" w:line="165" w:lineRule="exact"/>
              <w:rPr>
                <w:sz w:val="20"/>
                <w:szCs w:val="20"/>
                <w:color w:val="auto"/>
              </w:rPr>
            </w:pPr>
            <w:r>
              <w:rPr>
                <w:rFonts w:ascii="Arial" w:cs="Arial" w:eastAsia="Arial" w:hAnsi="Arial"/>
                <w:sz w:val="16"/>
                <w:szCs w:val="16"/>
                <w:b w:val="1"/>
                <w:bCs w:val="1"/>
                <w:color w:val="auto"/>
              </w:rPr>
              <w:t>July 31, 2019</w:t>
            </w:r>
          </w:p>
        </w:tc>
        <w:tc>
          <w:tcPr>
            <w:tcW w:w="1080" w:type="dxa"/>
            <w:vAlign w:val="bottom"/>
            <w:tcBorders>
              <w:top w:val="single" w:sz="8" w:color="auto"/>
            </w:tcBorders>
            <w:gridSpan w:val="3"/>
          </w:tcPr>
          <w:p>
            <w:pPr>
              <w:jc w:val="right"/>
              <w:spacing w:after="0" w:line="165" w:lineRule="exact"/>
              <w:rPr>
                <w:sz w:val="20"/>
                <w:szCs w:val="20"/>
                <w:color w:val="auto"/>
              </w:rPr>
            </w:pPr>
            <w:r>
              <w:rPr>
                <w:rFonts w:ascii="Arial" w:cs="Arial" w:eastAsia="Arial" w:hAnsi="Arial"/>
                <w:sz w:val="16"/>
                <w:szCs w:val="16"/>
                <w:b w:val="1"/>
                <w:bCs w:val="1"/>
                <w:color w:val="auto"/>
              </w:rPr>
              <w:t>July 31, 2018</w:t>
            </w:r>
          </w:p>
        </w:tc>
        <w:tc>
          <w:tcPr>
            <w:tcW w:w="140" w:type="dxa"/>
            <w:vAlign w:val="bottom"/>
          </w:tcPr>
          <w:p>
            <w:pPr>
              <w:spacing w:after="0"/>
              <w:rPr>
                <w:sz w:val="14"/>
                <w:szCs w:val="14"/>
                <w:color w:val="auto"/>
              </w:rPr>
            </w:pPr>
          </w:p>
        </w:tc>
      </w:tr>
      <w:tr>
        <w:trPr>
          <w:trHeight w:val="207"/>
        </w:trPr>
        <w:tc>
          <w:tcPr>
            <w:tcW w:w="3360" w:type="dxa"/>
            <w:vAlign w:val="bottom"/>
            <w:tcBorders>
              <w:bottom w:val="single" w:sz="8" w:color="CCEEFF"/>
            </w:tcBorders>
          </w:tcPr>
          <w:p>
            <w:pPr>
              <w:spacing w:after="0"/>
              <w:rPr>
                <w:sz w:val="18"/>
                <w:szCs w:val="18"/>
                <w:color w:val="auto"/>
              </w:rPr>
            </w:pPr>
          </w:p>
        </w:tc>
        <w:tc>
          <w:tcPr>
            <w:tcW w:w="102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gridSpan w:val="2"/>
          </w:tcPr>
          <w:p>
            <w:pPr>
              <w:ind w:left="120"/>
              <w:spacing w:after="0"/>
              <w:rPr>
                <w:sz w:val="20"/>
                <w:szCs w:val="20"/>
                <w:color w:val="auto"/>
              </w:rPr>
            </w:pPr>
            <w:r>
              <w:rPr>
                <w:rFonts w:ascii="Arial" w:cs="Arial" w:eastAsia="Arial" w:hAnsi="Arial"/>
                <w:sz w:val="16"/>
                <w:szCs w:val="16"/>
                <w:b w:val="1"/>
                <w:bCs w:val="1"/>
                <w:color w:val="auto"/>
              </w:rPr>
              <w:t>Pro forma</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gridSpan w:val="2"/>
          </w:tcPr>
          <w:p>
            <w:pPr>
              <w:jc w:val="right"/>
              <w:ind w:right="39"/>
              <w:spacing w:after="0"/>
              <w:rPr>
                <w:sz w:val="20"/>
                <w:szCs w:val="20"/>
                <w:color w:val="auto"/>
              </w:rPr>
            </w:pPr>
            <w:r>
              <w:rPr>
                <w:rFonts w:ascii="Arial" w:cs="Arial" w:eastAsia="Arial" w:hAnsi="Arial"/>
                <w:sz w:val="16"/>
                <w:szCs w:val="16"/>
                <w:b w:val="1"/>
                <w:bCs w:val="1"/>
                <w:color w:val="auto"/>
              </w:rPr>
              <w:t>Pro forma</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gridSpan w:val="2"/>
          </w:tcPr>
          <w:p>
            <w:pPr>
              <w:jc w:val="right"/>
              <w:ind w:right="39"/>
              <w:spacing w:after="0"/>
              <w:rPr>
                <w:sz w:val="20"/>
                <w:szCs w:val="20"/>
                <w:color w:val="auto"/>
              </w:rPr>
            </w:pPr>
            <w:r>
              <w:rPr>
                <w:rFonts w:ascii="Arial" w:cs="Arial" w:eastAsia="Arial" w:hAnsi="Arial"/>
                <w:sz w:val="16"/>
                <w:szCs w:val="16"/>
                <w:b w:val="1"/>
                <w:bCs w:val="1"/>
                <w:color w:val="auto"/>
              </w:rPr>
              <w:t>Pro forma</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6"/>
                <w:szCs w:val="16"/>
                <w:b w:val="1"/>
                <w:bCs w:val="1"/>
                <w:color w:val="auto"/>
              </w:rPr>
              <w:t>Pro forma</w:t>
            </w:r>
          </w:p>
        </w:tc>
        <w:tc>
          <w:tcPr>
            <w:tcW w:w="140" w:type="dxa"/>
            <w:vAlign w:val="bottom"/>
            <w:tcBorders>
              <w:bottom w:val="single" w:sz="8" w:color="CCEEFF"/>
            </w:tcBorders>
          </w:tcPr>
          <w:p>
            <w:pPr>
              <w:spacing w:after="0"/>
              <w:rPr>
                <w:sz w:val="18"/>
                <w:szCs w:val="18"/>
                <w:color w:val="auto"/>
              </w:rPr>
            </w:pPr>
          </w:p>
        </w:tc>
      </w:tr>
      <w:tr>
        <w:trPr>
          <w:trHeight w:val="183"/>
        </w:trPr>
        <w:tc>
          <w:tcPr>
            <w:tcW w:w="336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Revenues</w:t>
            </w:r>
          </w:p>
        </w:tc>
        <w:tc>
          <w:tcPr>
            <w:tcW w:w="1140" w:type="dxa"/>
            <w:vAlign w:val="bottom"/>
            <w:gridSpan w:val="2"/>
            <w:shd w:val="clear" w:color="auto" w:fill="CCEEFF"/>
          </w:tcPr>
          <w:p>
            <w:pPr>
              <w:jc w:val="right"/>
              <w:spacing w:after="0" w:line="183" w:lineRule="exact"/>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164.9</w:t>
            </w:r>
          </w:p>
        </w:tc>
        <w:tc>
          <w:tcPr>
            <w:tcW w:w="80" w:type="dxa"/>
            <w:vAlign w:val="bottom"/>
            <w:shd w:val="clear" w:color="auto" w:fill="CCEEFF"/>
          </w:tcPr>
          <w:p>
            <w:pPr>
              <w:spacing w:after="0"/>
              <w:rPr>
                <w:sz w:val="15"/>
                <w:szCs w:val="15"/>
                <w:color w:val="auto"/>
              </w:rPr>
            </w:pPr>
          </w:p>
        </w:tc>
        <w:tc>
          <w:tcPr>
            <w:tcW w:w="420" w:type="dxa"/>
            <w:vAlign w:val="bottom"/>
            <w:gridSpan w:val="2"/>
            <w:shd w:val="clear" w:color="auto" w:fill="CCEEFF"/>
          </w:tcPr>
          <w:p>
            <w:pPr>
              <w:jc w:val="right"/>
              <w:ind w:right="119"/>
              <w:spacing w:after="0" w:line="183" w:lineRule="exact"/>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169.6</w:t>
            </w:r>
          </w:p>
        </w:tc>
        <w:tc>
          <w:tcPr>
            <w:tcW w:w="100" w:type="dxa"/>
            <w:vAlign w:val="bottom"/>
            <w:shd w:val="clear" w:color="auto" w:fill="CCEEFF"/>
          </w:tcPr>
          <w:p>
            <w:pPr>
              <w:spacing w:after="0"/>
              <w:rPr>
                <w:sz w:val="15"/>
                <w:szCs w:val="15"/>
                <w:color w:val="auto"/>
              </w:rPr>
            </w:pPr>
          </w:p>
        </w:tc>
        <w:tc>
          <w:tcPr>
            <w:tcW w:w="300" w:type="dxa"/>
            <w:vAlign w:val="bottom"/>
            <w:gridSpan w:val="2"/>
            <w:shd w:val="clear" w:color="auto" w:fill="CCEEFF"/>
          </w:tcPr>
          <w:p>
            <w:pPr>
              <w:ind w:left="120"/>
              <w:spacing w:after="0" w:line="183" w:lineRule="exact"/>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318.4</w:t>
            </w:r>
          </w:p>
        </w:tc>
        <w:tc>
          <w:tcPr>
            <w:tcW w:w="80" w:type="dxa"/>
            <w:vAlign w:val="bottom"/>
            <w:shd w:val="clear" w:color="auto" w:fill="CCEEFF"/>
          </w:tcPr>
          <w:p>
            <w:pPr>
              <w:spacing w:after="0"/>
              <w:rPr>
                <w:sz w:val="15"/>
                <w:szCs w:val="15"/>
                <w:color w:val="auto"/>
              </w:rPr>
            </w:pPr>
          </w:p>
        </w:tc>
        <w:tc>
          <w:tcPr>
            <w:tcW w:w="420" w:type="dxa"/>
            <w:vAlign w:val="bottom"/>
            <w:gridSpan w:val="2"/>
            <w:shd w:val="clear" w:color="auto" w:fill="CCEEFF"/>
          </w:tcPr>
          <w:p>
            <w:pPr>
              <w:jc w:val="right"/>
              <w:ind w:right="119"/>
              <w:spacing w:after="0" w:line="183" w:lineRule="exact"/>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326.4</w:t>
            </w:r>
          </w:p>
        </w:tc>
        <w:tc>
          <w:tcPr>
            <w:tcW w:w="140" w:type="dxa"/>
            <w:vAlign w:val="bottom"/>
            <w:shd w:val="clear" w:color="auto" w:fill="CCEEFF"/>
          </w:tcPr>
          <w:p>
            <w:pPr>
              <w:spacing w:after="0"/>
              <w:rPr>
                <w:sz w:val="15"/>
                <w:szCs w:val="15"/>
                <w:color w:val="auto"/>
              </w:rPr>
            </w:pPr>
          </w:p>
        </w:tc>
      </w:tr>
      <w:tr>
        <w:trPr>
          <w:trHeight w:val="189"/>
        </w:trPr>
        <w:tc>
          <w:tcPr>
            <w:tcW w:w="3360" w:type="dxa"/>
            <w:vAlign w:val="bottom"/>
          </w:tcPr>
          <w:p>
            <w:pPr>
              <w:spacing w:after="0"/>
              <w:rPr>
                <w:sz w:val="20"/>
                <w:szCs w:val="20"/>
                <w:color w:val="auto"/>
              </w:rPr>
            </w:pPr>
            <w:r>
              <w:rPr>
                <w:rFonts w:ascii="Arial" w:cs="Arial" w:eastAsia="Arial" w:hAnsi="Arial"/>
                <w:sz w:val="16"/>
                <w:szCs w:val="16"/>
                <w:color w:val="auto"/>
              </w:rPr>
              <w:t>Net earnings (loss)</w:t>
            </w: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3.5</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16.2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22.2</w:t>
            </w:r>
          </w:p>
        </w:tc>
        <w:tc>
          <w:tcPr>
            <w:tcW w:w="140" w:type="dxa"/>
            <w:vAlign w:val="bottom"/>
          </w:tcPr>
          <w:p>
            <w:pPr>
              <w:spacing w:after="0"/>
              <w:rPr>
                <w:sz w:val="16"/>
                <w:szCs w:val="16"/>
                <w:color w:val="auto"/>
              </w:rPr>
            </w:pPr>
          </w:p>
        </w:tc>
      </w:tr>
      <w:tr>
        <w:trPr>
          <w:trHeight w:val="189"/>
        </w:trPr>
        <w:tc>
          <w:tcPr>
            <w:tcW w:w="3360" w:type="dxa"/>
            <w:vAlign w:val="bottom"/>
            <w:shd w:val="clear" w:color="auto" w:fill="CCEEFF"/>
          </w:tcPr>
          <w:p>
            <w:pPr>
              <w:spacing w:after="0"/>
              <w:rPr>
                <w:sz w:val="20"/>
                <w:szCs w:val="20"/>
                <w:color w:val="auto"/>
              </w:rPr>
            </w:pPr>
            <w:r>
              <w:rPr>
                <w:rFonts w:ascii="Arial" w:cs="Arial" w:eastAsia="Arial" w:hAnsi="Arial"/>
                <w:sz w:val="16"/>
                <w:szCs w:val="16"/>
                <w:color w:val="auto"/>
              </w:rPr>
              <w:t>Earnings (loss) per diluted share</w:t>
            </w: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0.16</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0.73</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(0.05)</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40" w:type="dxa"/>
            <w:vAlign w:val="bottom"/>
            <w:shd w:val="clear" w:color="auto" w:fill="CCEEFF"/>
          </w:tcPr>
          <w:p>
            <w:pPr>
              <w:spacing w:after="0"/>
              <w:rPr>
                <w:sz w:val="16"/>
                <w:szCs w:val="16"/>
                <w:color w:val="auto"/>
              </w:rPr>
            </w:pPr>
          </w:p>
        </w:tc>
      </w:tr>
    </w:tbl>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40" w:right="1419" w:bottom="1440" w:gutter="0" w:footer="0" w:header="0"/>
        </w:sectPr>
      </w:pPr>
    </w:p>
    <w:bookmarkStart w:id="10" w:name="page11"/>
    <w:bookmarkEnd w:id="1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Note 4. </w:t>
      </w:r>
      <w:r>
        <w:rPr>
          <w:rFonts w:ascii="Arial" w:cs="Arial" w:eastAsia="Arial" w:hAnsi="Arial"/>
          <w:sz w:val="18"/>
          <w:szCs w:val="18"/>
          <w:u w:val="single" w:color="auto"/>
          <w:color w:val="auto"/>
        </w:rPr>
        <w:t>Property and Equipment, Net</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Property and equipment consist of the following:</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980" w:type="dxa"/>
            <w:vAlign w:val="bottom"/>
          </w:tcPr>
          <w:p>
            <w:pPr>
              <w:spacing w:after="0"/>
              <w:rPr>
                <w:sz w:val="16"/>
                <w:szCs w:val="16"/>
                <w:color w:val="auto"/>
              </w:rPr>
            </w:pPr>
          </w:p>
        </w:tc>
        <w:tc>
          <w:tcPr>
            <w:tcW w:w="880" w:type="dxa"/>
            <w:vAlign w:val="bottom"/>
          </w:tcPr>
          <w:p>
            <w:pPr>
              <w:jc w:val="right"/>
              <w:ind w:right="119"/>
              <w:spacing w:after="0"/>
              <w:rPr>
                <w:sz w:val="20"/>
                <w:szCs w:val="20"/>
                <w:color w:val="auto"/>
              </w:rPr>
            </w:pPr>
            <w:r>
              <w:rPr>
                <w:rFonts w:ascii="Arial" w:cs="Arial" w:eastAsia="Arial" w:hAnsi="Arial"/>
                <w:sz w:val="16"/>
                <w:szCs w:val="16"/>
                <w:b w:val="1"/>
                <w:bCs w:val="1"/>
                <w:color w:val="auto"/>
              </w:rPr>
              <w:t>Useful</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ind w:left="20"/>
              <w:spacing w:after="0"/>
              <w:rPr>
                <w:sz w:val="20"/>
                <w:szCs w:val="20"/>
                <w:color w:val="auto"/>
              </w:rPr>
            </w:pPr>
            <w:r>
              <w:rPr>
                <w:rFonts w:ascii="Arial" w:cs="Arial" w:eastAsia="Arial" w:hAnsi="Arial"/>
                <w:sz w:val="16"/>
                <w:szCs w:val="16"/>
                <w:b w:val="1"/>
                <w:bCs w:val="1"/>
                <w:color w:val="auto"/>
              </w:rPr>
              <w:t>July 31,</w:t>
            </w:r>
          </w:p>
        </w:tc>
        <w:tc>
          <w:tcPr>
            <w:tcW w:w="920" w:type="dxa"/>
            <w:vAlign w:val="bottom"/>
            <w:gridSpan w:val="2"/>
          </w:tcPr>
          <w:p>
            <w:pPr>
              <w:spacing w:after="0"/>
              <w:rPr>
                <w:sz w:val="20"/>
                <w:szCs w:val="20"/>
                <w:color w:val="auto"/>
              </w:rPr>
            </w:pPr>
            <w:r>
              <w:rPr>
                <w:rFonts w:ascii="Arial" w:cs="Arial" w:eastAsia="Arial" w:hAnsi="Arial"/>
                <w:sz w:val="16"/>
                <w:szCs w:val="16"/>
                <w:b w:val="1"/>
                <w:bCs w:val="1"/>
                <w:color w:val="auto"/>
              </w:rPr>
              <w:t>January 31,</w:t>
            </w:r>
          </w:p>
        </w:tc>
      </w:tr>
      <w:tr>
        <w:trPr>
          <w:trHeight w:val="207"/>
        </w:trPr>
        <w:tc>
          <w:tcPr>
            <w:tcW w:w="598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98"/>
              </w:rPr>
              <w:t>Life (Years)</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2019</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2019</w:t>
            </w:r>
          </w:p>
        </w:tc>
      </w:tr>
      <w:tr>
        <w:trPr>
          <w:trHeight w:val="183"/>
        </w:trPr>
        <w:tc>
          <w:tcPr>
            <w:tcW w:w="598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Land, buildings and improvements</w:t>
            </w:r>
          </w:p>
        </w:tc>
        <w:tc>
          <w:tcPr>
            <w:tcW w:w="880" w:type="dxa"/>
            <w:vAlign w:val="bottom"/>
            <w:shd w:val="clear" w:color="auto" w:fill="CCEEFF"/>
          </w:tcPr>
          <w:p>
            <w:pPr>
              <w:jc w:val="right"/>
              <w:ind w:right="99"/>
              <w:spacing w:after="0" w:line="183" w:lineRule="exact"/>
              <w:rPr>
                <w:sz w:val="20"/>
                <w:szCs w:val="20"/>
                <w:color w:val="auto"/>
              </w:rPr>
            </w:pPr>
            <w:r>
              <w:rPr>
                <w:rFonts w:ascii="Arial" w:cs="Arial" w:eastAsia="Arial" w:hAnsi="Arial"/>
                <w:sz w:val="16"/>
                <w:szCs w:val="16"/>
                <w:color w:val="auto"/>
              </w:rPr>
              <w:t>1 - 40</w:t>
            </w:r>
          </w:p>
        </w:tc>
        <w:tc>
          <w:tcPr>
            <w:tcW w:w="300" w:type="dxa"/>
            <w:vAlign w:val="bottom"/>
            <w:gridSpan w:val="2"/>
            <w:shd w:val="clear" w:color="auto" w:fill="CCEEFF"/>
          </w:tcPr>
          <w:p>
            <w:pPr>
              <w:jc w:val="right"/>
              <w:ind w:right="20"/>
              <w:spacing w:after="0" w:line="183" w:lineRule="exact"/>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36.4</w:t>
            </w:r>
          </w:p>
        </w:tc>
        <w:tc>
          <w:tcPr>
            <w:tcW w:w="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32.3</w:t>
            </w:r>
          </w:p>
        </w:tc>
      </w:tr>
      <w:tr>
        <w:trPr>
          <w:trHeight w:val="189"/>
        </w:trPr>
        <w:tc>
          <w:tcPr>
            <w:tcW w:w="5980" w:type="dxa"/>
            <w:vAlign w:val="bottom"/>
          </w:tcPr>
          <w:p>
            <w:pPr>
              <w:spacing w:after="0"/>
              <w:rPr>
                <w:sz w:val="20"/>
                <w:szCs w:val="20"/>
                <w:color w:val="auto"/>
              </w:rPr>
            </w:pPr>
            <w:r>
              <w:rPr>
                <w:rFonts w:ascii="Arial" w:cs="Arial" w:eastAsia="Arial" w:hAnsi="Arial"/>
                <w:sz w:val="16"/>
                <w:szCs w:val="16"/>
                <w:color w:val="auto"/>
              </w:rPr>
              <w:t>Machinery</w:t>
            </w:r>
          </w:p>
        </w:tc>
        <w:tc>
          <w:tcPr>
            <w:tcW w:w="880" w:type="dxa"/>
            <w:vAlign w:val="bottom"/>
          </w:tcPr>
          <w:p>
            <w:pPr>
              <w:jc w:val="right"/>
              <w:ind w:right="99"/>
              <w:spacing w:after="0"/>
              <w:rPr>
                <w:sz w:val="20"/>
                <w:szCs w:val="20"/>
                <w:color w:val="auto"/>
              </w:rPr>
            </w:pPr>
            <w:r>
              <w:rPr>
                <w:rFonts w:ascii="Arial" w:cs="Arial" w:eastAsia="Arial" w:hAnsi="Arial"/>
                <w:sz w:val="16"/>
                <w:szCs w:val="16"/>
                <w:color w:val="auto"/>
              </w:rPr>
              <w:t>1 - 20</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256.9</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202.2</w:t>
            </w:r>
          </w:p>
        </w:tc>
      </w:tr>
      <w:tr>
        <w:trPr>
          <w:trHeight w:val="189"/>
        </w:trPr>
        <w:tc>
          <w:tcPr>
            <w:tcW w:w="5980" w:type="dxa"/>
            <w:vAlign w:val="bottom"/>
            <w:shd w:val="clear" w:color="auto" w:fill="CCEEFF"/>
          </w:tcPr>
          <w:p>
            <w:pPr>
              <w:spacing w:after="0"/>
              <w:rPr>
                <w:sz w:val="20"/>
                <w:szCs w:val="20"/>
                <w:color w:val="auto"/>
              </w:rPr>
            </w:pPr>
            <w:r>
              <w:rPr>
                <w:rFonts w:ascii="Arial" w:cs="Arial" w:eastAsia="Arial" w:hAnsi="Arial"/>
                <w:sz w:val="16"/>
                <w:szCs w:val="16"/>
                <w:color w:val="auto"/>
              </w:rPr>
              <w:t>Furniture and equipment</w:t>
            </w:r>
          </w:p>
        </w:tc>
        <w:tc>
          <w:tcPr>
            <w:tcW w:w="8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1 - 10</w:t>
            </w:r>
          </w:p>
        </w:tc>
        <w:tc>
          <w:tcPr>
            <w:tcW w:w="2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214.9</w:t>
            </w:r>
          </w:p>
        </w:tc>
        <w:tc>
          <w:tcPr>
            <w:tcW w:w="2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190.1</w:t>
            </w:r>
          </w:p>
        </w:tc>
      </w:tr>
      <w:tr>
        <w:trPr>
          <w:trHeight w:val="183"/>
        </w:trPr>
        <w:tc>
          <w:tcPr>
            <w:tcW w:w="59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spacing w:after="0" w:line="183" w:lineRule="exact"/>
              <w:rPr>
                <w:sz w:val="20"/>
                <w:szCs w:val="20"/>
                <w:color w:val="auto"/>
              </w:rPr>
            </w:pPr>
            <w:r>
              <w:rPr>
                <w:rFonts w:ascii="Arial" w:cs="Arial" w:eastAsia="Arial" w:hAnsi="Arial"/>
                <w:sz w:val="16"/>
                <w:szCs w:val="16"/>
                <w:color w:val="auto"/>
              </w:rPr>
              <w:t>508.2</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spacing w:after="0" w:line="183" w:lineRule="exact"/>
              <w:rPr>
                <w:sz w:val="20"/>
                <w:szCs w:val="20"/>
                <w:color w:val="auto"/>
              </w:rPr>
            </w:pPr>
            <w:r>
              <w:rPr>
                <w:rFonts w:ascii="Arial" w:cs="Arial" w:eastAsia="Arial" w:hAnsi="Arial"/>
                <w:sz w:val="16"/>
                <w:szCs w:val="16"/>
                <w:color w:val="auto"/>
              </w:rPr>
              <w:t>424.6</w:t>
            </w:r>
          </w:p>
        </w:tc>
      </w:tr>
      <w:tr>
        <w:trPr>
          <w:trHeight w:val="189"/>
        </w:trPr>
        <w:tc>
          <w:tcPr>
            <w:tcW w:w="5980" w:type="dxa"/>
            <w:vAlign w:val="bottom"/>
            <w:shd w:val="clear" w:color="auto" w:fill="CCEEFF"/>
          </w:tcPr>
          <w:p>
            <w:pPr>
              <w:spacing w:after="0"/>
              <w:rPr>
                <w:sz w:val="20"/>
                <w:szCs w:val="20"/>
                <w:color w:val="auto"/>
              </w:rPr>
            </w:pPr>
            <w:r>
              <w:rPr>
                <w:rFonts w:ascii="Arial" w:cs="Arial" w:eastAsia="Arial" w:hAnsi="Arial"/>
                <w:sz w:val="16"/>
                <w:szCs w:val="16"/>
                <w:color w:val="auto"/>
              </w:rPr>
              <w:t>Less accumulated depreciation</w:t>
            </w:r>
          </w:p>
        </w:tc>
        <w:tc>
          <w:tcPr>
            <w:tcW w:w="8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178.5</w:t>
            </w:r>
          </w:p>
        </w:tc>
        <w:tc>
          <w:tcPr>
            <w:tcW w:w="2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152.7</w:t>
            </w:r>
          </w:p>
        </w:tc>
      </w:tr>
      <w:tr>
        <w:trPr>
          <w:trHeight w:val="183"/>
        </w:trPr>
        <w:tc>
          <w:tcPr>
            <w:tcW w:w="59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00" w:type="dxa"/>
            <w:vAlign w:val="bottom"/>
            <w:gridSpan w:val="2"/>
          </w:tcPr>
          <w:p>
            <w:pPr>
              <w:jc w:val="right"/>
              <w:ind w:right="20"/>
              <w:spacing w:after="0" w:line="183" w:lineRule="exact"/>
              <w:rPr>
                <w:sz w:val="20"/>
                <w:szCs w:val="20"/>
                <w:color w:val="auto"/>
              </w:rPr>
            </w:pPr>
            <w:r>
              <w:rPr>
                <w:rFonts w:ascii="Arial" w:cs="Arial" w:eastAsia="Arial" w:hAnsi="Arial"/>
                <w:sz w:val="16"/>
                <w:szCs w:val="16"/>
                <w:color w:val="auto"/>
              </w:rPr>
              <w:t>$</w:t>
            </w:r>
          </w:p>
        </w:tc>
        <w:tc>
          <w:tcPr>
            <w:tcW w:w="780" w:type="dxa"/>
            <w:vAlign w:val="bottom"/>
          </w:tcPr>
          <w:p>
            <w:pPr>
              <w:jc w:val="right"/>
              <w:spacing w:after="0" w:line="183" w:lineRule="exact"/>
              <w:rPr>
                <w:sz w:val="20"/>
                <w:szCs w:val="20"/>
                <w:color w:val="auto"/>
              </w:rPr>
            </w:pPr>
            <w:r>
              <w:rPr>
                <w:rFonts w:ascii="Arial" w:cs="Arial" w:eastAsia="Arial" w:hAnsi="Arial"/>
                <w:sz w:val="16"/>
                <w:szCs w:val="16"/>
                <w:color w:val="auto"/>
              </w:rPr>
              <w:t>329.7</w:t>
            </w:r>
          </w:p>
        </w:tc>
        <w:tc>
          <w:tcPr>
            <w:tcW w:w="200" w:type="dxa"/>
            <w:vAlign w:val="bottom"/>
          </w:tcPr>
          <w:p>
            <w:pPr>
              <w:spacing w:after="0"/>
              <w:rPr>
                <w:sz w:val="15"/>
                <w:szCs w:val="15"/>
                <w:color w:val="auto"/>
              </w:rPr>
            </w:pPr>
          </w:p>
        </w:tc>
        <w:tc>
          <w:tcPr>
            <w:tcW w:w="180" w:type="dxa"/>
            <w:vAlign w:val="bottom"/>
          </w:tcPr>
          <w:p>
            <w:pPr>
              <w:spacing w:after="0" w:line="183" w:lineRule="exact"/>
              <w:rPr>
                <w:sz w:val="20"/>
                <w:szCs w:val="20"/>
                <w:color w:val="auto"/>
              </w:rPr>
            </w:pPr>
            <w:r>
              <w:rPr>
                <w:rFonts w:ascii="Arial" w:cs="Arial" w:eastAsia="Arial" w:hAnsi="Arial"/>
                <w:sz w:val="16"/>
                <w:szCs w:val="16"/>
                <w:color w:val="auto"/>
              </w:rPr>
              <w:t>$</w:t>
            </w:r>
          </w:p>
        </w:tc>
        <w:tc>
          <w:tcPr>
            <w:tcW w:w="740" w:type="dxa"/>
            <w:vAlign w:val="bottom"/>
          </w:tcPr>
          <w:p>
            <w:pPr>
              <w:jc w:val="right"/>
              <w:spacing w:after="0" w:line="183" w:lineRule="exact"/>
              <w:rPr>
                <w:sz w:val="20"/>
                <w:szCs w:val="20"/>
                <w:color w:val="auto"/>
              </w:rPr>
            </w:pPr>
            <w:r>
              <w:rPr>
                <w:rFonts w:ascii="Arial" w:cs="Arial" w:eastAsia="Arial" w:hAnsi="Arial"/>
                <w:sz w:val="16"/>
                <w:szCs w:val="16"/>
                <w:color w:val="auto"/>
              </w:rPr>
              <w:t>271.9</w:t>
            </w:r>
          </w:p>
        </w:tc>
      </w:tr>
      <w:tr>
        <w:trPr>
          <w:trHeight w:val="27"/>
        </w:trPr>
        <w:tc>
          <w:tcPr>
            <w:tcW w:w="59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r>
    </w:tbl>
    <w:p>
      <w:pPr>
        <w:spacing w:after="0" w:line="202" w:lineRule="exact"/>
        <w:rPr>
          <w:sz w:val="20"/>
          <w:szCs w:val="20"/>
          <w:color w:val="auto"/>
        </w:rPr>
      </w:pPr>
    </w:p>
    <w:p>
      <w:pPr>
        <w:ind w:right="860" w:firstLine="648"/>
        <w:spacing w:after="0" w:line="246" w:lineRule="auto"/>
        <w:rPr>
          <w:sz w:val="20"/>
          <w:szCs w:val="20"/>
          <w:color w:val="auto"/>
        </w:rPr>
      </w:pPr>
      <w:r>
        <w:rPr>
          <w:rFonts w:ascii="Arial" w:cs="Arial" w:eastAsia="Arial" w:hAnsi="Arial"/>
          <w:sz w:val="18"/>
          <w:szCs w:val="18"/>
          <w:color w:val="auto"/>
        </w:rPr>
        <w:t>Depreciation expense was $15.4 and $9.3 for the three months ended July 31, 2019 and 2018, respectively, and $29.4 and $18.1 for the six months ended July 31, 2019 and 2018, respectively.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Note 5. </w:t>
      </w:r>
      <w:r>
        <w:rPr>
          <w:rFonts w:ascii="Arial" w:cs="Arial" w:eastAsia="Arial" w:hAnsi="Arial"/>
          <w:sz w:val="18"/>
          <w:szCs w:val="18"/>
          <w:u w:val="single" w:color="auto"/>
          <w:color w:val="auto"/>
        </w:rPr>
        <w:t>Goodwill and Long-Lived Assets, Net</w:t>
      </w:r>
    </w:p>
    <w:p>
      <w:pPr>
        <w:spacing w:after="0" w:line="212" w:lineRule="exact"/>
        <w:rPr>
          <w:sz w:val="20"/>
          <w:szCs w:val="20"/>
          <w:color w:val="auto"/>
        </w:rPr>
      </w:pPr>
    </w:p>
    <w:p>
      <w:pPr>
        <w:ind w:right="360" w:firstLine="648"/>
        <w:spacing w:after="0" w:line="246" w:lineRule="auto"/>
        <w:rPr>
          <w:sz w:val="20"/>
          <w:szCs w:val="20"/>
          <w:color w:val="auto"/>
        </w:rPr>
      </w:pPr>
      <w:r>
        <w:rPr>
          <w:rFonts w:ascii="Arial" w:cs="Arial" w:eastAsia="Arial" w:hAnsi="Arial"/>
          <w:sz w:val="18"/>
          <w:szCs w:val="18"/>
          <w:color w:val="auto"/>
        </w:rPr>
        <w:t>The following sets forth the intangible assets by major asset class, all of which were acquired through business purchase transactions: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160" w:type="dxa"/>
            <w:vAlign w:val="bottom"/>
          </w:tcPr>
          <w:p>
            <w:pPr>
              <w:spacing w:after="0"/>
              <w:rPr>
                <w:sz w:val="18"/>
                <w:szCs w:val="18"/>
                <w:color w:val="auto"/>
              </w:rPr>
            </w:pPr>
          </w:p>
        </w:tc>
        <w:tc>
          <w:tcPr>
            <w:tcW w:w="94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Useful Life</w:t>
            </w:r>
          </w:p>
        </w:tc>
        <w:tc>
          <w:tcPr>
            <w:tcW w:w="2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July 31, 2019</w:t>
            </w:r>
          </w:p>
        </w:tc>
        <w:tc>
          <w:tcPr>
            <w:tcW w:w="1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4"/>
          </w:tcPr>
          <w:p>
            <w:pPr>
              <w:ind w:left="100"/>
              <w:spacing w:after="0"/>
              <w:rPr>
                <w:sz w:val="20"/>
                <w:szCs w:val="20"/>
                <w:color w:val="auto"/>
              </w:rPr>
            </w:pPr>
            <w:r>
              <w:rPr>
                <w:rFonts w:ascii="Arial" w:cs="Arial" w:eastAsia="Arial" w:hAnsi="Arial"/>
                <w:sz w:val="16"/>
                <w:szCs w:val="16"/>
                <w:b w:val="1"/>
                <w:bCs w:val="1"/>
                <w:color w:val="auto"/>
                <w:w w:val="99"/>
              </w:rPr>
              <w:t>January 31, 2019</w:t>
            </w: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216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gridSpan w:val="2"/>
          </w:tcPr>
          <w:p>
            <w:pPr>
              <w:jc w:val="right"/>
              <w:spacing w:after="0" w:line="165" w:lineRule="exact"/>
              <w:rPr>
                <w:sz w:val="20"/>
                <w:szCs w:val="20"/>
                <w:color w:val="auto"/>
              </w:rPr>
            </w:pPr>
            <w:r>
              <w:rPr>
                <w:rFonts w:ascii="Arial" w:cs="Arial" w:eastAsia="Arial" w:hAnsi="Arial"/>
                <w:sz w:val="16"/>
                <w:szCs w:val="16"/>
                <w:b w:val="1"/>
                <w:bCs w:val="1"/>
                <w:color w:val="auto"/>
              </w:rPr>
              <w:t>Original</w:t>
            </w:r>
          </w:p>
        </w:tc>
        <w:tc>
          <w:tcPr>
            <w:tcW w:w="180" w:type="dxa"/>
            <w:vAlign w:val="bottom"/>
          </w:tcPr>
          <w:p>
            <w:pPr>
              <w:spacing w:after="0"/>
              <w:rPr>
                <w:sz w:val="14"/>
                <w:szCs w:val="14"/>
                <w:color w:val="auto"/>
              </w:rPr>
            </w:pPr>
          </w:p>
        </w:tc>
        <w:tc>
          <w:tcPr>
            <w:tcW w:w="1080" w:type="dxa"/>
            <w:vAlign w:val="bottom"/>
            <w:gridSpan w:val="2"/>
          </w:tcPr>
          <w:p>
            <w:pPr>
              <w:jc w:val="right"/>
              <w:spacing w:after="0" w:line="165" w:lineRule="exact"/>
              <w:rPr>
                <w:sz w:val="20"/>
                <w:szCs w:val="20"/>
                <w:color w:val="auto"/>
              </w:rPr>
            </w:pPr>
            <w:r>
              <w:rPr>
                <w:rFonts w:ascii="Arial" w:cs="Arial" w:eastAsia="Arial" w:hAnsi="Arial"/>
                <w:sz w:val="16"/>
                <w:szCs w:val="16"/>
                <w:b w:val="1"/>
                <w:bCs w:val="1"/>
                <w:color w:val="auto"/>
              </w:rPr>
              <w:t>Accumulated</w:t>
            </w:r>
          </w:p>
        </w:tc>
        <w:tc>
          <w:tcPr>
            <w:tcW w:w="180" w:type="dxa"/>
            <w:vAlign w:val="bottom"/>
          </w:tcPr>
          <w:p>
            <w:pPr>
              <w:spacing w:after="0"/>
              <w:rPr>
                <w:sz w:val="14"/>
                <w:szCs w:val="14"/>
                <w:color w:val="auto"/>
              </w:rPr>
            </w:pPr>
          </w:p>
        </w:tc>
        <w:tc>
          <w:tcPr>
            <w:tcW w:w="720" w:type="dxa"/>
            <w:vAlign w:val="bottom"/>
            <w:gridSpan w:val="2"/>
          </w:tcPr>
          <w:p>
            <w:pPr>
              <w:spacing w:after="0" w:line="165" w:lineRule="exact"/>
              <w:rPr>
                <w:sz w:val="20"/>
                <w:szCs w:val="20"/>
                <w:color w:val="auto"/>
              </w:rPr>
            </w:pPr>
            <w:r>
              <w:rPr>
                <w:rFonts w:ascii="Arial" w:cs="Arial" w:eastAsia="Arial" w:hAnsi="Arial"/>
                <w:sz w:val="16"/>
                <w:szCs w:val="16"/>
                <w:b w:val="1"/>
                <w:bCs w:val="1"/>
                <w:color w:val="auto"/>
                <w:w w:val="99"/>
              </w:rPr>
              <w:t>Net Book</w:t>
            </w:r>
          </w:p>
        </w:tc>
        <w:tc>
          <w:tcPr>
            <w:tcW w:w="180" w:type="dxa"/>
            <w:vAlign w:val="bottom"/>
          </w:tcPr>
          <w:p>
            <w:pPr>
              <w:spacing w:after="0"/>
              <w:rPr>
                <w:sz w:val="14"/>
                <w:szCs w:val="14"/>
                <w:color w:val="auto"/>
              </w:rPr>
            </w:pPr>
          </w:p>
        </w:tc>
        <w:tc>
          <w:tcPr>
            <w:tcW w:w="640" w:type="dxa"/>
            <w:vAlign w:val="bottom"/>
            <w:gridSpan w:val="2"/>
          </w:tcPr>
          <w:p>
            <w:pPr>
              <w:spacing w:after="0" w:line="165" w:lineRule="exact"/>
              <w:rPr>
                <w:sz w:val="20"/>
                <w:szCs w:val="20"/>
                <w:color w:val="auto"/>
              </w:rPr>
            </w:pPr>
            <w:r>
              <w:rPr>
                <w:rFonts w:ascii="Arial" w:cs="Arial" w:eastAsia="Arial" w:hAnsi="Arial"/>
                <w:sz w:val="16"/>
                <w:szCs w:val="16"/>
                <w:b w:val="1"/>
                <w:bCs w:val="1"/>
                <w:color w:val="auto"/>
              </w:rPr>
              <w:t>Original</w:t>
            </w:r>
          </w:p>
        </w:tc>
        <w:tc>
          <w:tcPr>
            <w:tcW w:w="160" w:type="dxa"/>
            <w:vAlign w:val="bottom"/>
          </w:tcPr>
          <w:p>
            <w:pPr>
              <w:spacing w:after="0"/>
              <w:rPr>
                <w:sz w:val="14"/>
                <w:szCs w:val="14"/>
                <w:color w:val="auto"/>
              </w:rPr>
            </w:pPr>
          </w:p>
        </w:tc>
        <w:tc>
          <w:tcPr>
            <w:tcW w:w="1240" w:type="dxa"/>
            <w:vAlign w:val="bottom"/>
            <w:gridSpan w:val="3"/>
          </w:tcPr>
          <w:p>
            <w:pPr>
              <w:ind w:left="40"/>
              <w:spacing w:after="0" w:line="165" w:lineRule="exact"/>
              <w:rPr>
                <w:sz w:val="20"/>
                <w:szCs w:val="20"/>
                <w:color w:val="auto"/>
              </w:rPr>
            </w:pPr>
            <w:r>
              <w:rPr>
                <w:rFonts w:ascii="Arial" w:cs="Arial" w:eastAsia="Arial" w:hAnsi="Arial"/>
                <w:sz w:val="16"/>
                <w:szCs w:val="16"/>
                <w:b w:val="1"/>
                <w:bCs w:val="1"/>
                <w:color w:val="auto"/>
              </w:rPr>
              <w:t>Accumulated</w:t>
            </w:r>
          </w:p>
        </w:tc>
        <w:tc>
          <w:tcPr>
            <w:tcW w:w="720" w:type="dxa"/>
            <w:vAlign w:val="bottom"/>
            <w:gridSpan w:val="2"/>
          </w:tcPr>
          <w:p>
            <w:pPr>
              <w:ind w:left="20"/>
              <w:spacing w:after="0" w:line="165" w:lineRule="exact"/>
              <w:rPr>
                <w:sz w:val="20"/>
                <w:szCs w:val="20"/>
                <w:color w:val="auto"/>
              </w:rPr>
            </w:pPr>
            <w:r>
              <w:rPr>
                <w:rFonts w:ascii="Arial" w:cs="Arial" w:eastAsia="Arial" w:hAnsi="Arial"/>
                <w:sz w:val="16"/>
                <w:szCs w:val="16"/>
                <w:b w:val="1"/>
                <w:bCs w:val="1"/>
                <w:color w:val="auto"/>
                <w:w w:val="96"/>
              </w:rPr>
              <w:t>Net Book</w:t>
            </w:r>
          </w:p>
        </w:tc>
        <w:tc>
          <w:tcPr>
            <w:tcW w:w="0" w:type="dxa"/>
            <w:vAlign w:val="bottom"/>
          </w:tcPr>
          <w:p>
            <w:pPr>
              <w:spacing w:after="0"/>
              <w:rPr>
                <w:sz w:val="1"/>
                <w:szCs w:val="1"/>
                <w:color w:val="auto"/>
              </w:rPr>
            </w:pPr>
          </w:p>
        </w:tc>
      </w:tr>
      <w:tr>
        <w:trPr>
          <w:trHeight w:val="207"/>
        </w:trPr>
        <w:tc>
          <w:tcPr>
            <w:tcW w:w="216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6"/>
                <w:szCs w:val="16"/>
                <w:b w:val="1"/>
                <w:bCs w:val="1"/>
                <w:color w:val="auto"/>
                <w:w w:val="99"/>
              </w:rPr>
              <w:t>(Years)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ind w:right="79"/>
              <w:spacing w:after="0"/>
              <w:rPr>
                <w:sz w:val="20"/>
                <w:szCs w:val="20"/>
                <w:color w:val="auto"/>
              </w:rPr>
            </w:pPr>
            <w:r>
              <w:rPr>
                <w:rFonts w:ascii="Arial" w:cs="Arial" w:eastAsia="Arial" w:hAnsi="Arial"/>
                <w:sz w:val="16"/>
                <w:szCs w:val="16"/>
                <w:b w:val="1"/>
                <w:bCs w:val="1"/>
                <w:color w:val="auto"/>
              </w:rPr>
              <w:t>Cost</w:t>
            </w:r>
          </w:p>
        </w:tc>
        <w:tc>
          <w:tcPr>
            <w:tcW w:w="18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6"/>
                <w:szCs w:val="16"/>
                <w:b w:val="1"/>
                <w:bCs w:val="1"/>
                <w:color w:val="auto"/>
              </w:rPr>
              <w:t>Amortization</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ind w:right="79"/>
              <w:spacing w:after="0"/>
              <w:rPr>
                <w:sz w:val="20"/>
                <w:szCs w:val="20"/>
                <w:color w:val="auto"/>
              </w:rPr>
            </w:pPr>
            <w:r>
              <w:rPr>
                <w:rFonts w:ascii="Arial" w:cs="Arial" w:eastAsia="Arial" w:hAnsi="Arial"/>
                <w:sz w:val="16"/>
                <w:szCs w:val="16"/>
                <w:b w:val="1"/>
                <w:bCs w:val="1"/>
                <w:color w:val="auto"/>
                <w:w w:val="98"/>
              </w:rPr>
              <w:t>Value</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ind w:right="59"/>
              <w:spacing w:after="0"/>
              <w:rPr>
                <w:sz w:val="20"/>
                <w:szCs w:val="20"/>
                <w:color w:val="auto"/>
              </w:rPr>
            </w:pPr>
            <w:r>
              <w:rPr>
                <w:rFonts w:ascii="Arial" w:cs="Arial" w:eastAsia="Arial" w:hAnsi="Arial"/>
                <w:sz w:val="16"/>
                <w:szCs w:val="16"/>
                <w:b w:val="1"/>
                <w:bCs w:val="1"/>
                <w:color w:val="auto"/>
              </w:rPr>
              <w:t>Cost</w:t>
            </w:r>
          </w:p>
        </w:tc>
        <w:tc>
          <w:tcPr>
            <w:tcW w:w="160" w:type="dxa"/>
            <w:vAlign w:val="bottom"/>
          </w:tcPr>
          <w:p>
            <w:pPr>
              <w:spacing w:after="0"/>
              <w:rPr>
                <w:sz w:val="18"/>
                <w:szCs w:val="18"/>
                <w:color w:val="auto"/>
              </w:rPr>
            </w:pPr>
          </w:p>
        </w:tc>
        <w:tc>
          <w:tcPr>
            <w:tcW w:w="1240" w:type="dxa"/>
            <w:vAlign w:val="bottom"/>
            <w:gridSpan w:val="3"/>
          </w:tcPr>
          <w:p>
            <w:pPr>
              <w:ind w:left="40"/>
              <w:spacing w:after="0"/>
              <w:rPr>
                <w:sz w:val="20"/>
                <w:szCs w:val="20"/>
                <w:color w:val="auto"/>
              </w:rPr>
            </w:pPr>
            <w:r>
              <w:rPr>
                <w:rFonts w:ascii="Arial" w:cs="Arial" w:eastAsia="Arial" w:hAnsi="Arial"/>
                <w:sz w:val="16"/>
                <w:szCs w:val="16"/>
                <w:b w:val="1"/>
                <w:bCs w:val="1"/>
                <w:color w:val="auto"/>
              </w:rPr>
              <w:t>Amortization</w:t>
            </w:r>
          </w:p>
        </w:tc>
        <w:tc>
          <w:tcPr>
            <w:tcW w:w="120" w:type="dxa"/>
            <w:vAlign w:val="bottom"/>
          </w:tcPr>
          <w:p>
            <w:pPr>
              <w:spacing w:after="0"/>
              <w:rPr>
                <w:sz w:val="18"/>
                <w:szCs w:val="18"/>
                <w:color w:val="auto"/>
              </w:rPr>
            </w:pPr>
          </w:p>
        </w:tc>
        <w:tc>
          <w:tcPr>
            <w:tcW w:w="600" w:type="dxa"/>
            <w:vAlign w:val="bottom"/>
          </w:tcPr>
          <w:p>
            <w:pPr>
              <w:jc w:val="right"/>
              <w:ind w:right="59"/>
              <w:spacing w:after="0"/>
              <w:rPr>
                <w:sz w:val="20"/>
                <w:szCs w:val="20"/>
                <w:color w:val="auto"/>
              </w:rPr>
            </w:pPr>
            <w:r>
              <w:rPr>
                <w:rFonts w:ascii="Arial" w:cs="Arial" w:eastAsia="Arial" w:hAnsi="Arial"/>
                <w:sz w:val="16"/>
                <w:szCs w:val="16"/>
                <w:b w:val="1"/>
                <w:bCs w:val="1"/>
                <w:color w:val="auto"/>
              </w:rPr>
              <w:t>Value</w:t>
            </w:r>
          </w:p>
        </w:tc>
        <w:tc>
          <w:tcPr>
            <w:tcW w:w="0" w:type="dxa"/>
            <w:vAlign w:val="bottom"/>
          </w:tcPr>
          <w:p>
            <w:pPr>
              <w:spacing w:after="0"/>
              <w:rPr>
                <w:sz w:val="1"/>
                <w:szCs w:val="1"/>
                <w:color w:val="auto"/>
              </w:rPr>
            </w:pPr>
          </w:p>
        </w:tc>
      </w:tr>
      <w:tr>
        <w:trPr>
          <w:trHeight w:val="171"/>
        </w:trPr>
        <w:tc>
          <w:tcPr>
            <w:tcW w:w="2160" w:type="dxa"/>
            <w:vAlign w:val="bottom"/>
            <w:tcBorders>
              <w:top w:val="single" w:sz="8" w:color="CCEEFF"/>
            </w:tcBorders>
            <w:shd w:val="clear" w:color="auto" w:fill="CCEEFF"/>
          </w:tcPr>
          <w:p>
            <w:pPr>
              <w:spacing w:after="0" w:line="171" w:lineRule="exact"/>
              <w:rPr>
                <w:sz w:val="20"/>
                <w:szCs w:val="20"/>
                <w:color w:val="auto"/>
              </w:rPr>
            </w:pPr>
            <w:r>
              <w:rPr>
                <w:rFonts w:ascii="Arial" w:cs="Arial" w:eastAsia="Arial" w:hAnsi="Arial"/>
                <w:sz w:val="16"/>
                <w:szCs w:val="16"/>
                <w:color w:val="auto"/>
              </w:rPr>
              <w:t>Customer contracts and</w:t>
            </w:r>
          </w:p>
        </w:tc>
        <w:tc>
          <w:tcPr>
            <w:tcW w:w="94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2160" w:type="dxa"/>
            <w:vAlign w:val="bottom"/>
            <w:shd w:val="clear" w:color="auto" w:fill="CCEEFF"/>
          </w:tcPr>
          <w:p>
            <w:pPr>
              <w:spacing w:after="0"/>
              <w:rPr>
                <w:sz w:val="20"/>
                <w:szCs w:val="20"/>
                <w:color w:val="auto"/>
              </w:rPr>
            </w:pPr>
            <w:r>
              <w:rPr>
                <w:rFonts w:ascii="Arial" w:cs="Arial" w:eastAsia="Arial" w:hAnsi="Arial"/>
                <w:sz w:val="16"/>
                <w:szCs w:val="16"/>
                <w:color w:val="auto"/>
              </w:rPr>
              <w:t>relationships</w:t>
            </w:r>
          </w:p>
        </w:tc>
        <w:tc>
          <w:tcPr>
            <w:tcW w:w="9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20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43.0</w:t>
            </w:r>
          </w:p>
        </w:tc>
        <w:tc>
          <w:tcPr>
            <w:tcW w:w="620" w:type="dxa"/>
            <w:vAlign w:val="bottom"/>
            <w:gridSpan w:val="2"/>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41.8</w:t>
            </w: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24.9</w:t>
            </w:r>
          </w:p>
        </w:tc>
        <w:tc>
          <w:tcPr>
            <w:tcW w:w="600" w:type="dxa"/>
            <w:vAlign w:val="bottom"/>
            <w:gridSpan w:val="2"/>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24.6</w:t>
            </w:r>
          </w:p>
        </w:tc>
        <w:tc>
          <w:tcPr>
            <w:tcW w:w="0" w:type="dxa"/>
            <w:vAlign w:val="bottom"/>
          </w:tcPr>
          <w:p>
            <w:pPr>
              <w:spacing w:after="0"/>
              <w:rPr>
                <w:sz w:val="1"/>
                <w:szCs w:val="1"/>
                <w:color w:val="auto"/>
              </w:rPr>
            </w:pPr>
          </w:p>
        </w:tc>
      </w:tr>
      <w:tr>
        <w:trPr>
          <w:trHeight w:val="189"/>
        </w:trPr>
        <w:tc>
          <w:tcPr>
            <w:tcW w:w="2160" w:type="dxa"/>
            <w:vAlign w:val="bottom"/>
          </w:tcPr>
          <w:p>
            <w:pPr>
              <w:spacing w:after="0"/>
              <w:rPr>
                <w:sz w:val="20"/>
                <w:szCs w:val="20"/>
                <w:color w:val="auto"/>
              </w:rPr>
            </w:pPr>
            <w:r>
              <w:rPr>
                <w:rFonts w:ascii="Arial" w:cs="Arial" w:eastAsia="Arial" w:hAnsi="Arial"/>
                <w:sz w:val="16"/>
                <w:szCs w:val="16"/>
                <w:color w:val="auto"/>
              </w:rPr>
              <w:t>Covenants not to compete</w:t>
            </w:r>
          </w:p>
        </w:tc>
        <w:tc>
          <w:tcPr>
            <w:tcW w:w="940" w:type="dxa"/>
            <w:vAlign w:val="bottom"/>
          </w:tcPr>
          <w:p>
            <w:pPr>
              <w:jc w:val="center"/>
              <w:spacing w:after="0"/>
              <w:rPr>
                <w:sz w:val="20"/>
                <w:szCs w:val="20"/>
                <w:color w:val="auto"/>
              </w:rPr>
            </w:pPr>
            <w:r>
              <w:rPr>
                <w:rFonts w:ascii="Arial" w:cs="Arial" w:eastAsia="Arial" w:hAnsi="Arial"/>
                <w:sz w:val="16"/>
                <w:szCs w:val="16"/>
                <w:color w:val="auto"/>
              </w:rPr>
              <w:t>1.5 - 3</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4.7</w:t>
            </w:r>
          </w:p>
        </w:tc>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1.1</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3.6</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3.4</w:t>
            </w: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0.3</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189"/>
        </w:trPr>
        <w:tc>
          <w:tcPr>
            <w:tcW w:w="2160" w:type="dxa"/>
            <w:vAlign w:val="bottom"/>
            <w:shd w:val="clear" w:color="auto" w:fill="CCEEFF"/>
          </w:tcPr>
          <w:p>
            <w:pPr>
              <w:spacing w:after="0"/>
              <w:rPr>
                <w:sz w:val="20"/>
                <w:szCs w:val="20"/>
                <w:color w:val="auto"/>
              </w:rPr>
            </w:pPr>
            <w:r>
              <w:rPr>
                <w:rFonts w:ascii="Arial" w:cs="Arial" w:eastAsia="Arial" w:hAnsi="Arial"/>
                <w:sz w:val="16"/>
                <w:szCs w:val="16"/>
                <w:color w:val="auto"/>
              </w:rPr>
              <w:t>Developed technologies</w:t>
            </w:r>
          </w:p>
        </w:tc>
        <w:tc>
          <w:tcPr>
            <w:tcW w:w="9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15</w:t>
            </w:r>
          </w:p>
        </w:tc>
        <w:tc>
          <w:tcPr>
            <w:tcW w:w="2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180" w:type="dxa"/>
            <w:vAlign w:val="bottom"/>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0.8</w:t>
            </w:r>
          </w:p>
        </w:tc>
        <w:tc>
          <w:tcPr>
            <w:tcW w:w="18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8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160" w:type="dxa"/>
            <w:vAlign w:val="bottom"/>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0.7</w:t>
            </w:r>
          </w:p>
        </w:tc>
        <w:tc>
          <w:tcPr>
            <w:tcW w:w="16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183"/>
        </w:trPr>
        <w:tc>
          <w:tcPr>
            <w:tcW w:w="2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20" w:type="dxa"/>
            <w:vAlign w:val="bottom"/>
            <w:gridSpan w:val="2"/>
          </w:tcPr>
          <w:p>
            <w:pPr>
              <w:jc w:val="right"/>
              <w:spacing w:after="0" w:line="183" w:lineRule="exact"/>
              <w:rPr>
                <w:sz w:val="20"/>
                <w:szCs w:val="20"/>
                <w:color w:val="auto"/>
              </w:rPr>
            </w:pPr>
            <w:r>
              <w:rPr>
                <w:rFonts w:ascii="Arial" w:cs="Arial" w:eastAsia="Arial" w:hAnsi="Arial"/>
                <w:sz w:val="16"/>
                <w:szCs w:val="16"/>
                <w:color w:val="auto"/>
              </w:rPr>
              <w:t>$</w:t>
            </w:r>
          </w:p>
        </w:tc>
        <w:tc>
          <w:tcPr>
            <w:tcW w:w="540" w:type="dxa"/>
            <w:vAlign w:val="bottom"/>
          </w:tcPr>
          <w:p>
            <w:pPr>
              <w:jc w:val="right"/>
              <w:spacing w:after="0" w:line="183" w:lineRule="exact"/>
              <w:rPr>
                <w:sz w:val="20"/>
                <w:szCs w:val="20"/>
                <w:color w:val="auto"/>
              </w:rPr>
            </w:pPr>
            <w:r>
              <w:rPr>
                <w:rFonts w:ascii="Arial" w:cs="Arial" w:eastAsia="Arial" w:hAnsi="Arial"/>
                <w:sz w:val="16"/>
                <w:szCs w:val="16"/>
                <w:color w:val="auto"/>
              </w:rPr>
              <w:t>51.0</w:t>
            </w:r>
          </w:p>
        </w:tc>
        <w:tc>
          <w:tcPr>
            <w:tcW w:w="620" w:type="dxa"/>
            <w:vAlign w:val="bottom"/>
            <w:gridSpan w:val="2"/>
          </w:tcPr>
          <w:p>
            <w:pPr>
              <w:jc w:val="right"/>
              <w:ind w:right="259"/>
              <w:spacing w:after="0" w:line="183" w:lineRule="exact"/>
              <w:rPr>
                <w:sz w:val="20"/>
                <w:szCs w:val="20"/>
                <w:color w:val="auto"/>
              </w:rPr>
            </w:pPr>
            <w:r>
              <w:rPr>
                <w:rFonts w:ascii="Arial" w:cs="Arial" w:eastAsia="Arial" w:hAnsi="Arial"/>
                <w:sz w:val="16"/>
                <w:szCs w:val="16"/>
                <w:color w:val="auto"/>
              </w:rPr>
              <w:t>$</w:t>
            </w:r>
          </w:p>
        </w:tc>
        <w:tc>
          <w:tcPr>
            <w:tcW w:w="640" w:type="dxa"/>
            <w:vAlign w:val="bottom"/>
          </w:tcPr>
          <w:p>
            <w:pPr>
              <w:jc w:val="right"/>
              <w:spacing w:after="0" w:line="183" w:lineRule="exact"/>
              <w:rPr>
                <w:sz w:val="20"/>
                <w:szCs w:val="20"/>
                <w:color w:val="auto"/>
              </w:rPr>
            </w:pPr>
            <w:r>
              <w:rPr>
                <w:rFonts w:ascii="Arial" w:cs="Arial" w:eastAsia="Arial" w:hAnsi="Arial"/>
                <w:sz w:val="16"/>
                <w:szCs w:val="16"/>
                <w:color w:val="auto"/>
              </w:rPr>
              <w:t>3.1</w:t>
            </w:r>
          </w:p>
        </w:tc>
        <w:tc>
          <w:tcPr>
            <w:tcW w:w="300" w:type="dxa"/>
            <w:vAlign w:val="bottom"/>
            <w:gridSpan w:val="2"/>
          </w:tcPr>
          <w:p>
            <w:pPr>
              <w:ind w:left="180"/>
              <w:spacing w:after="0" w:line="183" w:lineRule="exact"/>
              <w:rPr>
                <w:sz w:val="20"/>
                <w:szCs w:val="20"/>
                <w:color w:val="auto"/>
              </w:rPr>
            </w:pPr>
            <w:r>
              <w:rPr>
                <w:rFonts w:ascii="Arial" w:cs="Arial" w:eastAsia="Arial" w:hAnsi="Arial"/>
                <w:sz w:val="16"/>
                <w:szCs w:val="16"/>
                <w:color w:val="auto"/>
              </w:rPr>
              <w:t>$</w:t>
            </w:r>
          </w:p>
        </w:tc>
        <w:tc>
          <w:tcPr>
            <w:tcW w:w="600" w:type="dxa"/>
            <w:vAlign w:val="bottom"/>
          </w:tcPr>
          <w:p>
            <w:pPr>
              <w:jc w:val="right"/>
              <w:spacing w:after="0" w:line="183" w:lineRule="exact"/>
              <w:rPr>
                <w:sz w:val="20"/>
                <w:szCs w:val="20"/>
                <w:color w:val="auto"/>
              </w:rPr>
            </w:pPr>
            <w:r>
              <w:rPr>
                <w:rFonts w:ascii="Arial" w:cs="Arial" w:eastAsia="Arial" w:hAnsi="Arial"/>
                <w:sz w:val="16"/>
                <w:szCs w:val="16"/>
                <w:color w:val="auto"/>
              </w:rPr>
              <w:t>47.9</w:t>
            </w:r>
          </w:p>
        </w:tc>
        <w:tc>
          <w:tcPr>
            <w:tcW w:w="300" w:type="dxa"/>
            <w:vAlign w:val="bottom"/>
            <w:gridSpan w:val="2"/>
          </w:tcPr>
          <w:p>
            <w:pPr>
              <w:ind w:left="180"/>
              <w:spacing w:after="0" w:line="183" w:lineRule="exact"/>
              <w:rPr>
                <w:sz w:val="20"/>
                <w:szCs w:val="20"/>
                <w:color w:val="auto"/>
              </w:rPr>
            </w:pPr>
            <w:r>
              <w:rPr>
                <w:rFonts w:ascii="Arial" w:cs="Arial" w:eastAsia="Arial" w:hAnsi="Arial"/>
                <w:sz w:val="16"/>
                <w:szCs w:val="16"/>
                <w:color w:val="auto"/>
              </w:rPr>
              <w:t>$</w:t>
            </w:r>
          </w:p>
        </w:tc>
        <w:tc>
          <w:tcPr>
            <w:tcW w:w="520" w:type="dxa"/>
            <w:vAlign w:val="bottom"/>
          </w:tcPr>
          <w:p>
            <w:pPr>
              <w:jc w:val="right"/>
              <w:spacing w:after="0" w:line="183" w:lineRule="exact"/>
              <w:rPr>
                <w:sz w:val="20"/>
                <w:szCs w:val="20"/>
                <w:color w:val="auto"/>
              </w:rPr>
            </w:pPr>
            <w:r>
              <w:rPr>
                <w:rFonts w:ascii="Arial" w:cs="Arial" w:eastAsia="Arial" w:hAnsi="Arial"/>
                <w:sz w:val="16"/>
                <w:szCs w:val="16"/>
                <w:color w:val="auto"/>
              </w:rPr>
              <w:t>31.6</w:t>
            </w:r>
          </w:p>
        </w:tc>
        <w:tc>
          <w:tcPr>
            <w:tcW w:w="600" w:type="dxa"/>
            <w:vAlign w:val="bottom"/>
            <w:gridSpan w:val="2"/>
          </w:tcPr>
          <w:p>
            <w:pPr>
              <w:jc w:val="right"/>
              <w:ind w:right="259"/>
              <w:spacing w:after="0" w:line="183" w:lineRule="exact"/>
              <w:rPr>
                <w:sz w:val="20"/>
                <w:szCs w:val="20"/>
                <w:color w:val="auto"/>
              </w:rPr>
            </w:pPr>
            <w:r>
              <w:rPr>
                <w:rFonts w:ascii="Arial" w:cs="Arial" w:eastAsia="Arial" w:hAnsi="Arial"/>
                <w:sz w:val="16"/>
                <w:szCs w:val="16"/>
                <w:color w:val="auto"/>
              </w:rPr>
              <w:t>$</w:t>
            </w:r>
          </w:p>
        </w:tc>
        <w:tc>
          <w:tcPr>
            <w:tcW w:w="640" w:type="dxa"/>
            <w:vAlign w:val="bottom"/>
          </w:tcPr>
          <w:p>
            <w:pPr>
              <w:jc w:val="right"/>
              <w:spacing w:after="0" w:line="183" w:lineRule="exact"/>
              <w:rPr>
                <w:sz w:val="20"/>
                <w:szCs w:val="20"/>
                <w:color w:val="auto"/>
              </w:rPr>
            </w:pPr>
            <w:r>
              <w:rPr>
                <w:rFonts w:ascii="Arial" w:cs="Arial" w:eastAsia="Arial" w:hAnsi="Arial"/>
                <w:sz w:val="16"/>
                <w:szCs w:val="16"/>
                <w:color w:val="auto"/>
              </w:rPr>
              <w:t>1.3</w:t>
            </w:r>
          </w:p>
        </w:tc>
        <w:tc>
          <w:tcPr>
            <w:tcW w:w="160" w:type="dxa"/>
            <w:vAlign w:val="bottom"/>
          </w:tcPr>
          <w:p>
            <w:pPr>
              <w:spacing w:after="0"/>
              <w:rPr>
                <w:sz w:val="15"/>
                <w:szCs w:val="15"/>
                <w:color w:val="auto"/>
              </w:rPr>
            </w:pPr>
          </w:p>
        </w:tc>
        <w:tc>
          <w:tcPr>
            <w:tcW w:w="120" w:type="dxa"/>
            <w:vAlign w:val="bottom"/>
          </w:tcPr>
          <w:p>
            <w:pPr>
              <w:spacing w:after="0" w:line="183" w:lineRule="exact"/>
              <w:rPr>
                <w:sz w:val="20"/>
                <w:szCs w:val="20"/>
                <w:color w:val="auto"/>
              </w:rPr>
            </w:pPr>
            <w:r>
              <w:rPr>
                <w:rFonts w:ascii="Arial" w:cs="Arial" w:eastAsia="Arial" w:hAnsi="Arial"/>
                <w:sz w:val="16"/>
                <w:szCs w:val="16"/>
                <w:color w:val="auto"/>
              </w:rPr>
              <w:t>$</w:t>
            </w:r>
          </w:p>
        </w:tc>
        <w:tc>
          <w:tcPr>
            <w:tcW w:w="600" w:type="dxa"/>
            <w:vAlign w:val="bottom"/>
          </w:tcPr>
          <w:p>
            <w:pPr>
              <w:jc w:val="right"/>
              <w:spacing w:after="0" w:line="183" w:lineRule="exact"/>
              <w:rPr>
                <w:sz w:val="20"/>
                <w:szCs w:val="20"/>
                <w:color w:val="auto"/>
              </w:rPr>
            </w:pPr>
            <w:r>
              <w:rPr>
                <w:rFonts w:ascii="Arial" w:cs="Arial" w:eastAsia="Arial" w:hAnsi="Arial"/>
                <w:sz w:val="16"/>
                <w:szCs w:val="16"/>
                <w:color w:val="auto"/>
              </w:rPr>
              <w:t>30.3</w:t>
            </w:r>
          </w:p>
        </w:tc>
        <w:tc>
          <w:tcPr>
            <w:tcW w:w="0" w:type="dxa"/>
            <w:vAlign w:val="bottom"/>
          </w:tcPr>
          <w:p>
            <w:pPr>
              <w:spacing w:after="0"/>
              <w:rPr>
                <w:sz w:val="1"/>
                <w:szCs w:val="1"/>
                <w:color w:val="auto"/>
              </w:rPr>
            </w:pPr>
          </w:p>
        </w:tc>
      </w:tr>
      <w:tr>
        <w:trPr>
          <w:trHeight w:val="27"/>
        </w:trPr>
        <w:tc>
          <w:tcPr>
            <w:tcW w:w="2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20" w:firstLine="648"/>
        <w:spacing w:after="0" w:line="237" w:lineRule="auto"/>
        <w:rPr>
          <w:sz w:val="20"/>
          <w:szCs w:val="20"/>
          <w:color w:val="auto"/>
        </w:rPr>
      </w:pPr>
      <w:r>
        <w:rPr>
          <w:rFonts w:ascii="Arial" w:cs="Arial" w:eastAsia="Arial" w:hAnsi="Arial"/>
          <w:sz w:val="18"/>
          <w:szCs w:val="18"/>
          <w:color w:val="auto"/>
        </w:rPr>
        <w:t>Amortization expense of intangible assets was $1.1 and $0.1 for the three months ended July 31, 2019 and 2018, respectively, and $1.9 and $0.1 for the six months ended July 31, 2019 and 2018, respectively. The Company currently expects to recognize amortization expense related to intangible assets of approximately $4.0 in each of the next five fiscal years. The future amortization amounts are estimates. Actual future amortization expense may be different due to future acquisitions, impairments, changes in amortization periods or other factors.</w:t>
      </w:r>
    </w:p>
    <w:p>
      <w:pPr>
        <w:spacing w:after="0" w:line="192" w:lineRule="exact"/>
        <w:rPr>
          <w:sz w:val="20"/>
          <w:szCs w:val="20"/>
          <w:color w:val="auto"/>
        </w:rPr>
      </w:pPr>
    </w:p>
    <w:p>
      <w:pPr>
        <w:ind w:right="300" w:firstLine="648"/>
        <w:spacing w:after="0" w:line="246" w:lineRule="auto"/>
        <w:rPr>
          <w:sz w:val="20"/>
          <w:szCs w:val="20"/>
          <w:color w:val="auto"/>
        </w:rPr>
      </w:pPr>
      <w:r>
        <w:rPr>
          <w:rFonts w:ascii="Arial" w:cs="Arial" w:eastAsia="Arial" w:hAnsi="Arial"/>
          <w:sz w:val="18"/>
          <w:szCs w:val="18"/>
          <w:color w:val="auto"/>
        </w:rPr>
        <w:t>Goodwill increased $27.0 as compared to January 31, 2019, primarily as a result of the acquisitions of Tecton and Red Bone.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Note 6. </w:t>
      </w:r>
      <w:r>
        <w:rPr>
          <w:rFonts w:ascii="Arial" w:cs="Arial" w:eastAsia="Arial" w:hAnsi="Arial"/>
          <w:sz w:val="18"/>
          <w:szCs w:val="18"/>
          <w:u w:val="single" w:color="auto"/>
          <w:color w:val="auto"/>
        </w:rPr>
        <w:t>Related Party Transactions</w:t>
      </w:r>
    </w:p>
    <w:p>
      <w:pPr>
        <w:spacing w:after="0" w:line="212" w:lineRule="exact"/>
        <w:rPr>
          <w:sz w:val="20"/>
          <w:szCs w:val="20"/>
          <w:color w:val="auto"/>
        </w:rPr>
      </w:pPr>
    </w:p>
    <w:p>
      <w:pPr>
        <w:ind w:right="220" w:firstLine="648"/>
        <w:spacing w:after="0" w:line="257" w:lineRule="auto"/>
        <w:rPr>
          <w:sz w:val="20"/>
          <w:szCs w:val="20"/>
          <w:color w:val="auto"/>
        </w:rPr>
      </w:pPr>
      <w:r>
        <w:rPr>
          <w:rFonts w:ascii="Arial" w:cs="Arial" w:eastAsia="Arial" w:hAnsi="Arial"/>
          <w:sz w:val="17"/>
          <w:szCs w:val="17"/>
          <w:color w:val="auto"/>
        </w:rPr>
        <w:t>The condensed consolidated statements of earnings (loss) for the three and six months ended July 31, 2018 include an allocation of general corporate expenses from our former parent, KLX. These costs were allocated to the Company on a systematic and reasonable basis utilizing a direct usage basis when identifiable, with the remainder allocated on the basis of revenue generated, costs incurred, headcount or other measures.</w:t>
      </w:r>
    </w:p>
    <w:p>
      <w:pPr>
        <w:spacing w:after="0" w:line="176" w:lineRule="exact"/>
        <w:rPr>
          <w:sz w:val="20"/>
          <w:szCs w:val="20"/>
          <w:color w:val="auto"/>
        </w:rPr>
      </w:pPr>
    </w:p>
    <w:p>
      <w:pPr>
        <w:ind w:right="100" w:firstLine="648"/>
        <w:spacing w:after="0" w:line="237" w:lineRule="auto"/>
        <w:rPr>
          <w:sz w:val="20"/>
          <w:szCs w:val="20"/>
          <w:color w:val="auto"/>
        </w:rPr>
      </w:pPr>
      <w:r>
        <w:rPr>
          <w:rFonts w:ascii="Arial" w:cs="Arial" w:eastAsia="Arial" w:hAnsi="Arial"/>
          <w:sz w:val="18"/>
          <w:szCs w:val="18"/>
          <w:color w:val="auto"/>
        </w:rPr>
        <w:t>Allocations for general corporate expenses, including management costs and corporate support services provided to the Company, totaled $5.7 and $ 13.4 for the three and six months ended July 31, 2018, respectively and were reported in the Company’s selling, general and administrative expenses on its condensed consolidated statements of earnings (loss). These amounts include costs for allocations related to Former Parent’s strategic alternatives review process in the first quarter of Fiscal 2018, the Company’s Spin-Off process in the second quarter of Fiscal 2018 as well as for functions including executive management,</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40" w:right="1419" w:bottom="1440" w:gutter="0" w:footer="0" w:header="0"/>
        </w:sectPr>
      </w:pPr>
    </w:p>
    <w:bookmarkStart w:id="11" w:name="page12"/>
    <w:bookmarkEnd w:id="1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35" w:lineRule="exact"/>
        <w:rPr>
          <w:sz w:val="20"/>
          <w:szCs w:val="20"/>
          <w:color w:val="auto"/>
        </w:rPr>
      </w:pPr>
    </w:p>
    <w:p>
      <w:pPr>
        <w:ind w:right="760"/>
        <w:spacing w:after="0" w:line="246" w:lineRule="auto"/>
        <w:rPr>
          <w:sz w:val="20"/>
          <w:szCs w:val="20"/>
          <w:color w:val="auto"/>
        </w:rPr>
      </w:pPr>
      <w:r>
        <w:rPr>
          <w:rFonts w:ascii="Arial" w:cs="Arial" w:eastAsia="Arial" w:hAnsi="Arial"/>
          <w:sz w:val="18"/>
          <w:szCs w:val="18"/>
          <w:color w:val="auto"/>
        </w:rPr>
        <w:t>finance, legal, information technology, human resources, employee benefits administration, treasury, risk management, procurement and other shared services.</w:t>
      </w:r>
    </w:p>
    <w:p>
      <w:pPr>
        <w:spacing w:after="0" w:line="183" w:lineRule="exact"/>
        <w:rPr>
          <w:sz w:val="20"/>
          <w:szCs w:val="20"/>
          <w:color w:val="auto"/>
        </w:rPr>
      </w:pPr>
    </w:p>
    <w:p>
      <w:pPr>
        <w:ind w:right="120" w:firstLine="648"/>
        <w:spacing w:after="0"/>
        <w:rPr>
          <w:sz w:val="20"/>
          <w:szCs w:val="20"/>
          <w:color w:val="auto"/>
        </w:rPr>
      </w:pPr>
      <w:r>
        <w:rPr>
          <w:rFonts w:ascii="Arial" w:cs="Arial" w:eastAsia="Arial" w:hAnsi="Arial"/>
          <w:sz w:val="18"/>
          <w:szCs w:val="18"/>
          <w:color w:val="auto"/>
        </w:rPr>
        <w:t>In connection with the consummation of the Spin-Off, KLX Energy Services entered into a number of agreements with KLX, including a transition services agreement, distribution agreement, an employee matters agreement and an Intellectual Property (“IP”) matters agreement. These agreements govern the relationship between us and KLX and provide for the allocation between us and KLX of various assets, liabilities and obligations (including employee benefits, information technology and insurance). All services under the transition services agreement with Former Parent were terminated in the prior fiscal year.</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Note 7. </w:t>
      </w:r>
      <w:r>
        <w:rPr>
          <w:rFonts w:ascii="Arial" w:cs="Arial" w:eastAsia="Arial" w:hAnsi="Arial"/>
          <w:sz w:val="18"/>
          <w:szCs w:val="18"/>
          <w:u w:val="single" w:color="auto"/>
          <w:color w:val="auto"/>
        </w:rPr>
        <w:t>Accrued Liabilities</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Accrued liabilities consist of the following:</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ind w:right="179"/>
              <w:spacing w:after="0"/>
              <w:rPr>
                <w:sz w:val="20"/>
                <w:szCs w:val="20"/>
                <w:color w:val="auto"/>
              </w:rPr>
            </w:pPr>
            <w:r>
              <w:rPr>
                <w:rFonts w:ascii="Arial" w:cs="Arial" w:eastAsia="Arial" w:hAnsi="Arial"/>
                <w:sz w:val="16"/>
                <w:szCs w:val="16"/>
                <w:b w:val="1"/>
                <w:bCs w:val="1"/>
                <w:color w:val="auto"/>
              </w:rPr>
              <w:t>July 31,</w:t>
            </w:r>
          </w:p>
        </w:tc>
        <w:tc>
          <w:tcPr>
            <w:tcW w:w="200" w:type="dxa"/>
            <w:vAlign w:val="bottom"/>
          </w:tcPr>
          <w:p>
            <w:pPr>
              <w:spacing w:after="0"/>
              <w:rPr>
                <w:sz w:val="16"/>
                <w:szCs w:val="16"/>
                <w:color w:val="auto"/>
              </w:rPr>
            </w:pPr>
          </w:p>
        </w:tc>
        <w:tc>
          <w:tcPr>
            <w:tcW w:w="1140" w:type="dxa"/>
            <w:vAlign w:val="bottom"/>
            <w:gridSpan w:val="2"/>
          </w:tcPr>
          <w:p>
            <w:pPr>
              <w:jc w:val="right"/>
              <w:ind w:right="99"/>
              <w:spacing w:after="0"/>
              <w:rPr>
                <w:sz w:val="20"/>
                <w:szCs w:val="20"/>
                <w:color w:val="auto"/>
              </w:rPr>
            </w:pPr>
            <w:r>
              <w:rPr>
                <w:rFonts w:ascii="Arial" w:cs="Arial" w:eastAsia="Arial" w:hAnsi="Arial"/>
                <w:sz w:val="16"/>
                <w:szCs w:val="16"/>
                <w:b w:val="1"/>
                <w:bCs w:val="1"/>
                <w:color w:val="auto"/>
              </w:rPr>
              <w:t>January 31,</w:t>
            </w:r>
          </w:p>
        </w:tc>
      </w:tr>
      <w:tr>
        <w:trPr>
          <w:trHeight w:val="207"/>
        </w:trPr>
        <w:tc>
          <w:tcPr>
            <w:tcW w:w="66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2019</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2019</w:t>
            </w:r>
          </w:p>
        </w:tc>
      </w:tr>
      <w:tr>
        <w:trPr>
          <w:trHeight w:val="183"/>
        </w:trPr>
        <w:tc>
          <w:tcPr>
            <w:tcW w:w="6640" w:type="dxa"/>
            <w:vAlign w:val="bottom"/>
            <w:shd w:val="clear" w:color="auto" w:fill="CCEEFF"/>
          </w:tcPr>
          <w:p>
            <w:pPr>
              <w:spacing w:after="0" w:line="177" w:lineRule="exact"/>
              <w:rPr>
                <w:sz w:val="20"/>
                <w:szCs w:val="20"/>
                <w:color w:val="auto"/>
              </w:rPr>
            </w:pPr>
            <w:r>
              <w:rPr>
                <w:rFonts w:ascii="Arial" w:cs="Arial" w:eastAsia="Arial" w:hAnsi="Arial"/>
                <w:sz w:val="16"/>
                <w:szCs w:val="16"/>
                <w:color w:val="auto"/>
              </w:rPr>
              <w:t>Accrued salaries, vacation and related benefits</w:t>
            </w:r>
          </w:p>
        </w:tc>
        <w:tc>
          <w:tcPr>
            <w:tcW w:w="16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13.2</w:t>
            </w:r>
          </w:p>
        </w:tc>
        <w:tc>
          <w:tcPr>
            <w:tcW w:w="420" w:type="dxa"/>
            <w:vAlign w:val="bottom"/>
            <w:gridSpan w:val="2"/>
            <w:shd w:val="clear" w:color="auto" w:fill="CCEEFF"/>
          </w:tcPr>
          <w:p>
            <w:pPr>
              <w:jc w:val="right"/>
              <w:ind w:right="59"/>
              <w:spacing w:after="0" w:line="183" w:lineRule="exact"/>
              <w:rPr>
                <w:sz w:val="20"/>
                <w:szCs w:val="20"/>
                <w:color w:val="auto"/>
              </w:rPr>
            </w:pPr>
            <w:r>
              <w:rPr>
                <w:rFonts w:ascii="Arial" w:cs="Arial" w:eastAsia="Arial" w:hAnsi="Arial"/>
                <w:sz w:val="16"/>
                <w:szCs w:val="16"/>
                <w:color w:val="auto"/>
              </w:rPr>
              <w:t>$</w:t>
            </w:r>
          </w:p>
        </w:tc>
        <w:tc>
          <w:tcPr>
            <w:tcW w:w="920" w:type="dxa"/>
            <w:vAlign w:val="bottom"/>
            <w:tcBorders>
              <w:right w:val="single" w:sz="8" w:color="CCEEFF"/>
            </w:tcBorders>
            <w:shd w:val="clear" w:color="auto" w:fill="CCEEFF"/>
          </w:tcPr>
          <w:p>
            <w:pPr>
              <w:jc w:val="right"/>
              <w:ind w:right="39"/>
              <w:spacing w:after="0" w:line="183" w:lineRule="exact"/>
              <w:rPr>
                <w:sz w:val="20"/>
                <w:szCs w:val="20"/>
                <w:color w:val="auto"/>
              </w:rPr>
            </w:pPr>
            <w:r>
              <w:rPr>
                <w:rFonts w:ascii="Arial" w:cs="Arial" w:eastAsia="Arial" w:hAnsi="Arial"/>
                <w:sz w:val="16"/>
                <w:szCs w:val="16"/>
                <w:color w:val="auto"/>
              </w:rPr>
              <w:t>13.9</w:t>
            </w:r>
          </w:p>
        </w:tc>
      </w:tr>
      <w:tr>
        <w:trPr>
          <w:trHeight w:val="189"/>
        </w:trPr>
        <w:tc>
          <w:tcPr>
            <w:tcW w:w="6640" w:type="dxa"/>
            <w:vAlign w:val="bottom"/>
          </w:tcPr>
          <w:p>
            <w:pPr>
              <w:spacing w:after="0"/>
              <w:rPr>
                <w:sz w:val="20"/>
                <w:szCs w:val="20"/>
                <w:color w:val="auto"/>
              </w:rPr>
            </w:pPr>
            <w:r>
              <w:rPr>
                <w:rFonts w:ascii="Arial" w:cs="Arial" w:eastAsia="Arial" w:hAnsi="Arial"/>
                <w:sz w:val="16"/>
                <w:szCs w:val="16"/>
                <w:color w:val="auto"/>
              </w:rPr>
              <w:t>Accrued incentive compensation</w:t>
            </w: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3.0</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9.1</w:t>
            </w:r>
          </w:p>
        </w:tc>
      </w:tr>
      <w:tr>
        <w:trPr>
          <w:trHeight w:val="189"/>
        </w:trPr>
        <w:tc>
          <w:tcPr>
            <w:tcW w:w="6640" w:type="dxa"/>
            <w:vAlign w:val="bottom"/>
            <w:shd w:val="clear" w:color="auto" w:fill="CCEEFF"/>
          </w:tcPr>
          <w:p>
            <w:pPr>
              <w:spacing w:after="0"/>
              <w:rPr>
                <w:sz w:val="20"/>
                <w:szCs w:val="20"/>
                <w:color w:val="auto"/>
              </w:rPr>
            </w:pPr>
            <w:r>
              <w:rPr>
                <w:rFonts w:ascii="Arial" w:cs="Arial" w:eastAsia="Arial" w:hAnsi="Arial"/>
                <w:sz w:val="16"/>
                <w:szCs w:val="16"/>
                <w:color w:val="auto"/>
              </w:rPr>
              <w:t>Accrued property taxes</w:t>
            </w: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20" w:type="dxa"/>
            <w:vAlign w:val="bottom"/>
            <w:tcBorders>
              <w:right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w:t>
            </w:r>
          </w:p>
        </w:tc>
      </w:tr>
      <w:tr>
        <w:trPr>
          <w:trHeight w:val="189"/>
        </w:trPr>
        <w:tc>
          <w:tcPr>
            <w:tcW w:w="664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Other accrued liabilities</w:t>
            </w: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w:t>
            </w:r>
          </w:p>
        </w:tc>
        <w:tc>
          <w:tcPr>
            <w:tcW w:w="2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5.8</w:t>
            </w:r>
          </w:p>
        </w:tc>
      </w:tr>
      <w:tr>
        <w:trPr>
          <w:trHeight w:val="183"/>
        </w:trPr>
        <w:tc>
          <w:tcPr>
            <w:tcW w:w="6640" w:type="dxa"/>
            <w:vAlign w:val="bottom"/>
            <w:shd w:val="clear" w:color="auto" w:fill="CCEEFF"/>
          </w:tcPr>
          <w:p>
            <w:pPr>
              <w:spacing w:after="0"/>
              <w:rPr>
                <w:sz w:val="15"/>
                <w:szCs w:val="15"/>
                <w:color w:val="auto"/>
              </w:rPr>
            </w:pPr>
          </w:p>
        </w:tc>
        <w:tc>
          <w:tcPr>
            <w:tcW w:w="16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26.2</w:t>
            </w:r>
          </w:p>
        </w:tc>
        <w:tc>
          <w:tcPr>
            <w:tcW w:w="420" w:type="dxa"/>
            <w:vAlign w:val="bottom"/>
            <w:gridSpan w:val="2"/>
            <w:shd w:val="clear" w:color="auto" w:fill="CCEEFF"/>
          </w:tcPr>
          <w:p>
            <w:pPr>
              <w:jc w:val="right"/>
              <w:ind w:right="59"/>
              <w:spacing w:after="0" w:line="183" w:lineRule="exact"/>
              <w:rPr>
                <w:sz w:val="20"/>
                <w:szCs w:val="20"/>
                <w:color w:val="auto"/>
              </w:rPr>
            </w:pPr>
            <w:r>
              <w:rPr>
                <w:rFonts w:ascii="Arial" w:cs="Arial" w:eastAsia="Arial" w:hAnsi="Arial"/>
                <w:sz w:val="16"/>
                <w:szCs w:val="16"/>
                <w:color w:val="auto"/>
              </w:rPr>
              <w:t>$</w:t>
            </w:r>
          </w:p>
        </w:tc>
        <w:tc>
          <w:tcPr>
            <w:tcW w:w="920" w:type="dxa"/>
            <w:vAlign w:val="bottom"/>
            <w:tcBorders>
              <w:right w:val="single" w:sz="8" w:color="CCEEFF"/>
            </w:tcBorders>
            <w:shd w:val="clear" w:color="auto" w:fill="CCEEFF"/>
          </w:tcPr>
          <w:p>
            <w:pPr>
              <w:jc w:val="right"/>
              <w:ind w:right="39"/>
              <w:spacing w:after="0" w:line="183" w:lineRule="exact"/>
              <w:rPr>
                <w:sz w:val="20"/>
                <w:szCs w:val="20"/>
                <w:color w:val="auto"/>
              </w:rPr>
            </w:pPr>
            <w:r>
              <w:rPr>
                <w:rFonts w:ascii="Arial" w:cs="Arial" w:eastAsia="Arial" w:hAnsi="Arial"/>
                <w:sz w:val="16"/>
                <w:szCs w:val="16"/>
                <w:color w:val="auto"/>
              </w:rPr>
              <w:t>30.7</w:t>
            </w:r>
          </w:p>
        </w:tc>
      </w:tr>
      <w:tr>
        <w:trPr>
          <w:trHeight w:val="27"/>
        </w:trPr>
        <w:tc>
          <w:tcPr>
            <w:tcW w:w="66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tcBorders>
              <w:right w:val="single" w:sz="8" w:color="CCEEFF"/>
            </w:tcBorders>
            <w:shd w:val="clear" w:color="auto" w:fill="000000"/>
          </w:tcPr>
          <w:p>
            <w:pPr>
              <w:spacing w:after="0"/>
              <w:rPr>
                <w:sz w:val="2"/>
                <w:szCs w:val="2"/>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Note 8. </w:t>
      </w:r>
      <w:r>
        <w:rPr>
          <w:rFonts w:ascii="Arial" w:cs="Arial" w:eastAsia="Arial" w:hAnsi="Arial"/>
          <w:sz w:val="18"/>
          <w:szCs w:val="18"/>
          <w:u w:val="single" w:color="auto"/>
          <w:color w:val="auto"/>
        </w:rPr>
        <w:t>Long-Term Debt</w:t>
      </w:r>
    </w:p>
    <w:p>
      <w:pPr>
        <w:spacing w:after="0" w:line="212" w:lineRule="exact"/>
        <w:rPr>
          <w:sz w:val="20"/>
          <w:szCs w:val="20"/>
          <w:color w:val="auto"/>
        </w:rPr>
      </w:pPr>
    </w:p>
    <w:p>
      <w:pPr>
        <w:jc w:val="both"/>
        <w:ind w:firstLine="770"/>
        <w:spacing w:after="0" w:line="254" w:lineRule="auto"/>
        <w:rPr>
          <w:sz w:val="20"/>
          <w:szCs w:val="20"/>
          <w:color w:val="auto"/>
        </w:rPr>
      </w:pPr>
      <w:r>
        <w:rPr>
          <w:rFonts w:ascii="Arial" w:cs="Arial" w:eastAsia="Arial" w:hAnsi="Arial"/>
          <w:sz w:val="18"/>
          <w:szCs w:val="18"/>
          <w:color w:val="auto"/>
        </w:rPr>
        <w:t>As of July 31, 2019, long-term debt consisted of $250.0 principal amount of 11.5% senior secured notes due 2025 (the “Notes”) offered pursuant to Rule 144A under the Securities Act and to certain non-U.S. persons outside the United States in compliance with Regulation S under the Securities Act. On a net basis, after taking into consideration the debt issue costs for the Notes, total debt as of July 31, 2019 was $242.6.</w:t>
      </w:r>
    </w:p>
    <w:p>
      <w:pPr>
        <w:spacing w:after="0" w:line="191" w:lineRule="exact"/>
        <w:rPr>
          <w:sz w:val="20"/>
          <w:szCs w:val="20"/>
          <w:color w:val="auto"/>
        </w:rPr>
      </w:pPr>
    </w:p>
    <w:p>
      <w:pPr>
        <w:jc w:val="both"/>
        <w:ind w:firstLine="770"/>
        <w:spacing w:after="0" w:line="253" w:lineRule="auto"/>
        <w:rPr>
          <w:sz w:val="20"/>
          <w:szCs w:val="20"/>
          <w:color w:val="auto"/>
        </w:rPr>
      </w:pPr>
      <w:r>
        <w:rPr>
          <w:rFonts w:ascii="Arial" w:cs="Arial" w:eastAsia="Arial" w:hAnsi="Arial"/>
          <w:sz w:val="18"/>
          <w:szCs w:val="18"/>
          <w:color w:val="auto"/>
        </w:rPr>
        <w:t>As of July 31, 2019, the Company also had a $100.0 asset-based revolving credit facility pursuant to a senior secured credit agreement dated August 10, 2018 (the “ABL Facility”). The ABL Facility became effective on September 14, 2018, the date of the Spin-Off, and matures in September 2023. On October 22, 2018, the ABL Facility was amended primarily to permit the Company to issue the Notes and acquire Motley and the definition of the required ratio (as defined in the ABL Facility) was also amended as a result of the Notes issuance.</w:t>
      </w:r>
    </w:p>
    <w:p>
      <w:pPr>
        <w:spacing w:after="0" w:line="192" w:lineRule="exact"/>
        <w:rPr>
          <w:sz w:val="20"/>
          <w:szCs w:val="20"/>
          <w:color w:val="auto"/>
        </w:rPr>
      </w:pPr>
    </w:p>
    <w:p>
      <w:pPr>
        <w:jc w:val="both"/>
        <w:ind w:firstLine="770"/>
        <w:spacing w:after="0" w:line="256" w:lineRule="auto"/>
        <w:rPr>
          <w:sz w:val="20"/>
          <w:szCs w:val="20"/>
          <w:color w:val="auto"/>
        </w:rPr>
      </w:pPr>
      <w:r>
        <w:rPr>
          <w:rFonts w:ascii="Arial" w:cs="Arial" w:eastAsia="Arial" w:hAnsi="Arial"/>
          <w:sz w:val="18"/>
          <w:szCs w:val="18"/>
          <w:color w:val="auto"/>
        </w:rPr>
        <w:t>Borrowings under the ABL Facility bear interest at a rate equal to the London Interbank Offered Rate plus the applicable margin (as defined in the ABL Facility). No amounts were outstanding under the ABL Facility as of July 31, 2019.</w:t>
      </w:r>
    </w:p>
    <w:p>
      <w:pPr>
        <w:spacing w:after="0" w:line="188" w:lineRule="exact"/>
        <w:rPr>
          <w:sz w:val="20"/>
          <w:szCs w:val="20"/>
          <w:color w:val="auto"/>
        </w:rPr>
      </w:pPr>
    </w:p>
    <w:p>
      <w:pPr>
        <w:jc w:val="both"/>
        <w:ind w:firstLine="770"/>
        <w:spacing w:after="0" w:line="254" w:lineRule="auto"/>
        <w:rPr>
          <w:sz w:val="20"/>
          <w:szCs w:val="20"/>
          <w:color w:val="auto"/>
        </w:rPr>
      </w:pPr>
      <w:r>
        <w:rPr>
          <w:rFonts w:ascii="Arial" w:cs="Arial" w:eastAsia="Arial" w:hAnsi="Arial"/>
          <w:sz w:val="18"/>
          <w:szCs w:val="18"/>
          <w:color w:val="auto"/>
        </w:rPr>
        <w:t>The ABL Facility is tied to a borrowing base formula and has no maintenance financial covenants. The ABL Facility is secured by, among other things, a first priority lien on our accounts receivable and inventory and contains customary conditions precedent to borrowing and affirmative and negative covenants, all of which were met as of July 31, 2019.</w:t>
      </w:r>
    </w:p>
    <w:p>
      <w:pPr>
        <w:spacing w:after="0" w:line="191" w:lineRule="exact"/>
        <w:rPr>
          <w:sz w:val="20"/>
          <w:szCs w:val="20"/>
          <w:color w:val="auto"/>
        </w:rPr>
      </w:pPr>
    </w:p>
    <w:p>
      <w:pPr>
        <w:ind w:left="780"/>
        <w:spacing w:after="0"/>
        <w:rPr>
          <w:sz w:val="20"/>
          <w:szCs w:val="20"/>
          <w:color w:val="auto"/>
        </w:rPr>
      </w:pPr>
      <w:r>
        <w:rPr>
          <w:rFonts w:ascii="Arial" w:cs="Arial" w:eastAsia="Arial" w:hAnsi="Arial"/>
          <w:sz w:val="18"/>
          <w:szCs w:val="18"/>
          <w:color w:val="auto"/>
        </w:rPr>
        <w:t>Letters of credit issued under the ABL Facility aggregated $0.8 at July 31, 2019.</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Note 9. </w:t>
      </w:r>
      <w:r>
        <w:rPr>
          <w:rFonts w:ascii="Arial" w:cs="Arial" w:eastAsia="Arial" w:hAnsi="Arial"/>
          <w:sz w:val="18"/>
          <w:szCs w:val="18"/>
          <w:u w:val="single" w:color="auto"/>
          <w:color w:val="auto"/>
        </w:rPr>
        <w:t>Fair Value Information</w:t>
      </w:r>
    </w:p>
    <w:p>
      <w:pPr>
        <w:spacing w:after="0" w:line="212" w:lineRule="exact"/>
        <w:rPr>
          <w:sz w:val="20"/>
          <w:szCs w:val="20"/>
          <w:color w:val="auto"/>
        </w:rPr>
      </w:pPr>
    </w:p>
    <w:p>
      <w:pPr>
        <w:ind w:firstLine="648"/>
        <w:spacing w:after="0"/>
        <w:rPr>
          <w:sz w:val="20"/>
          <w:szCs w:val="20"/>
          <w:color w:val="auto"/>
        </w:rPr>
      </w:pPr>
      <w:r>
        <w:rPr>
          <w:rFonts w:ascii="Arial" w:cs="Arial" w:eastAsia="Arial" w:hAnsi="Arial"/>
          <w:sz w:val="18"/>
          <w:szCs w:val="18"/>
          <w:color w:val="auto"/>
        </w:rPr>
        <w:t>All financial instruments are carried at amounts that approximate estimated fair value. The fair value is the price at which an asset could be exchanged in a current transaction between knowledgeable, willing parties. Assets measured at fair value are categorized based upon the lowest level of significant input to the valuations.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Level 1 – quoted prices in active markets for identical assets and liabilities.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40" w:right="1419" w:bottom="1440" w:gutter="0" w:footer="0" w:header="0"/>
        </w:sectPr>
      </w:pPr>
    </w:p>
    <w:bookmarkStart w:id="12" w:name="page13"/>
    <w:bookmarkEnd w:id="1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35" w:lineRule="exact"/>
        <w:rPr>
          <w:sz w:val="20"/>
          <w:szCs w:val="20"/>
          <w:color w:val="auto"/>
        </w:rPr>
      </w:pPr>
    </w:p>
    <w:p>
      <w:pPr>
        <w:ind w:left="660" w:right="420"/>
        <w:spacing w:after="0" w:line="246" w:lineRule="auto"/>
        <w:rPr>
          <w:sz w:val="20"/>
          <w:szCs w:val="20"/>
          <w:color w:val="auto"/>
        </w:rPr>
      </w:pPr>
      <w:r>
        <w:rPr>
          <w:rFonts w:ascii="Arial" w:cs="Arial" w:eastAsia="Arial" w:hAnsi="Arial"/>
          <w:sz w:val="18"/>
          <w:szCs w:val="18"/>
          <w:color w:val="auto"/>
        </w:rPr>
        <w:t>Level 2 – quoted prices for identical assets and liabilities in markets that are not active or observable inputs other than quoted prices in active markets for identical assets and liabilities.</w:t>
      </w:r>
    </w:p>
    <w:p>
      <w:pPr>
        <w:spacing w:after="0" w:line="183" w:lineRule="exact"/>
        <w:rPr>
          <w:sz w:val="20"/>
          <w:szCs w:val="20"/>
          <w:color w:val="auto"/>
        </w:rPr>
      </w:pPr>
    </w:p>
    <w:p>
      <w:pPr>
        <w:ind w:left="660" w:right="620"/>
        <w:spacing w:after="0" w:line="246" w:lineRule="auto"/>
        <w:rPr>
          <w:sz w:val="20"/>
          <w:szCs w:val="20"/>
          <w:color w:val="auto"/>
        </w:rPr>
      </w:pPr>
      <w:r>
        <w:rPr>
          <w:rFonts w:ascii="Arial" w:cs="Arial" w:eastAsia="Arial" w:hAnsi="Arial"/>
          <w:sz w:val="18"/>
          <w:szCs w:val="18"/>
          <w:color w:val="auto"/>
        </w:rPr>
        <w:t>Level 3 – unobservable inputs in which there is little or no market data available, which require the reporting entity to develop its own assumptions.</w:t>
      </w:r>
    </w:p>
    <w:p>
      <w:pPr>
        <w:spacing w:after="0" w:line="183" w:lineRule="exact"/>
        <w:rPr>
          <w:sz w:val="20"/>
          <w:szCs w:val="20"/>
          <w:color w:val="auto"/>
        </w:rPr>
      </w:pPr>
    </w:p>
    <w:p>
      <w:pPr>
        <w:ind w:firstLine="648"/>
        <w:spacing w:after="0" w:line="238" w:lineRule="auto"/>
        <w:rPr>
          <w:sz w:val="20"/>
          <w:szCs w:val="20"/>
          <w:color w:val="auto"/>
        </w:rPr>
      </w:pPr>
      <w:r>
        <w:rPr>
          <w:rFonts w:ascii="Arial" w:cs="Arial" w:eastAsia="Arial" w:hAnsi="Arial"/>
          <w:sz w:val="18"/>
          <w:szCs w:val="18"/>
          <w:color w:val="auto"/>
        </w:rPr>
        <w:t>The carrying amounts of cash and cash equivalents, accounts receivable-trade and accounts payable represent their respective fair values due to their short-term nature. There was no debt outstanding under the ABL Facility as of July 31, 2019. The fair value of the Company’s Notes, based on market prices for publicly-traded debt (which the Company classifies as Level 2 inputs), was $244.4 and $254.1 as of July 31, 2019 and January 31, 2019, respectively.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Note 10. </w:t>
      </w:r>
      <w:r>
        <w:rPr>
          <w:rFonts w:ascii="Arial" w:cs="Arial" w:eastAsia="Arial" w:hAnsi="Arial"/>
          <w:sz w:val="18"/>
          <w:szCs w:val="18"/>
          <w:u w:val="single" w:color="auto"/>
          <w:color w:val="auto"/>
        </w:rPr>
        <w:t>Commitments, Contingencies and Off-Balance-Sheet Arrangements</w:t>
      </w:r>
    </w:p>
    <w:p>
      <w:pPr>
        <w:spacing w:after="0" w:line="194" w:lineRule="exact"/>
        <w:rPr>
          <w:sz w:val="20"/>
          <w:szCs w:val="20"/>
          <w:color w:val="auto"/>
        </w:rPr>
      </w:pPr>
    </w:p>
    <w:p>
      <w:pPr>
        <w:ind w:right="20" w:firstLine="648"/>
        <w:spacing w:after="0" w:line="242" w:lineRule="auto"/>
        <w:rPr>
          <w:sz w:val="20"/>
          <w:szCs w:val="20"/>
          <w:color w:val="auto"/>
        </w:rPr>
      </w:pPr>
      <w:r>
        <w:rPr>
          <w:rFonts w:ascii="Arial" w:cs="Arial" w:eastAsia="Arial" w:hAnsi="Arial"/>
          <w:sz w:val="18"/>
          <w:szCs w:val="18"/>
          <w:i w:val="1"/>
          <w:iCs w:val="1"/>
          <w:color w:val="auto"/>
        </w:rPr>
        <w:t xml:space="preserve">Lease Commitments </w:t>
      </w:r>
      <w:r>
        <w:rPr>
          <w:rFonts w:ascii="Arial" w:cs="Arial" w:eastAsia="Arial" w:hAnsi="Arial"/>
          <w:sz w:val="18"/>
          <w:szCs w:val="18"/>
          <w:color w:val="auto"/>
        </w:rPr>
        <w:t>– The Company finances its use of certain facilities and equipment under committed</w:t>
      </w:r>
      <w:r>
        <w:rPr>
          <w:rFonts w:ascii="Arial" w:cs="Arial" w:eastAsia="Arial" w:hAnsi="Arial"/>
          <w:sz w:val="18"/>
          <w:szCs w:val="18"/>
          <w:i w:val="1"/>
          <w:iCs w:val="1"/>
          <w:color w:val="auto"/>
        </w:rPr>
        <w:t xml:space="preserve"> </w:t>
      </w:r>
      <w:r>
        <w:rPr>
          <w:rFonts w:ascii="Arial" w:cs="Arial" w:eastAsia="Arial" w:hAnsi="Arial"/>
          <w:sz w:val="18"/>
          <w:szCs w:val="18"/>
          <w:color w:val="auto"/>
        </w:rPr>
        <w:t>lease arrangements provided by various institutions. Since the terms of these arrangements meet the accounting definition of operating lease arrangements, the aggregate sum of future minimum lease payments is not reflected on the condensed consolidated balance sheets. At July 31, 2019, future minimum lease payments under these arrangements approximated $52.0, of which $22.9 is related to long-term real estate leases.</w:t>
      </w:r>
    </w:p>
    <w:p>
      <w:pPr>
        <w:spacing w:after="0" w:line="172" w:lineRule="exact"/>
        <w:rPr>
          <w:sz w:val="20"/>
          <w:szCs w:val="20"/>
          <w:color w:val="auto"/>
        </w:rPr>
      </w:pPr>
    </w:p>
    <w:p>
      <w:pPr>
        <w:jc w:val="both"/>
        <w:ind w:right="40" w:firstLine="648"/>
        <w:spacing w:after="0" w:line="251" w:lineRule="auto"/>
        <w:rPr>
          <w:sz w:val="20"/>
          <w:szCs w:val="20"/>
          <w:color w:val="auto"/>
        </w:rPr>
      </w:pPr>
      <w:r>
        <w:rPr>
          <w:rFonts w:ascii="Arial" w:cs="Arial" w:eastAsia="Arial" w:hAnsi="Arial"/>
          <w:sz w:val="18"/>
          <w:szCs w:val="18"/>
          <w:i w:val="1"/>
          <w:iCs w:val="1"/>
          <w:color w:val="auto"/>
        </w:rPr>
        <w:t xml:space="preserve">Litigation </w:t>
      </w:r>
      <w:r>
        <w:rPr>
          <w:rFonts w:ascii="Arial" w:cs="Arial" w:eastAsia="Arial" w:hAnsi="Arial"/>
          <w:sz w:val="18"/>
          <w:szCs w:val="18"/>
          <w:color w:val="auto"/>
        </w:rPr>
        <w:t>– The Company is a defendant in various legal actions arising in the normal course of business,</w:t>
      </w:r>
      <w:r>
        <w:rPr>
          <w:rFonts w:ascii="Arial" w:cs="Arial" w:eastAsia="Arial" w:hAnsi="Arial"/>
          <w:sz w:val="18"/>
          <w:szCs w:val="18"/>
          <w:i w:val="1"/>
          <w:iCs w:val="1"/>
          <w:color w:val="auto"/>
        </w:rPr>
        <w:t xml:space="preserve"> </w:t>
      </w:r>
      <w:r>
        <w:rPr>
          <w:rFonts w:ascii="Arial" w:cs="Arial" w:eastAsia="Arial" w:hAnsi="Arial"/>
          <w:sz w:val="18"/>
          <w:szCs w:val="18"/>
          <w:color w:val="auto"/>
        </w:rPr>
        <w:t>the outcomes of which, in the opinion of management, neither individually nor in the aggregate are likely to result in a material adverse effect on the Company’s condensed consolidated financial statements.</w:t>
      </w:r>
    </w:p>
    <w:p>
      <w:pPr>
        <w:spacing w:after="0" w:line="161" w:lineRule="exact"/>
        <w:rPr>
          <w:sz w:val="20"/>
          <w:szCs w:val="20"/>
          <w:color w:val="auto"/>
        </w:rPr>
      </w:pPr>
    </w:p>
    <w:p>
      <w:pPr>
        <w:ind w:right="40" w:firstLine="648"/>
        <w:spacing w:after="0" w:line="238" w:lineRule="auto"/>
        <w:rPr>
          <w:sz w:val="20"/>
          <w:szCs w:val="20"/>
          <w:color w:val="auto"/>
        </w:rPr>
      </w:pPr>
      <w:r>
        <w:rPr>
          <w:rFonts w:ascii="Arial" w:cs="Arial" w:eastAsia="Arial" w:hAnsi="Arial"/>
          <w:sz w:val="18"/>
          <w:szCs w:val="18"/>
          <w:i w:val="1"/>
          <w:iCs w:val="1"/>
          <w:color w:val="auto"/>
        </w:rPr>
        <w:t xml:space="preserve">Indemnities, Commitments and Guarantees </w:t>
      </w:r>
      <w:r>
        <w:rPr>
          <w:rFonts w:ascii="Arial" w:cs="Arial" w:eastAsia="Arial" w:hAnsi="Arial"/>
          <w:sz w:val="18"/>
          <w:szCs w:val="18"/>
          <w:color w:val="auto"/>
        </w:rPr>
        <w:t>– During its normal course of business, the Company has</w:t>
      </w:r>
      <w:r>
        <w:rPr>
          <w:rFonts w:ascii="Arial" w:cs="Arial" w:eastAsia="Arial" w:hAnsi="Arial"/>
          <w:sz w:val="18"/>
          <w:szCs w:val="18"/>
          <w:i w:val="1"/>
          <w:iCs w:val="1"/>
          <w:color w:val="auto"/>
        </w:rPr>
        <w:t xml:space="preserve"> </w:t>
      </w:r>
      <w:r>
        <w:rPr>
          <w:rFonts w:ascii="Arial" w:cs="Arial" w:eastAsia="Arial" w:hAnsi="Arial"/>
          <w:sz w:val="18"/>
          <w:szCs w:val="18"/>
          <w:color w:val="auto"/>
        </w:rPr>
        <w:t>made certain indemnities, commitments and guarantees under which it may be required to make payments in relation to certain transactions. These indemnities include indemnities to various lessors in connection with facility leases for certain claims arising from such facility or lease and indemnities to other parties to certain acquisition agreements. The duration of these indemnities, commitments and guarantees varies, and in certain cases, is indefinite. Many of these indemnities, commitments and guarantees provide for limitations on the maximum potential future payments the Company could be obligated to make. However, the Company is unable to estimate the maximum amount of liability related to its indemnities, commitments and guarantees because such liabilities are contingent upon the occurrence of events that are not reasonably determinable. Management believes that any liability for these indemnities, commitments and guarantees would not be material to the accompanying condensed consolidated financial statements. Accordingly, no significant amounts have been accrued for indemnities, commitments and guarantees.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Note 11. </w:t>
      </w:r>
      <w:r>
        <w:rPr>
          <w:rFonts w:ascii="Arial" w:cs="Arial" w:eastAsia="Arial" w:hAnsi="Arial"/>
          <w:sz w:val="18"/>
          <w:szCs w:val="18"/>
          <w:u w:val="single" w:color="auto"/>
          <w:color w:val="auto"/>
        </w:rPr>
        <w:t>Accounting for Stock-Based Compensation</w:t>
      </w:r>
    </w:p>
    <w:p>
      <w:pPr>
        <w:spacing w:after="0" w:line="171" w:lineRule="exact"/>
        <w:rPr>
          <w:sz w:val="20"/>
          <w:szCs w:val="20"/>
          <w:color w:val="auto"/>
        </w:rPr>
      </w:pPr>
    </w:p>
    <w:p>
      <w:pPr>
        <w:ind w:right="20" w:firstLine="648"/>
        <w:spacing w:after="0"/>
        <w:rPr>
          <w:sz w:val="20"/>
          <w:szCs w:val="20"/>
          <w:color w:val="auto"/>
        </w:rPr>
      </w:pPr>
      <w:r>
        <w:rPr>
          <w:rFonts w:ascii="Arial" w:cs="Arial" w:eastAsia="Arial" w:hAnsi="Arial"/>
          <w:sz w:val="18"/>
          <w:szCs w:val="18"/>
          <w:color w:val="auto"/>
        </w:rPr>
        <w:t>The Company has a Long-Term Incentive Plan (“LTIP”) under which its Compensation Committee has the authority to grant stock options, stock appreciation rights, restricted stock, restricted stock units or other forms of equity based or equity related awards.</w:t>
      </w:r>
    </w:p>
    <w:p>
      <w:pPr>
        <w:spacing w:after="0" w:line="189" w:lineRule="exact"/>
        <w:rPr>
          <w:sz w:val="20"/>
          <w:szCs w:val="20"/>
          <w:color w:val="auto"/>
        </w:rPr>
      </w:pPr>
    </w:p>
    <w:p>
      <w:pPr>
        <w:ind w:right="480" w:firstLine="648"/>
        <w:spacing w:after="0" w:line="246" w:lineRule="auto"/>
        <w:rPr>
          <w:sz w:val="20"/>
          <w:szCs w:val="20"/>
          <w:color w:val="auto"/>
        </w:rPr>
      </w:pPr>
      <w:r>
        <w:rPr>
          <w:rFonts w:ascii="Arial" w:cs="Arial" w:eastAsia="Arial" w:hAnsi="Arial"/>
          <w:sz w:val="18"/>
          <w:szCs w:val="18"/>
          <w:color w:val="auto"/>
        </w:rPr>
        <w:t>Compensation cost is generally recorded on a straight-line basis over the vesting term of the shares based on the grant date value using the closing trading price.</w:t>
      </w:r>
    </w:p>
    <w:p>
      <w:pPr>
        <w:spacing w:after="0" w:line="183" w:lineRule="exact"/>
        <w:rPr>
          <w:sz w:val="20"/>
          <w:szCs w:val="20"/>
          <w:color w:val="auto"/>
        </w:rPr>
      </w:pPr>
    </w:p>
    <w:p>
      <w:pPr>
        <w:ind w:right="160" w:firstLine="648"/>
        <w:spacing w:after="0" w:line="237" w:lineRule="auto"/>
        <w:rPr>
          <w:sz w:val="20"/>
          <w:szCs w:val="20"/>
          <w:color w:val="auto"/>
        </w:rPr>
      </w:pPr>
      <w:r>
        <w:rPr>
          <w:rFonts w:ascii="Arial" w:cs="Arial" w:eastAsia="Arial" w:hAnsi="Arial"/>
          <w:sz w:val="18"/>
          <w:szCs w:val="18"/>
          <w:color w:val="auto"/>
        </w:rPr>
        <w:t>Compensation cost recognized during the three and six months ended July 31, 2019 and 2018 primarily related to grants of restricted stock and restricted stock units granted or approved by our Compensation Committee and Former Parent, respectively. As a result, share based compensation was $4.6 and $2.5 for the three months ended July 31, 2019 and 2018, respectively, and $9.0 and $4.9 for the six months ended July 31, 2019 and 2018, respectively. Unrecognized compensation cost related to restricted stock awards made by the Company was $56.7 at July 31, 2019.</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40" w:right="1419" w:bottom="1440" w:gutter="0" w:footer="0" w:header="0"/>
        </w:sectPr>
      </w:pPr>
    </w:p>
    <w:bookmarkStart w:id="13" w:name="page14"/>
    <w:bookmarkEnd w:id="1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35"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The Company has established a qualified Employee Stock Purchase Plan, the terms of which allow for qualified employees (as defined in the Plan) to participate in the purchase of designated shares of the Company’s common stock at a price equal to 85% of the closing price on the last business day of each semi-annual stock purchase period. The fair value of the employee purchase rights represents the difference between the closing price of the Company’s shares on the date of purchase and the purchase price of the shares. Compensation cost was immaterial and $0.1 for the three and six months ended July 31, 2018, respectively, and relates to the Former Parent’s employee stock purchase plan. The Company’s first option period began on January 1, 2019. Compensation cost was immaterial and $0.1 for the three and six months ended July 31, 2019, respectively.</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Note 12. </w:t>
      </w:r>
      <w:r>
        <w:rPr>
          <w:rFonts w:ascii="Arial" w:cs="Arial" w:eastAsia="Arial" w:hAnsi="Arial"/>
          <w:sz w:val="18"/>
          <w:szCs w:val="18"/>
          <w:u w:val="single" w:color="auto"/>
          <w:color w:val="auto"/>
        </w:rPr>
        <w:t>Income Taxes</w:t>
      </w:r>
    </w:p>
    <w:p>
      <w:pPr>
        <w:spacing w:after="0" w:line="212" w:lineRule="exact"/>
        <w:rPr>
          <w:sz w:val="20"/>
          <w:szCs w:val="20"/>
          <w:color w:val="auto"/>
        </w:rPr>
      </w:pPr>
    </w:p>
    <w:p>
      <w:pPr>
        <w:ind w:right="20" w:firstLine="648"/>
        <w:spacing w:after="0" w:line="237" w:lineRule="auto"/>
        <w:rPr>
          <w:sz w:val="20"/>
          <w:szCs w:val="20"/>
          <w:color w:val="auto"/>
        </w:rPr>
      </w:pPr>
      <w:r>
        <w:rPr>
          <w:rFonts w:ascii="Arial" w:cs="Arial" w:eastAsia="Arial" w:hAnsi="Arial"/>
          <w:sz w:val="18"/>
          <w:szCs w:val="18"/>
          <w:color w:val="auto"/>
        </w:rPr>
        <w:t>Income tax expense was $0.1 and $0.4 for the three and six months ended July 31, 2019, respectively, and was comprised primarily of state and local taxes, compared to $ 0.1 and $0.1 for the three and six months ended July 31, 2018, respectively. Due to the fact the Company has a valuation allowance against its deferred tax balances, it was unable to recognize a tax benefit at the federal statutory rate of 21% on its year to date losses. The Company has established a valuation allowance against the majority of its deferred tax balances with a net deferred tax liability remaining related to the Red Bone acquisition.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Note 13. </w:t>
      </w:r>
      <w:r>
        <w:rPr>
          <w:rFonts w:ascii="Arial" w:cs="Arial" w:eastAsia="Arial" w:hAnsi="Arial"/>
          <w:sz w:val="18"/>
          <w:szCs w:val="18"/>
          <w:u w:val="single" w:color="auto"/>
          <w:color w:val="auto"/>
        </w:rPr>
        <w:t>Segment Reporting</w:t>
      </w:r>
    </w:p>
    <w:p>
      <w:pPr>
        <w:spacing w:after="0" w:line="171" w:lineRule="exact"/>
        <w:rPr>
          <w:sz w:val="20"/>
          <w:szCs w:val="20"/>
          <w:color w:val="auto"/>
        </w:rPr>
      </w:pPr>
    </w:p>
    <w:p>
      <w:pPr>
        <w:ind w:right="40" w:firstLine="648"/>
        <w:spacing w:after="0" w:line="236" w:lineRule="auto"/>
        <w:rPr>
          <w:sz w:val="20"/>
          <w:szCs w:val="20"/>
          <w:color w:val="auto"/>
        </w:rPr>
      </w:pPr>
      <w:r>
        <w:rPr>
          <w:rFonts w:ascii="Arial" w:cs="Arial" w:eastAsia="Arial" w:hAnsi="Arial"/>
          <w:sz w:val="18"/>
          <w:szCs w:val="18"/>
          <w:color w:val="auto"/>
        </w:rPr>
        <w:t>The Company is organized on a geographic basis. The Company’s reportable segments, which are also its operating segments, are comprised of the Southwest (the Permian Basin and the Eagle Ford), the Rocky Mountains (the Bakken, Williston, DJ, Uinta, Powder River, Piceance and Niobrara basins) and the Northeast/Mid-Con (the Marcellus and Utica as well as the Mid-Continent STACK and SCOOP and Haynesville). The segments regularly report their results of operations and make requests for capital expenditures and acquisition funding to the Company’s chief operational decision-making group (“CODM”). This group is comprised of the Chairman and Chief Executive Officer and the Senior Vice President and Chief Financial Officer. As a result, the CODM has determined the Company has three reportable segments.</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revenues and operating earnings (losses) by reportable segment:</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2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3260" w:type="dxa"/>
            <w:vAlign w:val="bottom"/>
            <w:gridSpan w:val="7"/>
          </w:tcPr>
          <w:p>
            <w:pPr>
              <w:ind w:left="1540"/>
              <w:spacing w:after="0"/>
              <w:rPr>
                <w:sz w:val="20"/>
                <w:szCs w:val="20"/>
                <w:color w:val="auto"/>
              </w:rPr>
            </w:pPr>
            <w:r>
              <w:rPr>
                <w:rFonts w:ascii="Arial" w:cs="Arial" w:eastAsia="Arial" w:hAnsi="Arial"/>
                <w:sz w:val="16"/>
                <w:szCs w:val="16"/>
                <w:b w:val="1"/>
                <w:bCs w:val="1"/>
                <w:color w:val="auto"/>
              </w:rPr>
              <w:t>Three Months Ended</w:t>
            </w:r>
          </w:p>
        </w:tc>
        <w:tc>
          <w:tcPr>
            <w:tcW w:w="120" w:type="dxa"/>
            <w:vAlign w:val="bottom"/>
          </w:tcPr>
          <w:p>
            <w:pPr>
              <w:spacing w:after="0"/>
              <w:rPr>
                <w:sz w:val="18"/>
                <w:szCs w:val="18"/>
                <w:color w:val="auto"/>
              </w:rPr>
            </w:pPr>
          </w:p>
        </w:tc>
        <w:tc>
          <w:tcPr>
            <w:tcW w:w="1540" w:type="dxa"/>
            <w:vAlign w:val="bottom"/>
            <w:gridSpan w:val="5"/>
          </w:tcPr>
          <w:p>
            <w:pPr>
              <w:jc w:val="right"/>
              <w:spacing w:after="0"/>
              <w:rPr>
                <w:sz w:val="20"/>
                <w:szCs w:val="20"/>
                <w:color w:val="auto"/>
              </w:rPr>
            </w:pPr>
            <w:r>
              <w:rPr>
                <w:rFonts w:ascii="Arial" w:cs="Arial" w:eastAsia="Arial" w:hAnsi="Arial"/>
                <w:sz w:val="16"/>
                <w:szCs w:val="16"/>
                <w:b w:val="1"/>
                <w:bCs w:val="1"/>
                <w:color w:val="auto"/>
              </w:rPr>
              <w:t>Six Months Ended</w:t>
            </w:r>
          </w:p>
        </w:tc>
      </w:tr>
      <w:tr>
        <w:trPr>
          <w:trHeight w:val="164"/>
        </w:trPr>
        <w:tc>
          <w:tcPr>
            <w:tcW w:w="228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880" w:type="dxa"/>
            <w:vAlign w:val="bottom"/>
            <w:tcBorders>
              <w:top w:val="single" w:sz="8" w:color="auto"/>
            </w:tcBorders>
            <w:gridSpan w:val="3"/>
          </w:tcPr>
          <w:p>
            <w:pPr>
              <w:ind w:left="40"/>
              <w:spacing w:after="0" w:line="165" w:lineRule="exact"/>
              <w:rPr>
                <w:sz w:val="20"/>
                <w:szCs w:val="20"/>
                <w:color w:val="auto"/>
              </w:rPr>
            </w:pPr>
            <w:r>
              <w:rPr>
                <w:rFonts w:ascii="Arial" w:cs="Arial" w:eastAsia="Arial" w:hAnsi="Arial"/>
                <w:sz w:val="16"/>
                <w:szCs w:val="16"/>
                <w:b w:val="1"/>
                <w:bCs w:val="1"/>
                <w:color w:val="auto"/>
              </w:rPr>
              <w:t>July 31,</w:t>
            </w:r>
          </w:p>
        </w:tc>
        <w:tc>
          <w:tcPr>
            <w:tcW w:w="700" w:type="dxa"/>
            <w:vAlign w:val="bottom"/>
            <w:tcBorders>
              <w:top w:val="single" w:sz="8" w:color="auto"/>
            </w:tcBorders>
            <w:gridSpan w:val="2"/>
          </w:tcPr>
          <w:p>
            <w:pPr>
              <w:jc w:val="right"/>
              <w:spacing w:after="0" w:line="165" w:lineRule="exact"/>
              <w:rPr>
                <w:sz w:val="20"/>
                <w:szCs w:val="20"/>
                <w:color w:val="auto"/>
              </w:rPr>
            </w:pPr>
            <w:r>
              <w:rPr>
                <w:rFonts w:ascii="Arial" w:cs="Arial" w:eastAsia="Arial" w:hAnsi="Arial"/>
                <w:sz w:val="16"/>
                <w:szCs w:val="16"/>
                <w:b w:val="1"/>
                <w:bCs w:val="1"/>
                <w:color w:val="auto"/>
              </w:rPr>
              <w:t>July 31,</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Borders>
              <w:top w:val="single" w:sz="8" w:color="auto"/>
            </w:tcBorders>
            <w:gridSpan w:val="3"/>
          </w:tcPr>
          <w:p>
            <w:pPr>
              <w:ind w:left="20"/>
              <w:spacing w:after="0" w:line="165" w:lineRule="exact"/>
              <w:rPr>
                <w:sz w:val="20"/>
                <w:szCs w:val="20"/>
                <w:color w:val="auto"/>
              </w:rPr>
            </w:pPr>
            <w:r>
              <w:rPr>
                <w:rFonts w:ascii="Arial" w:cs="Arial" w:eastAsia="Arial" w:hAnsi="Arial"/>
                <w:sz w:val="16"/>
                <w:szCs w:val="16"/>
                <w:b w:val="1"/>
                <w:bCs w:val="1"/>
                <w:color w:val="auto"/>
              </w:rPr>
              <w:t>July 31,</w:t>
            </w:r>
          </w:p>
        </w:tc>
        <w:tc>
          <w:tcPr>
            <w:tcW w:w="680" w:type="dxa"/>
            <w:vAlign w:val="bottom"/>
            <w:tcBorders>
              <w:top w:val="single" w:sz="8" w:color="auto"/>
            </w:tcBorders>
            <w:gridSpan w:val="2"/>
          </w:tcPr>
          <w:p>
            <w:pPr>
              <w:ind w:left="20"/>
              <w:spacing w:after="0" w:line="165" w:lineRule="exact"/>
              <w:rPr>
                <w:sz w:val="20"/>
                <w:szCs w:val="20"/>
                <w:color w:val="auto"/>
              </w:rPr>
            </w:pPr>
            <w:r>
              <w:rPr>
                <w:rFonts w:ascii="Arial" w:cs="Arial" w:eastAsia="Arial" w:hAnsi="Arial"/>
                <w:sz w:val="16"/>
                <w:szCs w:val="16"/>
                <w:b w:val="1"/>
                <w:bCs w:val="1"/>
                <w:color w:val="auto"/>
              </w:rPr>
              <w:t>July 31,</w:t>
            </w:r>
          </w:p>
        </w:tc>
      </w:tr>
      <w:tr>
        <w:trPr>
          <w:trHeight w:val="207"/>
        </w:trPr>
        <w:tc>
          <w:tcPr>
            <w:tcW w:w="2280" w:type="dxa"/>
            <w:vAlign w:val="bottom"/>
            <w:tcBorders>
              <w:bottom w:val="single" w:sz="8" w:color="CCEEFF"/>
            </w:tcBorders>
          </w:tcPr>
          <w:p>
            <w:pPr>
              <w:spacing w:after="0"/>
              <w:rPr>
                <w:sz w:val="18"/>
                <w:szCs w:val="18"/>
                <w:color w:val="auto"/>
              </w:rPr>
            </w:pPr>
          </w:p>
        </w:tc>
        <w:tc>
          <w:tcPr>
            <w:tcW w:w="1860" w:type="dxa"/>
            <w:vAlign w:val="bottom"/>
            <w:tcBorders>
              <w:bottom w:val="single" w:sz="8" w:color="CCEEFF"/>
            </w:tcBorders>
          </w:tcPr>
          <w:p>
            <w:pPr>
              <w:spacing w:after="0"/>
              <w:rPr>
                <w:sz w:val="18"/>
                <w:szCs w:val="18"/>
                <w:color w:val="auto"/>
              </w:rPr>
            </w:pPr>
          </w:p>
        </w:tc>
        <w:tc>
          <w:tcPr>
            <w:tcW w:w="15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2019</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2018</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2019</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2018</w:t>
            </w:r>
          </w:p>
        </w:tc>
      </w:tr>
      <w:tr>
        <w:trPr>
          <w:trHeight w:val="183"/>
        </w:trPr>
        <w:tc>
          <w:tcPr>
            <w:tcW w:w="4140" w:type="dxa"/>
            <w:vAlign w:val="bottom"/>
            <w:gridSpan w:val="2"/>
            <w:shd w:val="clear" w:color="auto" w:fill="CCEEFF"/>
          </w:tcPr>
          <w:p>
            <w:pPr>
              <w:spacing w:after="0" w:line="177" w:lineRule="exact"/>
              <w:rPr>
                <w:sz w:val="20"/>
                <w:szCs w:val="20"/>
                <w:color w:val="auto"/>
              </w:rPr>
            </w:pPr>
            <w:r>
              <w:rPr>
                <w:rFonts w:ascii="Arial" w:cs="Arial" w:eastAsia="Arial" w:hAnsi="Arial"/>
                <w:sz w:val="16"/>
                <w:szCs w:val="16"/>
                <w:color w:val="auto"/>
              </w:rPr>
              <w:t>Revenues</w:t>
            </w:r>
          </w:p>
        </w:tc>
        <w:tc>
          <w:tcPr>
            <w:tcW w:w="15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r>
      <w:tr>
        <w:trPr>
          <w:trHeight w:val="189"/>
        </w:trPr>
        <w:tc>
          <w:tcPr>
            <w:tcW w:w="4140" w:type="dxa"/>
            <w:vAlign w:val="bottom"/>
            <w:gridSpan w:val="2"/>
          </w:tcPr>
          <w:p>
            <w:pPr>
              <w:ind w:left="120"/>
              <w:spacing w:after="0"/>
              <w:rPr>
                <w:sz w:val="20"/>
                <w:szCs w:val="20"/>
                <w:color w:val="auto"/>
              </w:rPr>
            </w:pPr>
            <w:r>
              <w:rPr>
                <w:rFonts w:ascii="Arial" w:cs="Arial" w:eastAsia="Arial" w:hAnsi="Arial"/>
                <w:sz w:val="16"/>
                <w:szCs w:val="16"/>
                <w:color w:val="auto"/>
              </w:rPr>
              <w:t>Southwest</w:t>
            </w:r>
          </w:p>
        </w:tc>
        <w:tc>
          <w:tcPr>
            <w:tcW w:w="1680" w:type="dxa"/>
            <w:vAlign w:val="bottom"/>
            <w:gridSpan w:val="2"/>
          </w:tcPr>
          <w:p>
            <w:pPr>
              <w:ind w:left="1540"/>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53.3</w:t>
            </w:r>
          </w:p>
        </w:tc>
        <w:tc>
          <w:tcPr>
            <w:tcW w:w="1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40.6</w:t>
            </w:r>
          </w:p>
        </w:tc>
        <w:tc>
          <w:tcPr>
            <w:tcW w:w="140" w:type="dxa"/>
            <w:vAlign w:val="bottom"/>
          </w:tcPr>
          <w:p>
            <w:pPr>
              <w:spacing w:after="0"/>
              <w:rPr>
                <w:sz w:val="16"/>
                <w:szCs w:val="16"/>
                <w:color w:val="auto"/>
              </w:rPr>
            </w:pPr>
          </w:p>
        </w:tc>
        <w:tc>
          <w:tcPr>
            <w:tcW w:w="24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111.3</w:t>
            </w:r>
          </w:p>
        </w:tc>
        <w:tc>
          <w:tcPr>
            <w:tcW w:w="180" w:type="dxa"/>
            <w:vAlign w:val="bottom"/>
          </w:tcPr>
          <w:p>
            <w:pPr>
              <w:spacing w:after="0"/>
              <w:rPr>
                <w:sz w:val="16"/>
                <w:szCs w:val="16"/>
                <w:color w:val="auto"/>
              </w:rPr>
            </w:pPr>
          </w:p>
        </w:tc>
        <w:tc>
          <w:tcPr>
            <w:tcW w:w="140" w:type="dxa"/>
            <w:vAlign w:val="bottom"/>
          </w:tcPr>
          <w:p>
            <w:pPr>
              <w:spacing w:after="0"/>
              <w:rPr>
                <w:sz w:val="20"/>
                <w:szCs w:val="20"/>
                <w:color w:val="auto"/>
              </w:rPr>
            </w:pPr>
            <w:r>
              <w:rPr>
                <w:rFonts w:ascii="Arial" w:cs="Arial" w:eastAsia="Arial" w:hAnsi="Arial"/>
                <w:sz w:val="16"/>
                <w:szCs w:val="16"/>
                <w:color w:val="auto"/>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80.4</w:t>
            </w:r>
          </w:p>
        </w:tc>
      </w:tr>
      <w:tr>
        <w:trPr>
          <w:trHeight w:val="189"/>
        </w:trPr>
        <w:tc>
          <w:tcPr>
            <w:tcW w:w="414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Rocky Mountains</w:t>
            </w:r>
          </w:p>
        </w:tc>
        <w:tc>
          <w:tcPr>
            <w:tcW w:w="15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63.5</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47.8</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112.1</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88.0</w:t>
            </w:r>
          </w:p>
        </w:tc>
      </w:tr>
      <w:tr>
        <w:trPr>
          <w:trHeight w:val="189"/>
        </w:trPr>
        <w:tc>
          <w:tcPr>
            <w:tcW w:w="4140" w:type="dxa"/>
            <w:vAlign w:val="bottom"/>
            <w:tcBorders>
              <w:bottom w:val="single" w:sz="8" w:color="CCEEFF"/>
            </w:tcBorders>
            <w:gridSpan w:val="2"/>
          </w:tcPr>
          <w:p>
            <w:pPr>
              <w:ind w:left="120"/>
              <w:spacing w:after="0"/>
              <w:rPr>
                <w:sz w:val="20"/>
                <w:szCs w:val="20"/>
                <w:color w:val="auto"/>
              </w:rPr>
            </w:pPr>
            <w:r>
              <w:rPr>
                <w:rFonts w:ascii="Arial" w:cs="Arial" w:eastAsia="Arial" w:hAnsi="Arial"/>
                <w:sz w:val="16"/>
                <w:szCs w:val="16"/>
                <w:color w:val="auto"/>
              </w:rPr>
              <w:t>Northeast/Mid-Con</w:t>
            </w:r>
          </w:p>
        </w:tc>
        <w:tc>
          <w:tcPr>
            <w:tcW w:w="15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48.1</w:t>
            </w:r>
          </w:p>
        </w:tc>
        <w:tc>
          <w:tcPr>
            <w:tcW w:w="1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29.5</w:t>
            </w:r>
          </w:p>
        </w:tc>
        <w:tc>
          <w:tcPr>
            <w:tcW w:w="14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87.3</w:t>
            </w:r>
          </w:p>
        </w:tc>
        <w:tc>
          <w:tcPr>
            <w:tcW w:w="1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59.8</w:t>
            </w:r>
          </w:p>
        </w:tc>
      </w:tr>
      <w:tr>
        <w:trPr>
          <w:trHeight w:val="183"/>
        </w:trPr>
        <w:tc>
          <w:tcPr>
            <w:tcW w:w="4140" w:type="dxa"/>
            <w:vAlign w:val="bottom"/>
            <w:gridSpan w:val="2"/>
            <w:shd w:val="clear" w:color="auto" w:fill="CCEEFF"/>
          </w:tcPr>
          <w:p>
            <w:pPr>
              <w:ind w:left="220"/>
              <w:spacing w:after="0" w:line="177" w:lineRule="exact"/>
              <w:rPr>
                <w:sz w:val="20"/>
                <w:szCs w:val="20"/>
                <w:color w:val="auto"/>
              </w:rPr>
            </w:pPr>
            <w:r>
              <w:rPr>
                <w:rFonts w:ascii="Arial" w:cs="Arial" w:eastAsia="Arial" w:hAnsi="Arial"/>
                <w:sz w:val="16"/>
                <w:szCs w:val="16"/>
                <w:color w:val="auto"/>
              </w:rPr>
              <w:t>Total revenues</w:t>
            </w:r>
          </w:p>
        </w:tc>
        <w:tc>
          <w:tcPr>
            <w:tcW w:w="15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164.9</w:t>
            </w: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117.9</w:t>
            </w: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310.7</w:t>
            </w: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228.2</w:t>
            </w:r>
          </w:p>
        </w:tc>
      </w:tr>
      <w:tr>
        <w:trPr>
          <w:trHeight w:val="189"/>
        </w:trPr>
        <w:tc>
          <w:tcPr>
            <w:tcW w:w="4140" w:type="dxa"/>
            <w:vAlign w:val="bottom"/>
            <w:gridSpan w:val="2"/>
          </w:tcPr>
          <w:p>
            <w:pPr>
              <w:spacing w:after="0" w:line="189" w:lineRule="exact"/>
              <w:rPr>
                <w:sz w:val="20"/>
                <w:szCs w:val="20"/>
                <w:color w:val="auto"/>
              </w:rPr>
            </w:pPr>
            <w:r>
              <w:rPr>
                <w:rFonts w:ascii="Arial" w:cs="Arial" w:eastAsia="Arial" w:hAnsi="Arial"/>
                <w:sz w:val="16"/>
                <w:szCs w:val="16"/>
                <w:color w:val="auto"/>
              </w:rPr>
              <w:t>Operating earnings (loss)</w:t>
            </w:r>
            <w:r>
              <w:rPr>
                <w:rFonts w:ascii="Arial" w:cs="Arial" w:eastAsia="Arial" w:hAnsi="Arial"/>
                <w:sz w:val="17"/>
                <w:szCs w:val="17"/>
                <w:color w:val="auto"/>
                <w:vertAlign w:val="superscript"/>
              </w:rPr>
              <w:t>(1)</w:t>
            </w:r>
          </w:p>
        </w:tc>
        <w:tc>
          <w:tcPr>
            <w:tcW w:w="1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r>
      <w:tr>
        <w:trPr>
          <w:trHeight w:val="189"/>
        </w:trPr>
        <w:tc>
          <w:tcPr>
            <w:tcW w:w="414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Southwest</w:t>
            </w:r>
          </w:p>
        </w:tc>
        <w:tc>
          <w:tcPr>
            <w:tcW w:w="15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w:t>
            </w:r>
          </w:p>
        </w:tc>
      </w:tr>
      <w:tr>
        <w:trPr>
          <w:trHeight w:val="189"/>
        </w:trPr>
        <w:tc>
          <w:tcPr>
            <w:tcW w:w="4140" w:type="dxa"/>
            <w:vAlign w:val="bottom"/>
            <w:gridSpan w:val="2"/>
          </w:tcPr>
          <w:p>
            <w:pPr>
              <w:ind w:left="120"/>
              <w:spacing w:after="0"/>
              <w:rPr>
                <w:sz w:val="20"/>
                <w:szCs w:val="20"/>
                <w:color w:val="auto"/>
              </w:rPr>
            </w:pPr>
            <w:r>
              <w:rPr>
                <w:rFonts w:ascii="Arial" w:cs="Arial" w:eastAsia="Arial" w:hAnsi="Arial"/>
                <w:sz w:val="16"/>
                <w:szCs w:val="16"/>
                <w:color w:val="auto"/>
              </w:rPr>
              <w:t>Rocky Mountains</w:t>
            </w:r>
          </w:p>
        </w:tc>
        <w:tc>
          <w:tcPr>
            <w:tcW w:w="1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8.7</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5.3</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11.6</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6.5</w:t>
            </w:r>
          </w:p>
        </w:tc>
      </w:tr>
      <w:tr>
        <w:trPr>
          <w:trHeight w:val="189"/>
        </w:trPr>
        <w:tc>
          <w:tcPr>
            <w:tcW w:w="414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Northeast/Mid-Con</w:t>
            </w:r>
          </w:p>
        </w:tc>
        <w:tc>
          <w:tcPr>
            <w:tcW w:w="154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18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w:t>
            </w:r>
          </w:p>
        </w:tc>
        <w:tc>
          <w:tcPr>
            <w:tcW w:w="18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w:t>
            </w:r>
          </w:p>
        </w:tc>
      </w:tr>
      <w:tr>
        <w:trPr>
          <w:trHeight w:val="183"/>
        </w:trPr>
        <w:tc>
          <w:tcPr>
            <w:tcW w:w="4140" w:type="dxa"/>
            <w:vAlign w:val="bottom"/>
            <w:gridSpan w:val="2"/>
          </w:tcPr>
          <w:p>
            <w:pPr>
              <w:ind w:left="220"/>
              <w:spacing w:after="0" w:line="177" w:lineRule="exact"/>
              <w:rPr>
                <w:sz w:val="20"/>
                <w:szCs w:val="20"/>
                <w:color w:val="auto"/>
              </w:rPr>
            </w:pPr>
            <w:r>
              <w:rPr>
                <w:rFonts w:ascii="Arial" w:cs="Arial" w:eastAsia="Arial" w:hAnsi="Arial"/>
                <w:sz w:val="16"/>
                <w:szCs w:val="16"/>
                <w:color w:val="auto"/>
              </w:rPr>
              <w:t>Total operating earnings</w:t>
            </w:r>
          </w:p>
        </w:tc>
        <w:tc>
          <w:tcPr>
            <w:tcW w:w="1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jc w:val="right"/>
              <w:spacing w:after="0" w:line="183" w:lineRule="exact"/>
              <w:rPr>
                <w:sz w:val="20"/>
                <w:szCs w:val="20"/>
                <w:color w:val="auto"/>
              </w:rPr>
            </w:pPr>
            <w:r>
              <w:rPr>
                <w:rFonts w:ascii="Arial" w:cs="Arial" w:eastAsia="Arial" w:hAnsi="Arial"/>
                <w:sz w:val="16"/>
                <w:szCs w:val="16"/>
                <w:color w:val="auto"/>
              </w:rPr>
              <w:t>11.0</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jc w:val="right"/>
              <w:spacing w:after="0" w:line="183" w:lineRule="exact"/>
              <w:rPr>
                <w:sz w:val="20"/>
                <w:szCs w:val="20"/>
                <w:color w:val="auto"/>
              </w:rPr>
            </w:pPr>
            <w:r>
              <w:rPr>
                <w:rFonts w:ascii="Arial" w:cs="Arial" w:eastAsia="Arial" w:hAnsi="Arial"/>
                <w:sz w:val="16"/>
                <w:szCs w:val="16"/>
                <w:color w:val="auto"/>
              </w:rPr>
              <w:t>13.7</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jc w:val="right"/>
              <w:spacing w:after="0" w:line="183" w:lineRule="exact"/>
              <w:rPr>
                <w:sz w:val="20"/>
                <w:szCs w:val="20"/>
                <w:color w:val="auto"/>
              </w:rPr>
            </w:pPr>
            <w:r>
              <w:rPr>
                <w:rFonts w:ascii="Arial" w:cs="Arial" w:eastAsia="Arial" w:hAnsi="Arial"/>
                <w:sz w:val="16"/>
                <w:szCs w:val="16"/>
                <w:color w:val="auto"/>
              </w:rPr>
              <w:t>13.4</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jc w:val="right"/>
              <w:spacing w:after="0" w:line="183" w:lineRule="exact"/>
              <w:rPr>
                <w:sz w:val="20"/>
                <w:szCs w:val="20"/>
                <w:color w:val="auto"/>
              </w:rPr>
            </w:pPr>
            <w:r>
              <w:rPr>
                <w:rFonts w:ascii="Arial" w:cs="Arial" w:eastAsia="Arial" w:hAnsi="Arial"/>
                <w:sz w:val="16"/>
                <w:szCs w:val="16"/>
                <w:color w:val="auto"/>
              </w:rPr>
              <w:t>19.5</w:t>
            </w:r>
          </w:p>
        </w:tc>
      </w:tr>
      <w:tr>
        <w:trPr>
          <w:trHeight w:val="189"/>
        </w:trPr>
        <w:tc>
          <w:tcPr>
            <w:tcW w:w="41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Interest expense</w:t>
            </w:r>
          </w:p>
        </w:tc>
        <w:tc>
          <w:tcPr>
            <w:tcW w:w="154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w:t>
            </w:r>
          </w:p>
        </w:tc>
        <w:tc>
          <w:tcPr>
            <w:tcW w:w="18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14.5</w:t>
            </w:r>
          </w:p>
        </w:tc>
        <w:tc>
          <w:tcPr>
            <w:tcW w:w="18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190"/>
        </w:trPr>
        <w:tc>
          <w:tcPr>
            <w:tcW w:w="4140" w:type="dxa"/>
            <w:vAlign w:val="bottom"/>
            <w:gridSpan w:val="2"/>
          </w:tcPr>
          <w:p>
            <w:pPr>
              <w:spacing w:after="0" w:line="177" w:lineRule="exact"/>
              <w:rPr>
                <w:sz w:val="20"/>
                <w:szCs w:val="20"/>
                <w:color w:val="auto"/>
              </w:rPr>
            </w:pPr>
            <w:r>
              <w:rPr>
                <w:rFonts w:ascii="Arial" w:cs="Arial" w:eastAsia="Arial" w:hAnsi="Arial"/>
                <w:sz w:val="16"/>
                <w:szCs w:val="16"/>
                <w:color w:val="auto"/>
              </w:rPr>
              <w:t>Earnings (loss) before income taxes</w:t>
            </w:r>
          </w:p>
        </w:tc>
        <w:tc>
          <w:tcPr>
            <w:tcW w:w="1680" w:type="dxa"/>
            <w:vAlign w:val="bottom"/>
            <w:gridSpan w:val="2"/>
          </w:tcPr>
          <w:p>
            <w:pPr>
              <w:ind w:left="1540"/>
              <w:spacing w:after="0" w:line="183" w:lineRule="exact"/>
              <w:rPr>
                <w:sz w:val="20"/>
                <w:szCs w:val="20"/>
                <w:color w:val="auto"/>
              </w:rPr>
            </w:pPr>
            <w:r>
              <w:rPr>
                <w:rFonts w:ascii="Arial" w:cs="Arial" w:eastAsia="Arial" w:hAnsi="Arial"/>
                <w:sz w:val="16"/>
                <w:szCs w:val="16"/>
                <w:color w:val="auto"/>
              </w:rPr>
              <w:t>$</w:t>
            </w:r>
          </w:p>
        </w:tc>
        <w:tc>
          <w:tcPr>
            <w:tcW w:w="560" w:type="dxa"/>
            <w:vAlign w:val="bottom"/>
          </w:tcPr>
          <w:p>
            <w:pPr>
              <w:jc w:val="right"/>
              <w:spacing w:after="0" w:line="183" w:lineRule="exact"/>
              <w:rPr>
                <w:sz w:val="20"/>
                <w:szCs w:val="20"/>
                <w:color w:val="auto"/>
              </w:rPr>
            </w:pPr>
            <w:r>
              <w:rPr>
                <w:rFonts w:ascii="Arial" w:cs="Arial" w:eastAsia="Arial" w:hAnsi="Arial"/>
                <w:sz w:val="16"/>
                <w:szCs w:val="16"/>
                <w:color w:val="auto"/>
              </w:rPr>
              <w:t>3.6</w:t>
            </w:r>
          </w:p>
        </w:tc>
        <w:tc>
          <w:tcPr>
            <w:tcW w:w="180" w:type="dxa"/>
            <w:vAlign w:val="bottom"/>
          </w:tcPr>
          <w:p>
            <w:pPr>
              <w:spacing w:after="0"/>
              <w:rPr>
                <w:sz w:val="16"/>
                <w:szCs w:val="16"/>
                <w:color w:val="auto"/>
              </w:rPr>
            </w:pPr>
          </w:p>
        </w:tc>
        <w:tc>
          <w:tcPr>
            <w:tcW w:w="140" w:type="dxa"/>
            <w:vAlign w:val="bottom"/>
          </w:tcPr>
          <w:p>
            <w:pPr>
              <w:jc w:val="right"/>
              <w:spacing w:after="0" w:line="183" w:lineRule="exact"/>
              <w:rPr>
                <w:sz w:val="20"/>
                <w:szCs w:val="20"/>
                <w:color w:val="auto"/>
              </w:rPr>
            </w:pPr>
            <w:r>
              <w:rPr>
                <w:rFonts w:ascii="Arial" w:cs="Arial" w:eastAsia="Arial" w:hAnsi="Arial"/>
                <w:sz w:val="16"/>
                <w:szCs w:val="16"/>
                <w:color w:val="auto"/>
                <w:w w:val="89"/>
              </w:rPr>
              <w:t>$</w:t>
            </w:r>
          </w:p>
        </w:tc>
        <w:tc>
          <w:tcPr>
            <w:tcW w:w="560" w:type="dxa"/>
            <w:vAlign w:val="bottom"/>
          </w:tcPr>
          <w:p>
            <w:pPr>
              <w:jc w:val="right"/>
              <w:spacing w:after="0" w:line="183" w:lineRule="exact"/>
              <w:rPr>
                <w:sz w:val="20"/>
                <w:szCs w:val="20"/>
                <w:color w:val="auto"/>
              </w:rPr>
            </w:pPr>
            <w:r>
              <w:rPr>
                <w:rFonts w:ascii="Arial" w:cs="Arial" w:eastAsia="Arial" w:hAnsi="Arial"/>
                <w:sz w:val="16"/>
                <w:szCs w:val="16"/>
                <w:color w:val="auto"/>
              </w:rPr>
              <w:t>13.7</w:t>
            </w:r>
          </w:p>
        </w:tc>
        <w:tc>
          <w:tcPr>
            <w:tcW w:w="140" w:type="dxa"/>
            <w:vAlign w:val="bottom"/>
          </w:tcPr>
          <w:p>
            <w:pPr>
              <w:spacing w:after="0"/>
              <w:rPr>
                <w:sz w:val="16"/>
                <w:szCs w:val="16"/>
                <w:color w:val="auto"/>
              </w:rPr>
            </w:pPr>
          </w:p>
        </w:tc>
        <w:tc>
          <w:tcPr>
            <w:tcW w:w="240" w:type="dxa"/>
            <w:vAlign w:val="bottom"/>
            <w:gridSpan w:val="2"/>
          </w:tcPr>
          <w:p>
            <w:pPr>
              <w:ind w:left="120"/>
              <w:spacing w:after="0" w:line="183" w:lineRule="exact"/>
              <w:rPr>
                <w:sz w:val="20"/>
                <w:szCs w:val="20"/>
                <w:color w:val="auto"/>
              </w:rPr>
            </w:pPr>
            <w:r>
              <w:rPr>
                <w:rFonts w:ascii="Arial" w:cs="Arial" w:eastAsia="Arial" w:hAnsi="Arial"/>
                <w:sz w:val="16"/>
                <w:szCs w:val="16"/>
                <w:color w:val="auto"/>
              </w:rPr>
              <w:t>$</w:t>
            </w:r>
          </w:p>
        </w:tc>
        <w:tc>
          <w:tcPr>
            <w:tcW w:w="560" w:type="dxa"/>
            <w:vAlign w:val="bottom"/>
          </w:tcPr>
          <w:p>
            <w:pPr>
              <w:jc w:val="right"/>
              <w:spacing w:after="0" w:line="183" w:lineRule="exact"/>
              <w:rPr>
                <w:sz w:val="20"/>
                <w:szCs w:val="20"/>
                <w:color w:val="auto"/>
              </w:rPr>
            </w:pPr>
            <w:r>
              <w:rPr>
                <w:rFonts w:ascii="Arial" w:cs="Arial" w:eastAsia="Arial" w:hAnsi="Arial"/>
                <w:sz w:val="16"/>
                <w:szCs w:val="16"/>
                <w:color w:val="auto"/>
              </w:rPr>
              <w:t>(1.1)</w:t>
            </w:r>
          </w:p>
        </w:tc>
        <w:tc>
          <w:tcPr>
            <w:tcW w:w="180" w:type="dxa"/>
            <w:vAlign w:val="bottom"/>
          </w:tcPr>
          <w:p>
            <w:pPr>
              <w:spacing w:after="0"/>
              <w:rPr>
                <w:sz w:val="16"/>
                <w:szCs w:val="16"/>
                <w:color w:val="auto"/>
              </w:rPr>
            </w:pPr>
          </w:p>
        </w:tc>
        <w:tc>
          <w:tcPr>
            <w:tcW w:w="140" w:type="dxa"/>
            <w:vAlign w:val="bottom"/>
          </w:tcPr>
          <w:p>
            <w:pPr>
              <w:spacing w:after="0" w:line="183" w:lineRule="exact"/>
              <w:rPr>
                <w:sz w:val="20"/>
                <w:szCs w:val="20"/>
                <w:color w:val="auto"/>
              </w:rPr>
            </w:pPr>
            <w:r>
              <w:rPr>
                <w:rFonts w:ascii="Arial" w:cs="Arial" w:eastAsia="Arial" w:hAnsi="Arial"/>
                <w:sz w:val="16"/>
                <w:szCs w:val="16"/>
                <w:color w:val="auto"/>
              </w:rPr>
              <w:t>$</w:t>
            </w:r>
          </w:p>
        </w:tc>
        <w:tc>
          <w:tcPr>
            <w:tcW w:w="540" w:type="dxa"/>
            <w:vAlign w:val="bottom"/>
          </w:tcPr>
          <w:p>
            <w:pPr>
              <w:jc w:val="right"/>
              <w:spacing w:after="0" w:line="183" w:lineRule="exact"/>
              <w:rPr>
                <w:sz w:val="20"/>
                <w:szCs w:val="20"/>
                <w:color w:val="auto"/>
              </w:rPr>
            </w:pPr>
            <w:r>
              <w:rPr>
                <w:rFonts w:ascii="Arial" w:cs="Arial" w:eastAsia="Arial" w:hAnsi="Arial"/>
                <w:sz w:val="16"/>
                <w:szCs w:val="16"/>
                <w:color w:val="auto"/>
              </w:rPr>
              <w:t>19.5</w:t>
            </w:r>
          </w:p>
        </w:tc>
      </w:tr>
      <w:tr>
        <w:trPr>
          <w:trHeight w:val="108"/>
        </w:trPr>
        <w:tc>
          <w:tcPr>
            <w:tcW w:w="2280" w:type="dxa"/>
            <w:vAlign w:val="bottom"/>
            <w:tcBorders>
              <w:bottom w:val="single" w:sz="8" w:color="auto"/>
            </w:tcBorders>
          </w:tcPr>
          <w:p>
            <w:pPr>
              <w:spacing w:after="0"/>
              <w:rPr>
                <w:sz w:val="9"/>
                <w:szCs w:val="9"/>
                <w:color w:val="auto"/>
              </w:rPr>
            </w:pPr>
          </w:p>
        </w:tc>
        <w:tc>
          <w:tcPr>
            <w:tcW w:w="1860" w:type="dxa"/>
            <w:vAlign w:val="bottom"/>
          </w:tcPr>
          <w:p>
            <w:pPr>
              <w:spacing w:after="0"/>
              <w:rPr>
                <w:sz w:val="9"/>
                <w:szCs w:val="9"/>
                <w:color w:val="auto"/>
              </w:rPr>
            </w:pPr>
          </w:p>
        </w:tc>
        <w:tc>
          <w:tcPr>
            <w:tcW w:w="154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r>
    </w:tbl>
    <w:p>
      <w:pPr>
        <w:spacing w:after="0" w:line="110" w:lineRule="exact"/>
        <w:rPr>
          <w:sz w:val="20"/>
          <w:szCs w:val="20"/>
          <w:color w:val="auto"/>
        </w:rPr>
      </w:pPr>
    </w:p>
    <w:p>
      <w:pPr>
        <w:jc w:val="both"/>
        <w:ind w:left="700" w:right="80" w:hanging="373"/>
        <w:spacing w:after="0" w:line="260" w:lineRule="auto"/>
        <w:tabs>
          <w:tab w:leader="none" w:pos="700" w:val="left"/>
        </w:tabs>
        <w:numPr>
          <w:ilvl w:val="0"/>
          <w:numId w:val="1"/>
        </w:numPr>
        <w:rPr>
          <w:rFonts w:ascii="Arial" w:cs="Arial" w:eastAsia="Arial" w:hAnsi="Arial"/>
          <w:sz w:val="16"/>
          <w:szCs w:val="16"/>
          <w:color w:val="auto"/>
        </w:rPr>
      </w:pPr>
      <w:r>
        <w:rPr>
          <w:rFonts w:ascii="Arial" w:cs="Arial" w:eastAsia="Arial" w:hAnsi="Arial"/>
          <w:sz w:val="16"/>
          <w:szCs w:val="16"/>
          <w:color w:val="auto"/>
        </w:rPr>
        <w:t>Operating earnings (loss) include an allocation of employee benefits and general and administrative costs primarily based on each segment’s percentage of total revenues for the three and six months ended July 31, 2019 and 2018.</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40" w:right="1419" w:bottom="1440" w:gutter="0" w:footer="0" w:header="0"/>
        </w:sectPr>
      </w:pPr>
    </w:p>
    <w:bookmarkStart w:id="14" w:name="page15"/>
    <w:bookmarkEnd w:id="1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3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revenues by service offering by reportable segment:</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gridSpan w:val="5"/>
          </w:tcPr>
          <w:p>
            <w:pPr>
              <w:spacing w:after="0"/>
              <w:rPr>
                <w:sz w:val="20"/>
                <w:szCs w:val="20"/>
                <w:color w:val="auto"/>
              </w:rPr>
            </w:pPr>
            <w:r>
              <w:rPr>
                <w:rFonts w:ascii="Arial" w:cs="Arial" w:eastAsia="Arial" w:hAnsi="Arial"/>
                <w:sz w:val="16"/>
                <w:szCs w:val="16"/>
                <w:b w:val="1"/>
                <w:bCs w:val="1"/>
                <w:color w:val="auto"/>
              </w:rPr>
              <w:t>Three Months Ended</w:t>
            </w: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r>
      <w:tr>
        <w:trPr>
          <w:trHeight w:val="183"/>
        </w:trPr>
        <w:tc>
          <w:tcPr>
            <w:tcW w:w="1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3"/>
          </w:tcPr>
          <w:p>
            <w:pPr>
              <w:ind w:left="220"/>
              <w:spacing w:after="0" w:line="183" w:lineRule="exact"/>
              <w:rPr>
                <w:sz w:val="20"/>
                <w:szCs w:val="20"/>
                <w:color w:val="auto"/>
              </w:rPr>
            </w:pPr>
            <w:r>
              <w:rPr>
                <w:rFonts w:ascii="Arial" w:cs="Arial" w:eastAsia="Arial" w:hAnsi="Arial"/>
                <w:sz w:val="16"/>
                <w:szCs w:val="16"/>
                <w:b w:val="1"/>
                <w:bCs w:val="1"/>
                <w:color w:val="auto"/>
              </w:rPr>
              <w:t>July 31, 2019</w:t>
            </w:r>
          </w:p>
        </w:tc>
        <w:tc>
          <w:tcPr>
            <w:tcW w:w="4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3"/>
          </w:tcPr>
          <w:p>
            <w:pPr>
              <w:ind w:left="140"/>
              <w:spacing w:after="0" w:line="183" w:lineRule="exact"/>
              <w:rPr>
                <w:sz w:val="20"/>
                <w:szCs w:val="20"/>
                <w:color w:val="auto"/>
              </w:rPr>
            </w:pPr>
            <w:r>
              <w:rPr>
                <w:rFonts w:ascii="Arial" w:cs="Arial" w:eastAsia="Arial" w:hAnsi="Arial"/>
                <w:sz w:val="16"/>
                <w:szCs w:val="16"/>
                <w:b w:val="1"/>
                <w:bCs w:val="1"/>
                <w:color w:val="auto"/>
              </w:rPr>
              <w:t>July 31, 2018</w:t>
            </w:r>
          </w:p>
        </w:tc>
        <w:tc>
          <w:tcPr>
            <w:tcW w:w="4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r>
      <w:tr>
        <w:trPr>
          <w:trHeight w:val="164"/>
        </w:trPr>
        <w:tc>
          <w:tcPr>
            <w:tcW w:w="1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jc w:val="right"/>
              <w:ind w:right="99"/>
              <w:spacing w:after="0" w:line="165" w:lineRule="exact"/>
              <w:rPr>
                <w:sz w:val="20"/>
                <w:szCs w:val="20"/>
                <w:color w:val="auto"/>
              </w:rPr>
            </w:pPr>
            <w:r>
              <w:rPr>
                <w:rFonts w:ascii="Arial" w:cs="Arial" w:eastAsia="Arial" w:hAnsi="Arial"/>
                <w:sz w:val="16"/>
                <w:szCs w:val="16"/>
                <w:b w:val="1"/>
                <w:bCs w:val="1"/>
                <w:color w:val="auto"/>
              </w:rPr>
              <w:t>Rocky</w:t>
            </w:r>
          </w:p>
        </w:tc>
        <w:tc>
          <w:tcPr>
            <w:tcW w:w="140" w:type="dxa"/>
            <w:vAlign w:val="bottom"/>
          </w:tcPr>
          <w:p>
            <w:pPr>
              <w:spacing w:after="0"/>
              <w:rPr>
                <w:sz w:val="14"/>
                <w:szCs w:val="14"/>
                <w:color w:val="auto"/>
              </w:rPr>
            </w:pPr>
          </w:p>
        </w:tc>
        <w:tc>
          <w:tcPr>
            <w:tcW w:w="820" w:type="dxa"/>
            <w:vAlign w:val="bottom"/>
            <w:gridSpan w:val="2"/>
          </w:tcPr>
          <w:p>
            <w:pPr>
              <w:spacing w:after="0" w:line="165" w:lineRule="exact"/>
              <w:rPr>
                <w:sz w:val="20"/>
                <w:szCs w:val="20"/>
                <w:color w:val="auto"/>
              </w:rPr>
            </w:pPr>
            <w:r>
              <w:rPr>
                <w:rFonts w:ascii="Arial" w:cs="Arial" w:eastAsia="Arial" w:hAnsi="Arial"/>
                <w:sz w:val="16"/>
                <w:szCs w:val="16"/>
                <w:b w:val="1"/>
                <w:bCs w:val="1"/>
                <w:color w:val="auto"/>
              </w:rPr>
              <w:t>Northeast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ind w:right="119"/>
              <w:spacing w:after="0" w:line="165" w:lineRule="exact"/>
              <w:rPr>
                <w:sz w:val="20"/>
                <w:szCs w:val="20"/>
                <w:color w:val="auto"/>
              </w:rPr>
            </w:pPr>
            <w:r>
              <w:rPr>
                <w:rFonts w:ascii="Arial" w:cs="Arial" w:eastAsia="Arial" w:hAnsi="Arial"/>
                <w:sz w:val="16"/>
                <w:szCs w:val="16"/>
                <w:b w:val="1"/>
                <w:bCs w:val="1"/>
                <w:color w:val="auto"/>
              </w:rPr>
              <w:t>Rocky</w:t>
            </w:r>
          </w:p>
        </w:tc>
        <w:tc>
          <w:tcPr>
            <w:tcW w:w="940" w:type="dxa"/>
            <w:vAlign w:val="bottom"/>
            <w:gridSpan w:val="3"/>
          </w:tcPr>
          <w:p>
            <w:pPr>
              <w:ind w:left="100"/>
              <w:spacing w:after="0" w:line="165" w:lineRule="exact"/>
              <w:rPr>
                <w:sz w:val="20"/>
                <w:szCs w:val="20"/>
                <w:color w:val="auto"/>
              </w:rPr>
            </w:pPr>
            <w:r>
              <w:rPr>
                <w:rFonts w:ascii="Arial" w:cs="Arial" w:eastAsia="Arial" w:hAnsi="Arial"/>
                <w:sz w:val="16"/>
                <w:szCs w:val="16"/>
                <w:b w:val="1"/>
                <w:bCs w:val="1"/>
                <w:color w:val="auto"/>
              </w:rPr>
              <w:t>Northeast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207"/>
        </w:trPr>
        <w:tc>
          <w:tcPr>
            <w:tcW w:w="13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Southwest</w:t>
            </w:r>
          </w:p>
        </w:tc>
        <w:tc>
          <w:tcPr>
            <w:tcW w:w="10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Mountains</w:t>
            </w:r>
          </w:p>
        </w:tc>
        <w:tc>
          <w:tcPr>
            <w:tcW w:w="14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/Mid-Con</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Total</w:t>
            </w:r>
          </w:p>
        </w:tc>
        <w:tc>
          <w:tcPr>
            <w:tcW w:w="22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Southwest</w:t>
            </w:r>
          </w:p>
        </w:tc>
        <w:tc>
          <w:tcPr>
            <w:tcW w:w="12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w w:val="99"/>
              </w:rPr>
              <w:t>Mountains</w:t>
            </w:r>
          </w:p>
        </w:tc>
        <w:tc>
          <w:tcPr>
            <w:tcW w:w="12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/Mid-Con</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Total</w:t>
            </w:r>
          </w:p>
        </w:tc>
      </w:tr>
      <w:tr>
        <w:trPr>
          <w:trHeight w:val="171"/>
        </w:trPr>
        <w:tc>
          <w:tcPr>
            <w:tcW w:w="1320" w:type="dxa"/>
            <w:vAlign w:val="bottom"/>
            <w:shd w:val="clear" w:color="auto" w:fill="CCEEFF"/>
          </w:tcPr>
          <w:p>
            <w:pPr>
              <w:spacing w:after="0" w:line="171" w:lineRule="exact"/>
              <w:rPr>
                <w:sz w:val="20"/>
                <w:szCs w:val="20"/>
                <w:color w:val="auto"/>
              </w:rPr>
            </w:pPr>
            <w:r>
              <w:rPr>
                <w:rFonts w:ascii="Arial" w:cs="Arial" w:eastAsia="Arial" w:hAnsi="Arial"/>
                <w:sz w:val="16"/>
                <w:szCs w:val="16"/>
                <w:color w:val="auto"/>
              </w:rPr>
              <w:t>Completion</w:t>
            </w:r>
          </w:p>
        </w:tc>
        <w:tc>
          <w:tcPr>
            <w:tcW w:w="1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40" w:type="dxa"/>
            <w:vAlign w:val="bottom"/>
            <w:tcBorders>
              <w:left w:val="single" w:sz="8" w:color="CCEEFF"/>
              <w:right w:val="single" w:sz="8" w:color="CCEEFF"/>
            </w:tcBorders>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40" w:type="dxa"/>
            <w:vAlign w:val="bottom"/>
            <w:tcBorders>
              <w:left w:val="single" w:sz="8" w:color="CCEEFF"/>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20" w:type="dxa"/>
            <w:vAlign w:val="bottom"/>
            <w:tcBorders>
              <w:right w:val="single" w:sz="8" w:color="CCEEFF"/>
            </w:tcBorders>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tcBorders>
              <w:left w:val="single" w:sz="8" w:color="CCEEFF"/>
              <w:right w:val="single" w:sz="8" w:color="CCEEFF"/>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tcBorders>
              <w:left w:val="single" w:sz="8" w:color="CCEEFF"/>
              <w:right w:val="single" w:sz="8" w:color="CCEEFF"/>
            </w:tcBorders>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r>
      <w:tr>
        <w:trPr>
          <w:trHeight w:val="187"/>
        </w:trPr>
        <w:tc>
          <w:tcPr>
            <w:tcW w:w="1320" w:type="dxa"/>
            <w:vAlign w:val="bottom"/>
            <w:shd w:val="clear" w:color="auto" w:fill="CCEEFF"/>
          </w:tcPr>
          <w:p>
            <w:pPr>
              <w:spacing w:after="0"/>
              <w:rPr>
                <w:sz w:val="20"/>
                <w:szCs w:val="20"/>
                <w:color w:val="auto"/>
              </w:rPr>
            </w:pPr>
            <w:r>
              <w:rPr>
                <w:rFonts w:ascii="Arial" w:cs="Arial" w:eastAsia="Arial" w:hAnsi="Arial"/>
                <w:sz w:val="16"/>
                <w:szCs w:val="16"/>
                <w:color w:val="auto"/>
              </w:rPr>
              <w:t>revenues</w:t>
            </w:r>
          </w:p>
        </w:tc>
        <w:tc>
          <w:tcPr>
            <w:tcW w:w="420" w:type="dxa"/>
            <w:vAlign w:val="bottom"/>
            <w:gridSpan w:val="2"/>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37.5</w:t>
            </w:r>
          </w:p>
        </w:tc>
        <w:tc>
          <w:tcPr>
            <w:tcW w:w="540" w:type="dxa"/>
            <w:vAlign w:val="bottom"/>
            <w:tcBorders>
              <w:left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w:t>
            </w:r>
          </w:p>
        </w:tc>
        <w:tc>
          <w:tcPr>
            <w:tcW w:w="220" w:type="dxa"/>
            <w:vAlign w:val="bottom"/>
            <w:tcBorders>
              <w:left w:val="single" w:sz="8" w:color="CCEEFF"/>
            </w:tcBorders>
            <w:gridSpan w:val="2"/>
            <w:shd w:val="clear" w:color="auto" w:fill="CCEEFF"/>
          </w:tcPr>
          <w:p>
            <w:pPr>
              <w:ind w:left="140"/>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95.5</w:t>
            </w:r>
          </w:p>
        </w:tc>
        <w:tc>
          <w:tcPr>
            <w:tcW w:w="520" w:type="dxa"/>
            <w:vAlign w:val="bottom"/>
            <w:gridSpan w:val="2"/>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w:t>
            </w:r>
          </w:p>
        </w:tc>
        <w:tc>
          <w:tcPr>
            <w:tcW w:w="26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w:t>
            </w:r>
          </w:p>
        </w:tc>
        <w:tc>
          <w:tcPr>
            <w:tcW w:w="500" w:type="dxa"/>
            <w:vAlign w:val="bottom"/>
            <w:tcBorders>
              <w:left w:val="single" w:sz="8" w:color="CCEEFF"/>
            </w:tcBorders>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61.7</w:t>
            </w:r>
          </w:p>
        </w:tc>
      </w:tr>
      <w:tr>
        <w:trPr>
          <w:trHeight w:val="191"/>
        </w:trPr>
        <w:tc>
          <w:tcPr>
            <w:tcW w:w="1320" w:type="dxa"/>
            <w:vAlign w:val="bottom"/>
          </w:tcPr>
          <w:p>
            <w:pPr>
              <w:spacing w:after="0"/>
              <w:rPr>
                <w:sz w:val="20"/>
                <w:szCs w:val="20"/>
                <w:color w:val="auto"/>
              </w:rPr>
            </w:pPr>
            <w:r>
              <w:rPr>
                <w:rFonts w:ascii="Arial" w:cs="Arial" w:eastAsia="Arial" w:hAnsi="Arial"/>
                <w:sz w:val="16"/>
                <w:szCs w:val="16"/>
                <w:color w:val="auto"/>
              </w:rPr>
              <w:t>Intervention</w:t>
            </w: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r>
      <w:tr>
        <w:trPr>
          <w:trHeight w:val="187"/>
        </w:trPr>
        <w:tc>
          <w:tcPr>
            <w:tcW w:w="1320" w:type="dxa"/>
            <w:vAlign w:val="bottom"/>
          </w:tcPr>
          <w:p>
            <w:pPr>
              <w:spacing w:after="0"/>
              <w:rPr>
                <w:sz w:val="20"/>
                <w:szCs w:val="20"/>
                <w:color w:val="auto"/>
              </w:rPr>
            </w:pPr>
            <w:r>
              <w:rPr>
                <w:rFonts w:ascii="Arial" w:cs="Arial" w:eastAsia="Arial" w:hAnsi="Arial"/>
                <w:sz w:val="16"/>
                <w:szCs w:val="16"/>
                <w:color w:val="auto"/>
              </w:rPr>
              <w:t>revenues</w:t>
            </w: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9.8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13.0</w:t>
            </w: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18.0</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40.8</w:t>
            </w: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11.3</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10.6</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7.7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29.6</w:t>
            </w:r>
          </w:p>
        </w:tc>
      </w:tr>
      <w:tr>
        <w:trPr>
          <w:trHeight w:val="191"/>
        </w:trPr>
        <w:tc>
          <w:tcPr>
            <w:tcW w:w="1320" w:type="dxa"/>
            <w:vAlign w:val="bottom"/>
            <w:shd w:val="clear" w:color="auto" w:fill="CCEEFF"/>
          </w:tcPr>
          <w:p>
            <w:pPr>
              <w:spacing w:after="0"/>
              <w:rPr>
                <w:sz w:val="20"/>
                <w:szCs w:val="20"/>
                <w:color w:val="auto"/>
              </w:rPr>
            </w:pPr>
            <w:r>
              <w:rPr>
                <w:rFonts w:ascii="Arial" w:cs="Arial" w:eastAsia="Arial" w:hAnsi="Arial"/>
                <w:sz w:val="16"/>
                <w:szCs w:val="16"/>
                <w:color w:val="auto"/>
              </w:rPr>
              <w:t>Production</w:t>
            </w:r>
          </w:p>
        </w:tc>
        <w:tc>
          <w:tcPr>
            <w:tcW w:w="1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40" w:type="dxa"/>
            <w:vAlign w:val="bottom"/>
            <w:tcBorders>
              <w:left w:val="single" w:sz="8" w:color="CCEEFF"/>
              <w:right w:val="single" w:sz="8" w:color="CCEEFF"/>
            </w:tcBorders>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40" w:type="dxa"/>
            <w:vAlign w:val="bottom"/>
            <w:tcBorders>
              <w:left w:val="single" w:sz="8" w:color="CCEEFF"/>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20" w:type="dxa"/>
            <w:vAlign w:val="bottom"/>
            <w:tcBorders>
              <w:right w:val="single" w:sz="8" w:color="CCEEFF"/>
            </w:tcBorders>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20" w:type="dxa"/>
            <w:vAlign w:val="bottom"/>
            <w:tcBorders>
              <w:left w:val="single" w:sz="8" w:color="CCEEFF"/>
              <w:right w:val="single" w:sz="8" w:color="CCEEFF"/>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tcBorders>
              <w:left w:val="single" w:sz="8" w:color="CCEEFF"/>
              <w:right w:val="single" w:sz="8" w:color="CCEEFF"/>
            </w:tcBorders>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r>
      <w:tr>
        <w:trPr>
          <w:trHeight w:val="187"/>
        </w:trPr>
        <w:tc>
          <w:tcPr>
            <w:tcW w:w="1320" w:type="dxa"/>
            <w:vAlign w:val="bottom"/>
            <w:shd w:val="clear" w:color="auto" w:fill="CCEEFF"/>
          </w:tcPr>
          <w:p>
            <w:pPr>
              <w:spacing w:after="0"/>
              <w:rPr>
                <w:sz w:val="20"/>
                <w:szCs w:val="20"/>
                <w:color w:val="auto"/>
              </w:rPr>
            </w:pPr>
            <w:r>
              <w:rPr>
                <w:rFonts w:ascii="Arial" w:cs="Arial" w:eastAsia="Arial" w:hAnsi="Arial"/>
                <w:sz w:val="16"/>
                <w:szCs w:val="16"/>
                <w:color w:val="auto"/>
              </w:rPr>
              <w:t>revenues</w:t>
            </w:r>
          </w:p>
        </w:tc>
        <w:tc>
          <w:tcPr>
            <w:tcW w:w="16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13.0</w:t>
            </w:r>
          </w:p>
        </w:tc>
        <w:tc>
          <w:tcPr>
            <w:tcW w:w="140" w:type="dxa"/>
            <w:vAlign w:val="bottom"/>
            <w:tcBorders>
              <w:left w:val="single" w:sz="8" w:color="CCEEFF"/>
              <w:right w:val="single" w:sz="8" w:color="CCEEFF"/>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w:t>
            </w:r>
          </w:p>
        </w:tc>
        <w:tc>
          <w:tcPr>
            <w:tcW w:w="140" w:type="dxa"/>
            <w:vAlign w:val="bottom"/>
            <w:tcBorders>
              <w:left w:val="single" w:sz="8" w:color="CCEEFF"/>
              <w:right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28.6</w:t>
            </w:r>
          </w:p>
        </w:tc>
        <w:tc>
          <w:tcPr>
            <w:tcW w:w="220" w:type="dxa"/>
            <w:vAlign w:val="bottom"/>
            <w:tcBorders>
              <w:right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w:t>
            </w:r>
          </w:p>
        </w:tc>
        <w:tc>
          <w:tcPr>
            <w:tcW w:w="120" w:type="dxa"/>
            <w:vAlign w:val="bottom"/>
            <w:tcBorders>
              <w:left w:val="single" w:sz="8" w:color="CCEEFF"/>
              <w:right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11.9</w:t>
            </w:r>
          </w:p>
        </w:tc>
        <w:tc>
          <w:tcPr>
            <w:tcW w:w="120" w:type="dxa"/>
            <w:vAlign w:val="bottom"/>
            <w:tcBorders>
              <w:left w:val="single" w:sz="8" w:color="CCEEFF"/>
              <w:right w:val="single" w:sz="8" w:color="CCEEFF"/>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w:t>
            </w:r>
          </w:p>
        </w:tc>
        <w:tc>
          <w:tcPr>
            <w:tcW w:w="100" w:type="dxa"/>
            <w:vAlign w:val="bottom"/>
            <w:tcBorders>
              <w:right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26.6</w:t>
            </w:r>
          </w:p>
        </w:tc>
      </w:tr>
      <w:tr>
        <w:trPr>
          <w:trHeight w:val="183"/>
        </w:trPr>
        <w:tc>
          <w:tcPr>
            <w:tcW w:w="1320" w:type="dxa"/>
            <w:vAlign w:val="bottom"/>
          </w:tcPr>
          <w:p>
            <w:pPr>
              <w:ind w:left="120"/>
              <w:spacing w:after="0" w:line="183" w:lineRule="exact"/>
              <w:rPr>
                <w:sz w:val="20"/>
                <w:szCs w:val="20"/>
                <w:color w:val="auto"/>
              </w:rPr>
            </w:pPr>
            <w:r>
              <w:rPr>
                <w:rFonts w:ascii="Arial" w:cs="Arial" w:eastAsia="Arial" w:hAnsi="Arial"/>
                <w:sz w:val="16"/>
                <w:szCs w:val="16"/>
                <w:color w:val="auto"/>
              </w:rPr>
              <w:t>Total revenues</w:t>
            </w:r>
          </w:p>
        </w:tc>
        <w:tc>
          <w:tcPr>
            <w:tcW w:w="420" w:type="dxa"/>
            <w:vAlign w:val="bottom"/>
            <w:gridSpan w:val="2"/>
          </w:tcPr>
          <w:p>
            <w:pPr>
              <w:jc w:val="right"/>
              <w:ind w:right="99"/>
              <w:spacing w:after="0" w:line="183" w:lineRule="exact"/>
              <w:rPr>
                <w:sz w:val="20"/>
                <w:szCs w:val="20"/>
                <w:color w:val="auto"/>
              </w:rPr>
            </w:pPr>
            <w:r>
              <w:rPr>
                <w:rFonts w:ascii="Arial" w:cs="Arial" w:eastAsia="Arial" w:hAnsi="Arial"/>
                <w:sz w:val="16"/>
                <w:szCs w:val="16"/>
                <w:color w:val="auto"/>
              </w:rPr>
              <w:t>$</w:t>
            </w:r>
          </w:p>
        </w:tc>
        <w:tc>
          <w:tcPr>
            <w:tcW w:w="640" w:type="dxa"/>
            <w:vAlign w:val="bottom"/>
          </w:tcPr>
          <w:p>
            <w:pPr>
              <w:jc w:val="right"/>
              <w:spacing w:after="0" w:line="183" w:lineRule="exact"/>
              <w:rPr>
                <w:sz w:val="20"/>
                <w:szCs w:val="20"/>
                <w:color w:val="auto"/>
              </w:rPr>
            </w:pPr>
            <w:r>
              <w:rPr>
                <w:rFonts w:ascii="Arial" w:cs="Arial" w:eastAsia="Arial" w:hAnsi="Arial"/>
                <w:sz w:val="16"/>
                <w:szCs w:val="16"/>
                <w:color w:val="auto"/>
              </w:rPr>
              <w:t>53.3</w:t>
            </w:r>
          </w:p>
        </w:tc>
        <w:tc>
          <w:tcPr>
            <w:tcW w:w="260" w:type="dxa"/>
            <w:vAlign w:val="bottom"/>
            <w:gridSpan w:val="2"/>
          </w:tcPr>
          <w:p>
            <w:pPr>
              <w:jc w:val="right"/>
              <w:spacing w:after="0" w:line="183" w:lineRule="exact"/>
              <w:rPr>
                <w:sz w:val="20"/>
                <w:szCs w:val="20"/>
                <w:color w:val="auto"/>
              </w:rPr>
            </w:pPr>
            <w:r>
              <w:rPr>
                <w:rFonts w:ascii="Arial" w:cs="Arial" w:eastAsia="Arial" w:hAnsi="Arial"/>
                <w:sz w:val="16"/>
                <w:szCs w:val="16"/>
                <w:color w:val="auto"/>
              </w:rPr>
              <w:t>$</w:t>
            </w:r>
          </w:p>
        </w:tc>
        <w:tc>
          <w:tcPr>
            <w:tcW w:w="740" w:type="dxa"/>
            <w:vAlign w:val="bottom"/>
          </w:tcPr>
          <w:p>
            <w:pPr>
              <w:jc w:val="right"/>
              <w:spacing w:after="0" w:line="183" w:lineRule="exact"/>
              <w:rPr>
                <w:sz w:val="20"/>
                <w:szCs w:val="20"/>
                <w:color w:val="auto"/>
              </w:rPr>
            </w:pPr>
            <w:r>
              <w:rPr>
                <w:rFonts w:ascii="Arial" w:cs="Arial" w:eastAsia="Arial" w:hAnsi="Arial"/>
                <w:sz w:val="16"/>
                <w:szCs w:val="16"/>
                <w:color w:val="auto"/>
              </w:rPr>
              <w:t>63.5</w:t>
            </w:r>
          </w:p>
        </w:tc>
        <w:tc>
          <w:tcPr>
            <w:tcW w:w="540" w:type="dxa"/>
            <w:vAlign w:val="bottom"/>
            <w:gridSpan w:val="2"/>
          </w:tcPr>
          <w:p>
            <w:pPr>
              <w:ind w:left="140"/>
              <w:spacing w:after="0" w:line="183" w:lineRule="exact"/>
              <w:rPr>
                <w:sz w:val="20"/>
                <w:szCs w:val="20"/>
                <w:color w:val="auto"/>
              </w:rPr>
            </w:pPr>
            <w:r>
              <w:rPr>
                <w:rFonts w:ascii="Arial" w:cs="Arial" w:eastAsia="Arial" w:hAnsi="Arial"/>
                <w:sz w:val="16"/>
                <w:szCs w:val="16"/>
                <w:color w:val="auto"/>
              </w:rPr>
              <w:t>$</w:t>
            </w:r>
          </w:p>
        </w:tc>
        <w:tc>
          <w:tcPr>
            <w:tcW w:w="420" w:type="dxa"/>
            <w:vAlign w:val="bottom"/>
          </w:tcPr>
          <w:p>
            <w:pPr>
              <w:jc w:val="right"/>
              <w:spacing w:after="0" w:line="183" w:lineRule="exact"/>
              <w:rPr>
                <w:sz w:val="20"/>
                <w:szCs w:val="20"/>
                <w:color w:val="auto"/>
              </w:rPr>
            </w:pPr>
            <w:r>
              <w:rPr>
                <w:rFonts w:ascii="Arial" w:cs="Arial" w:eastAsia="Arial" w:hAnsi="Arial"/>
                <w:sz w:val="16"/>
                <w:szCs w:val="16"/>
                <w:color w:val="auto"/>
              </w:rPr>
              <w:t>48.1</w:t>
            </w:r>
          </w:p>
        </w:tc>
        <w:tc>
          <w:tcPr>
            <w:tcW w:w="220" w:type="dxa"/>
            <w:vAlign w:val="bottom"/>
            <w:gridSpan w:val="2"/>
          </w:tcPr>
          <w:p>
            <w:pPr>
              <w:ind w:left="140"/>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line="183" w:lineRule="exact"/>
              <w:rPr>
                <w:sz w:val="20"/>
                <w:szCs w:val="20"/>
                <w:color w:val="auto"/>
              </w:rPr>
            </w:pPr>
            <w:r>
              <w:rPr>
                <w:rFonts w:ascii="Arial" w:cs="Arial" w:eastAsia="Arial" w:hAnsi="Arial"/>
                <w:sz w:val="16"/>
                <w:szCs w:val="16"/>
                <w:color w:val="auto"/>
              </w:rPr>
              <w:t>164.9</w:t>
            </w:r>
          </w:p>
        </w:tc>
        <w:tc>
          <w:tcPr>
            <w:tcW w:w="520" w:type="dxa"/>
            <w:vAlign w:val="bottom"/>
            <w:gridSpan w:val="2"/>
          </w:tcPr>
          <w:p>
            <w:pPr>
              <w:jc w:val="right"/>
              <w:ind w:right="159"/>
              <w:spacing w:after="0" w:line="183" w:lineRule="exact"/>
              <w:rPr>
                <w:sz w:val="20"/>
                <w:szCs w:val="20"/>
                <w:color w:val="auto"/>
              </w:rPr>
            </w:pPr>
            <w:r>
              <w:rPr>
                <w:rFonts w:ascii="Arial" w:cs="Arial" w:eastAsia="Arial" w:hAnsi="Arial"/>
                <w:sz w:val="16"/>
                <w:szCs w:val="16"/>
                <w:color w:val="auto"/>
              </w:rPr>
              <w:t>$</w:t>
            </w:r>
          </w:p>
        </w:tc>
        <w:tc>
          <w:tcPr>
            <w:tcW w:w="600" w:type="dxa"/>
            <w:vAlign w:val="bottom"/>
          </w:tcPr>
          <w:p>
            <w:pPr>
              <w:jc w:val="right"/>
              <w:spacing w:after="0" w:line="183" w:lineRule="exact"/>
              <w:rPr>
                <w:sz w:val="20"/>
                <w:szCs w:val="20"/>
                <w:color w:val="auto"/>
              </w:rPr>
            </w:pPr>
            <w:r>
              <w:rPr>
                <w:rFonts w:ascii="Arial" w:cs="Arial" w:eastAsia="Arial" w:hAnsi="Arial"/>
                <w:sz w:val="16"/>
                <w:szCs w:val="16"/>
                <w:color w:val="auto"/>
              </w:rPr>
              <w:t>40.6</w:t>
            </w:r>
          </w:p>
        </w:tc>
        <w:tc>
          <w:tcPr>
            <w:tcW w:w="260" w:type="dxa"/>
            <w:vAlign w:val="bottom"/>
            <w:gridSpan w:val="2"/>
          </w:tcPr>
          <w:p>
            <w:pPr>
              <w:jc w:val="right"/>
              <w:spacing w:after="0" w:line="183" w:lineRule="exact"/>
              <w:rPr>
                <w:sz w:val="20"/>
                <w:szCs w:val="20"/>
                <w:color w:val="auto"/>
              </w:rPr>
            </w:pPr>
            <w:r>
              <w:rPr>
                <w:rFonts w:ascii="Arial" w:cs="Arial" w:eastAsia="Arial" w:hAnsi="Arial"/>
                <w:sz w:val="16"/>
                <w:szCs w:val="16"/>
                <w:color w:val="auto"/>
              </w:rPr>
              <w:t>$</w:t>
            </w:r>
          </w:p>
        </w:tc>
        <w:tc>
          <w:tcPr>
            <w:tcW w:w="720" w:type="dxa"/>
            <w:vAlign w:val="bottom"/>
          </w:tcPr>
          <w:p>
            <w:pPr>
              <w:jc w:val="right"/>
              <w:spacing w:after="0" w:line="183" w:lineRule="exact"/>
              <w:rPr>
                <w:sz w:val="20"/>
                <w:szCs w:val="20"/>
                <w:color w:val="auto"/>
              </w:rPr>
            </w:pPr>
            <w:r>
              <w:rPr>
                <w:rFonts w:ascii="Arial" w:cs="Arial" w:eastAsia="Arial" w:hAnsi="Arial"/>
                <w:sz w:val="16"/>
                <w:szCs w:val="16"/>
                <w:color w:val="auto"/>
              </w:rPr>
              <w:t>47.8</w:t>
            </w:r>
          </w:p>
        </w:tc>
        <w:tc>
          <w:tcPr>
            <w:tcW w:w="500" w:type="dxa"/>
            <w:vAlign w:val="bottom"/>
            <w:gridSpan w:val="2"/>
          </w:tcPr>
          <w:p>
            <w:pPr>
              <w:ind w:left="100"/>
              <w:spacing w:after="0" w:line="183" w:lineRule="exact"/>
              <w:rPr>
                <w:sz w:val="20"/>
                <w:szCs w:val="20"/>
                <w:color w:val="auto"/>
              </w:rPr>
            </w:pPr>
            <w:r>
              <w:rPr>
                <w:rFonts w:ascii="Arial" w:cs="Arial" w:eastAsia="Arial" w:hAnsi="Arial"/>
                <w:sz w:val="16"/>
                <w:szCs w:val="16"/>
                <w:color w:val="auto"/>
              </w:rPr>
              <w:t>$</w:t>
            </w:r>
          </w:p>
        </w:tc>
        <w:tc>
          <w:tcPr>
            <w:tcW w:w="440" w:type="dxa"/>
            <w:vAlign w:val="bottom"/>
          </w:tcPr>
          <w:p>
            <w:pPr>
              <w:jc w:val="right"/>
              <w:spacing w:after="0" w:line="183" w:lineRule="exact"/>
              <w:rPr>
                <w:sz w:val="20"/>
                <w:szCs w:val="20"/>
                <w:color w:val="auto"/>
              </w:rPr>
            </w:pPr>
            <w:r>
              <w:rPr>
                <w:rFonts w:ascii="Arial" w:cs="Arial" w:eastAsia="Arial" w:hAnsi="Arial"/>
                <w:sz w:val="16"/>
                <w:szCs w:val="16"/>
                <w:color w:val="auto"/>
              </w:rPr>
              <w:t>29.5</w:t>
            </w:r>
          </w:p>
        </w:tc>
        <w:tc>
          <w:tcPr>
            <w:tcW w:w="220" w:type="dxa"/>
            <w:vAlign w:val="bottom"/>
            <w:gridSpan w:val="2"/>
          </w:tcPr>
          <w:p>
            <w:pPr>
              <w:jc w:val="right"/>
              <w:ind w:right="40"/>
              <w:spacing w:after="0" w:line="183" w:lineRule="exact"/>
              <w:rPr>
                <w:sz w:val="20"/>
                <w:szCs w:val="20"/>
                <w:color w:val="auto"/>
              </w:rPr>
            </w:pPr>
            <w:r>
              <w:rPr>
                <w:rFonts w:ascii="Arial" w:cs="Arial" w:eastAsia="Arial" w:hAnsi="Arial"/>
                <w:sz w:val="16"/>
                <w:szCs w:val="16"/>
                <w:color w:val="auto"/>
              </w:rPr>
              <w:t>$</w:t>
            </w:r>
          </w:p>
        </w:tc>
        <w:tc>
          <w:tcPr>
            <w:tcW w:w="580" w:type="dxa"/>
            <w:vAlign w:val="bottom"/>
          </w:tcPr>
          <w:p>
            <w:pPr>
              <w:jc w:val="right"/>
              <w:spacing w:after="0" w:line="183" w:lineRule="exact"/>
              <w:rPr>
                <w:sz w:val="20"/>
                <w:szCs w:val="20"/>
                <w:color w:val="auto"/>
              </w:rPr>
            </w:pPr>
            <w:r>
              <w:rPr>
                <w:rFonts w:ascii="Arial" w:cs="Arial" w:eastAsia="Arial" w:hAnsi="Arial"/>
                <w:sz w:val="16"/>
                <w:szCs w:val="16"/>
                <w:color w:val="auto"/>
              </w:rPr>
              <w:t>117.9</w:t>
            </w:r>
          </w:p>
        </w:tc>
      </w:tr>
      <w:tr>
        <w:trPr>
          <w:trHeight w:val="27"/>
        </w:trPr>
        <w:tc>
          <w:tcPr>
            <w:tcW w:w="1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tcBorders>
              <w:left w:val="single" w:sz="8" w:color="auto"/>
            </w:tcBorders>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40" w:type="dxa"/>
            <w:vAlign w:val="bottom"/>
            <w:tcBorders>
              <w:lef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900" w:type="dxa"/>
            <w:vAlign w:val="bottom"/>
            <w:gridSpan w:val="2"/>
            <w:shd w:val="clear" w:color="auto" w:fill="000000"/>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r>
      <w:tr>
        <w:trPr>
          <w:trHeight w:val="405"/>
        </w:trPr>
        <w:tc>
          <w:tcPr>
            <w:tcW w:w="1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4"/>
          </w:tcPr>
          <w:p>
            <w:pPr>
              <w:jc w:val="right"/>
              <w:ind w:right="279"/>
              <w:spacing w:after="0"/>
              <w:rPr>
                <w:sz w:val="20"/>
                <w:szCs w:val="20"/>
                <w:color w:val="auto"/>
              </w:rPr>
            </w:pPr>
            <w:r>
              <w:rPr>
                <w:rFonts w:ascii="Arial" w:cs="Arial" w:eastAsia="Arial" w:hAnsi="Arial"/>
                <w:sz w:val="16"/>
                <w:szCs w:val="16"/>
                <w:b w:val="1"/>
                <w:bCs w:val="1"/>
                <w:color w:val="auto"/>
              </w:rPr>
              <w:t>Six Months Ended</w:t>
            </w: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r>
      <w:tr>
        <w:trPr>
          <w:trHeight w:val="183"/>
        </w:trPr>
        <w:tc>
          <w:tcPr>
            <w:tcW w:w="1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3"/>
          </w:tcPr>
          <w:p>
            <w:pPr>
              <w:ind w:left="200"/>
              <w:spacing w:after="0" w:line="183" w:lineRule="exact"/>
              <w:rPr>
                <w:sz w:val="20"/>
                <w:szCs w:val="20"/>
                <w:color w:val="auto"/>
              </w:rPr>
            </w:pPr>
            <w:r>
              <w:rPr>
                <w:rFonts w:ascii="Arial" w:cs="Arial" w:eastAsia="Arial" w:hAnsi="Arial"/>
                <w:sz w:val="16"/>
                <w:szCs w:val="16"/>
                <w:b w:val="1"/>
                <w:bCs w:val="1"/>
                <w:color w:val="auto"/>
              </w:rPr>
              <w:t>July 31, 2019</w:t>
            </w:r>
          </w:p>
        </w:tc>
        <w:tc>
          <w:tcPr>
            <w:tcW w:w="4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3"/>
          </w:tcPr>
          <w:p>
            <w:pPr>
              <w:ind w:left="140"/>
              <w:spacing w:after="0" w:line="183" w:lineRule="exact"/>
              <w:rPr>
                <w:sz w:val="20"/>
                <w:szCs w:val="20"/>
                <w:color w:val="auto"/>
              </w:rPr>
            </w:pPr>
            <w:r>
              <w:rPr>
                <w:rFonts w:ascii="Arial" w:cs="Arial" w:eastAsia="Arial" w:hAnsi="Arial"/>
                <w:sz w:val="16"/>
                <w:szCs w:val="16"/>
                <w:b w:val="1"/>
                <w:bCs w:val="1"/>
                <w:color w:val="auto"/>
              </w:rPr>
              <w:t>July 31, 2018</w:t>
            </w:r>
          </w:p>
        </w:tc>
        <w:tc>
          <w:tcPr>
            <w:tcW w:w="4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r>
      <w:tr>
        <w:trPr>
          <w:trHeight w:val="164"/>
        </w:trPr>
        <w:tc>
          <w:tcPr>
            <w:tcW w:w="1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jc w:val="right"/>
              <w:ind w:right="139"/>
              <w:spacing w:after="0" w:line="165" w:lineRule="exact"/>
              <w:rPr>
                <w:sz w:val="20"/>
                <w:szCs w:val="20"/>
                <w:color w:val="auto"/>
              </w:rPr>
            </w:pPr>
            <w:r>
              <w:rPr>
                <w:rFonts w:ascii="Arial" w:cs="Arial" w:eastAsia="Arial" w:hAnsi="Arial"/>
                <w:sz w:val="16"/>
                <w:szCs w:val="16"/>
                <w:b w:val="1"/>
                <w:bCs w:val="1"/>
                <w:color w:val="auto"/>
              </w:rPr>
              <w:t>Rocky</w:t>
            </w:r>
          </w:p>
        </w:tc>
        <w:tc>
          <w:tcPr>
            <w:tcW w:w="960" w:type="dxa"/>
            <w:vAlign w:val="bottom"/>
            <w:gridSpan w:val="3"/>
          </w:tcPr>
          <w:p>
            <w:pPr>
              <w:ind w:left="100"/>
              <w:spacing w:after="0" w:line="165" w:lineRule="exact"/>
              <w:rPr>
                <w:sz w:val="20"/>
                <w:szCs w:val="20"/>
                <w:color w:val="auto"/>
              </w:rPr>
            </w:pPr>
            <w:r>
              <w:rPr>
                <w:rFonts w:ascii="Arial" w:cs="Arial" w:eastAsia="Arial" w:hAnsi="Arial"/>
                <w:sz w:val="16"/>
                <w:szCs w:val="16"/>
                <w:b w:val="1"/>
                <w:bCs w:val="1"/>
                <w:color w:val="auto"/>
              </w:rPr>
              <w:t>Northeast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ind w:right="99"/>
              <w:spacing w:after="0" w:line="165" w:lineRule="exact"/>
              <w:rPr>
                <w:sz w:val="20"/>
                <w:szCs w:val="20"/>
                <w:color w:val="auto"/>
              </w:rPr>
            </w:pPr>
            <w:r>
              <w:rPr>
                <w:rFonts w:ascii="Arial" w:cs="Arial" w:eastAsia="Arial" w:hAnsi="Arial"/>
                <w:sz w:val="16"/>
                <w:szCs w:val="16"/>
                <w:b w:val="1"/>
                <w:bCs w:val="1"/>
                <w:color w:val="auto"/>
              </w:rPr>
              <w:t>Rocky</w:t>
            </w:r>
          </w:p>
        </w:tc>
        <w:tc>
          <w:tcPr>
            <w:tcW w:w="120" w:type="dxa"/>
            <w:vAlign w:val="bottom"/>
          </w:tcPr>
          <w:p>
            <w:pPr>
              <w:spacing w:after="0"/>
              <w:rPr>
                <w:sz w:val="14"/>
                <w:szCs w:val="14"/>
                <w:color w:val="auto"/>
              </w:rPr>
            </w:pPr>
          </w:p>
        </w:tc>
        <w:tc>
          <w:tcPr>
            <w:tcW w:w="820" w:type="dxa"/>
            <w:vAlign w:val="bottom"/>
            <w:gridSpan w:val="2"/>
          </w:tcPr>
          <w:p>
            <w:pPr>
              <w:spacing w:after="0" w:line="165" w:lineRule="exact"/>
              <w:rPr>
                <w:sz w:val="20"/>
                <w:szCs w:val="20"/>
                <w:color w:val="auto"/>
              </w:rPr>
            </w:pPr>
            <w:r>
              <w:rPr>
                <w:rFonts w:ascii="Arial" w:cs="Arial" w:eastAsia="Arial" w:hAnsi="Arial"/>
                <w:sz w:val="16"/>
                <w:szCs w:val="16"/>
                <w:b w:val="1"/>
                <w:bCs w:val="1"/>
                <w:color w:val="auto"/>
              </w:rPr>
              <w:t>Northeast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207"/>
        </w:trPr>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6"/>
                <w:szCs w:val="16"/>
                <w:b w:val="1"/>
                <w:bCs w:val="1"/>
                <w:color w:val="auto"/>
              </w:rPr>
              <w:t>Southwest</w:t>
            </w:r>
          </w:p>
        </w:tc>
        <w:tc>
          <w:tcPr>
            <w:tcW w:w="1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6"/>
                <w:szCs w:val="16"/>
                <w:b w:val="1"/>
                <w:bCs w:val="1"/>
                <w:color w:val="auto"/>
              </w:rPr>
              <w:t>Mountains</w:t>
            </w:r>
          </w:p>
        </w:tc>
        <w:tc>
          <w:tcPr>
            <w:tcW w:w="14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6"/>
                <w:szCs w:val="16"/>
                <w:b w:val="1"/>
                <w:bCs w:val="1"/>
                <w:color w:val="auto"/>
              </w:rPr>
              <w:t>/Mid-Con</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ind w:right="119"/>
              <w:spacing w:after="0"/>
              <w:rPr>
                <w:sz w:val="20"/>
                <w:szCs w:val="20"/>
                <w:color w:val="auto"/>
              </w:rPr>
            </w:pPr>
            <w:r>
              <w:rPr>
                <w:rFonts w:ascii="Arial" w:cs="Arial" w:eastAsia="Arial" w:hAnsi="Arial"/>
                <w:sz w:val="16"/>
                <w:szCs w:val="16"/>
                <w:b w:val="1"/>
                <w:bCs w:val="1"/>
                <w:color w:val="auto"/>
              </w:rPr>
              <w:t>Total</w:t>
            </w:r>
          </w:p>
        </w:tc>
        <w:tc>
          <w:tcPr>
            <w:tcW w:w="22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6"/>
                <w:szCs w:val="16"/>
                <w:b w:val="1"/>
                <w:bCs w:val="1"/>
                <w:color w:val="auto"/>
              </w:rPr>
              <w:t>Southwest</w:t>
            </w:r>
          </w:p>
        </w:tc>
        <w:tc>
          <w:tcPr>
            <w:tcW w:w="12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b w:val="1"/>
                <w:bCs w:val="1"/>
                <w:color w:val="auto"/>
              </w:rPr>
              <w:t>Mountains</w:t>
            </w:r>
          </w:p>
        </w:tc>
        <w:tc>
          <w:tcPr>
            <w:tcW w:w="12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6"/>
                <w:szCs w:val="16"/>
                <w:b w:val="1"/>
                <w:bCs w:val="1"/>
                <w:color w:val="auto"/>
              </w:rPr>
              <w:t>/Mid-Con</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ind w:right="79"/>
              <w:spacing w:after="0"/>
              <w:rPr>
                <w:sz w:val="20"/>
                <w:szCs w:val="20"/>
                <w:color w:val="auto"/>
              </w:rPr>
            </w:pPr>
            <w:r>
              <w:rPr>
                <w:rFonts w:ascii="Arial" w:cs="Arial" w:eastAsia="Arial" w:hAnsi="Arial"/>
                <w:sz w:val="16"/>
                <w:szCs w:val="16"/>
                <w:b w:val="1"/>
                <w:bCs w:val="1"/>
                <w:color w:val="auto"/>
              </w:rPr>
              <w:t>Total</w:t>
            </w:r>
          </w:p>
        </w:tc>
      </w:tr>
      <w:tr>
        <w:trPr>
          <w:trHeight w:val="171"/>
        </w:trPr>
        <w:tc>
          <w:tcPr>
            <w:tcW w:w="1320" w:type="dxa"/>
            <w:vAlign w:val="bottom"/>
            <w:tcBorders>
              <w:top w:val="single" w:sz="8" w:color="CCEEFF"/>
            </w:tcBorders>
            <w:shd w:val="clear" w:color="auto" w:fill="CCEEFF"/>
          </w:tcPr>
          <w:p>
            <w:pPr>
              <w:spacing w:after="0" w:line="171" w:lineRule="exact"/>
              <w:rPr>
                <w:sz w:val="20"/>
                <w:szCs w:val="20"/>
                <w:color w:val="auto"/>
              </w:rPr>
            </w:pPr>
            <w:r>
              <w:rPr>
                <w:rFonts w:ascii="Arial" w:cs="Arial" w:eastAsia="Arial" w:hAnsi="Arial"/>
                <w:sz w:val="16"/>
                <w:szCs w:val="16"/>
                <w:color w:val="auto"/>
              </w:rPr>
              <w:t>Completion</w:t>
            </w:r>
          </w:p>
        </w:tc>
        <w:tc>
          <w:tcPr>
            <w:tcW w:w="16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left w:val="single" w:sz="8" w:color="CCEEFF"/>
              <w:right w:val="single" w:sz="8" w:color="CCEEFF"/>
            </w:tcBorders>
            <w:shd w:val="clear" w:color="auto" w:fill="CCEEFF"/>
          </w:tcPr>
          <w:p>
            <w:pPr>
              <w:spacing w:after="0"/>
              <w:rPr>
                <w:sz w:val="14"/>
                <w:szCs w:val="14"/>
                <w:color w:val="auto"/>
              </w:rPr>
            </w:pPr>
          </w:p>
        </w:tc>
        <w:tc>
          <w:tcPr>
            <w:tcW w:w="400" w:type="dxa"/>
            <w:vAlign w:val="bottom"/>
            <w:tcBorders>
              <w:top w:val="single" w:sz="8" w:color="auto"/>
            </w:tcBorders>
            <w:shd w:val="clear" w:color="auto" w:fill="CCEEFF"/>
          </w:tcPr>
          <w:p>
            <w:pPr>
              <w:spacing w:after="0"/>
              <w:rPr>
                <w:sz w:val="14"/>
                <w:szCs w:val="14"/>
                <w:color w:val="auto"/>
              </w:rPr>
            </w:pPr>
          </w:p>
        </w:tc>
        <w:tc>
          <w:tcPr>
            <w:tcW w:w="42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left w:val="single" w:sz="8" w:color="CCEEFF"/>
              <w:right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right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left w:val="single" w:sz="8" w:color="CCEEFF"/>
              <w:right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left w:val="single" w:sz="8" w:color="CCEEFF"/>
              <w:right w:val="single" w:sz="8" w:color="CCEEFF"/>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right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r>
      <w:tr>
        <w:trPr>
          <w:trHeight w:val="187"/>
        </w:trPr>
        <w:tc>
          <w:tcPr>
            <w:tcW w:w="1320" w:type="dxa"/>
            <w:vAlign w:val="bottom"/>
            <w:shd w:val="clear" w:color="auto" w:fill="CCEEFF"/>
          </w:tcPr>
          <w:p>
            <w:pPr>
              <w:spacing w:after="0"/>
              <w:rPr>
                <w:sz w:val="20"/>
                <w:szCs w:val="20"/>
                <w:color w:val="auto"/>
              </w:rPr>
            </w:pPr>
            <w:r>
              <w:rPr>
                <w:rFonts w:ascii="Arial" w:cs="Arial" w:eastAsia="Arial" w:hAnsi="Arial"/>
                <w:sz w:val="16"/>
                <w:szCs w:val="16"/>
                <w:color w:val="auto"/>
              </w:rPr>
              <w:t>revenues</w:t>
            </w:r>
          </w:p>
        </w:tc>
        <w:tc>
          <w:tcPr>
            <w:tcW w:w="420" w:type="dxa"/>
            <w:vAlign w:val="bottom"/>
            <w:gridSpan w:val="2"/>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65.0</w:t>
            </w:r>
          </w:p>
        </w:tc>
        <w:tc>
          <w:tcPr>
            <w:tcW w:w="540" w:type="dxa"/>
            <w:vAlign w:val="bottom"/>
            <w:tcBorders>
              <w:left w:val="single" w:sz="8" w:color="CCEEFF"/>
            </w:tcBorders>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38.3</w:t>
            </w:r>
          </w:p>
        </w:tc>
        <w:tc>
          <w:tcPr>
            <w:tcW w:w="22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181.9</w:t>
            </w:r>
          </w:p>
        </w:tc>
        <w:tc>
          <w:tcPr>
            <w:tcW w:w="520" w:type="dxa"/>
            <w:vAlign w:val="bottom"/>
            <w:gridSpan w:val="2"/>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45.3</w:t>
            </w:r>
          </w:p>
        </w:tc>
        <w:tc>
          <w:tcPr>
            <w:tcW w:w="260" w:type="dxa"/>
            <w:vAlign w:val="bottom"/>
            <w:tcBorders>
              <w:left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44.5</w:t>
            </w:r>
          </w:p>
        </w:tc>
        <w:tc>
          <w:tcPr>
            <w:tcW w:w="500" w:type="dxa"/>
            <w:vAlign w:val="bottom"/>
            <w:tcBorders>
              <w:left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29.7</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119.5</w:t>
            </w:r>
          </w:p>
        </w:tc>
      </w:tr>
      <w:tr>
        <w:trPr>
          <w:trHeight w:val="191"/>
        </w:trPr>
        <w:tc>
          <w:tcPr>
            <w:tcW w:w="1320" w:type="dxa"/>
            <w:vAlign w:val="bottom"/>
          </w:tcPr>
          <w:p>
            <w:pPr>
              <w:spacing w:after="0"/>
              <w:rPr>
                <w:sz w:val="20"/>
                <w:szCs w:val="20"/>
                <w:color w:val="auto"/>
              </w:rPr>
            </w:pPr>
            <w:r>
              <w:rPr>
                <w:rFonts w:ascii="Arial" w:cs="Arial" w:eastAsia="Arial" w:hAnsi="Arial"/>
                <w:sz w:val="16"/>
                <w:szCs w:val="16"/>
                <w:color w:val="auto"/>
              </w:rPr>
              <w:t>Intervention</w:t>
            </w: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r>
      <w:tr>
        <w:trPr>
          <w:trHeight w:val="187"/>
        </w:trPr>
        <w:tc>
          <w:tcPr>
            <w:tcW w:w="1320" w:type="dxa"/>
            <w:vAlign w:val="bottom"/>
          </w:tcPr>
          <w:p>
            <w:pPr>
              <w:spacing w:after="0"/>
              <w:rPr>
                <w:sz w:val="20"/>
                <w:szCs w:val="20"/>
                <w:color w:val="auto"/>
              </w:rPr>
            </w:pPr>
            <w:r>
              <w:rPr>
                <w:rFonts w:ascii="Arial" w:cs="Arial" w:eastAsia="Arial" w:hAnsi="Arial"/>
                <w:sz w:val="16"/>
                <w:szCs w:val="16"/>
                <w:color w:val="auto"/>
              </w:rPr>
              <w:t>revenues</w:t>
            </w: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20.0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23.6</w:t>
            </w: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26.6</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70.2</w:t>
            </w: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22.2</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21.9</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15.6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59.7</w:t>
            </w:r>
          </w:p>
        </w:tc>
      </w:tr>
      <w:tr>
        <w:trPr>
          <w:trHeight w:val="191"/>
        </w:trPr>
        <w:tc>
          <w:tcPr>
            <w:tcW w:w="1320" w:type="dxa"/>
            <w:vAlign w:val="bottom"/>
            <w:shd w:val="clear" w:color="auto" w:fill="CCEEFF"/>
          </w:tcPr>
          <w:p>
            <w:pPr>
              <w:spacing w:after="0"/>
              <w:rPr>
                <w:sz w:val="20"/>
                <w:szCs w:val="20"/>
                <w:color w:val="auto"/>
              </w:rPr>
            </w:pPr>
            <w:r>
              <w:rPr>
                <w:rFonts w:ascii="Arial" w:cs="Arial" w:eastAsia="Arial" w:hAnsi="Arial"/>
                <w:sz w:val="16"/>
                <w:szCs w:val="16"/>
                <w:color w:val="auto"/>
              </w:rPr>
              <w:t>Production</w:t>
            </w:r>
          </w:p>
        </w:tc>
        <w:tc>
          <w:tcPr>
            <w:tcW w:w="1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40" w:type="dxa"/>
            <w:vAlign w:val="bottom"/>
            <w:tcBorders>
              <w:left w:val="single" w:sz="8" w:color="CCEEFF"/>
              <w:right w:val="single" w:sz="8" w:color="CCEEFF"/>
            </w:tcBorders>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40" w:type="dxa"/>
            <w:vAlign w:val="bottom"/>
            <w:tcBorders>
              <w:left w:val="single" w:sz="8" w:color="CCEEFF"/>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20" w:type="dxa"/>
            <w:vAlign w:val="bottom"/>
            <w:tcBorders>
              <w:right w:val="single" w:sz="8" w:color="CCEEFF"/>
            </w:tcBorders>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20" w:type="dxa"/>
            <w:vAlign w:val="bottom"/>
            <w:tcBorders>
              <w:left w:val="single" w:sz="8" w:color="CCEEFF"/>
              <w:right w:val="single" w:sz="8" w:color="CCEEFF"/>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tcBorders>
              <w:left w:val="single" w:sz="8" w:color="CCEEFF"/>
              <w:right w:val="single" w:sz="8" w:color="CCEEFF"/>
            </w:tcBorders>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r>
      <w:tr>
        <w:trPr>
          <w:trHeight w:val="187"/>
        </w:trPr>
        <w:tc>
          <w:tcPr>
            <w:tcW w:w="1320" w:type="dxa"/>
            <w:vAlign w:val="bottom"/>
            <w:shd w:val="clear" w:color="auto" w:fill="CCEEFF"/>
          </w:tcPr>
          <w:p>
            <w:pPr>
              <w:spacing w:after="0"/>
              <w:rPr>
                <w:sz w:val="20"/>
                <w:szCs w:val="20"/>
                <w:color w:val="auto"/>
              </w:rPr>
            </w:pPr>
            <w:r>
              <w:rPr>
                <w:rFonts w:ascii="Arial" w:cs="Arial" w:eastAsia="Arial" w:hAnsi="Arial"/>
                <w:sz w:val="16"/>
                <w:szCs w:val="16"/>
                <w:color w:val="auto"/>
              </w:rPr>
              <w:t>revenues</w:t>
            </w:r>
          </w:p>
        </w:tc>
        <w:tc>
          <w:tcPr>
            <w:tcW w:w="16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12.7</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23.5</w:t>
            </w:r>
          </w:p>
        </w:tc>
        <w:tc>
          <w:tcPr>
            <w:tcW w:w="140" w:type="dxa"/>
            <w:vAlign w:val="bottom"/>
            <w:tcBorders>
              <w:left w:val="single" w:sz="8" w:color="CCEEFF"/>
              <w:right w:val="single" w:sz="8" w:color="CCEEFF"/>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22.4</w:t>
            </w:r>
          </w:p>
        </w:tc>
        <w:tc>
          <w:tcPr>
            <w:tcW w:w="140" w:type="dxa"/>
            <w:vAlign w:val="bottom"/>
            <w:tcBorders>
              <w:left w:val="single" w:sz="8" w:color="CCEEFF"/>
              <w:right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58.6</w:t>
            </w:r>
          </w:p>
        </w:tc>
        <w:tc>
          <w:tcPr>
            <w:tcW w:w="220" w:type="dxa"/>
            <w:vAlign w:val="bottom"/>
            <w:tcBorders>
              <w:right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12.9</w:t>
            </w:r>
          </w:p>
        </w:tc>
        <w:tc>
          <w:tcPr>
            <w:tcW w:w="120" w:type="dxa"/>
            <w:vAlign w:val="bottom"/>
            <w:tcBorders>
              <w:left w:val="single" w:sz="8" w:color="CCEEFF"/>
              <w:right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21.6</w:t>
            </w:r>
          </w:p>
        </w:tc>
        <w:tc>
          <w:tcPr>
            <w:tcW w:w="120" w:type="dxa"/>
            <w:vAlign w:val="bottom"/>
            <w:tcBorders>
              <w:left w:val="single" w:sz="8" w:color="CCEEFF"/>
              <w:right w:val="single" w:sz="8" w:color="CCEEFF"/>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14.5</w:t>
            </w:r>
          </w:p>
        </w:tc>
        <w:tc>
          <w:tcPr>
            <w:tcW w:w="100" w:type="dxa"/>
            <w:vAlign w:val="bottom"/>
            <w:tcBorders>
              <w:right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49.0</w:t>
            </w:r>
          </w:p>
        </w:tc>
      </w:tr>
      <w:tr>
        <w:trPr>
          <w:trHeight w:val="183"/>
        </w:trPr>
        <w:tc>
          <w:tcPr>
            <w:tcW w:w="1320" w:type="dxa"/>
            <w:vAlign w:val="bottom"/>
          </w:tcPr>
          <w:p>
            <w:pPr>
              <w:ind w:left="120"/>
              <w:spacing w:after="0" w:line="183" w:lineRule="exact"/>
              <w:rPr>
                <w:sz w:val="20"/>
                <w:szCs w:val="20"/>
                <w:color w:val="auto"/>
              </w:rPr>
            </w:pPr>
            <w:r>
              <w:rPr>
                <w:rFonts w:ascii="Arial" w:cs="Arial" w:eastAsia="Arial" w:hAnsi="Arial"/>
                <w:sz w:val="16"/>
                <w:szCs w:val="16"/>
                <w:color w:val="auto"/>
              </w:rPr>
              <w:t>Total revenues</w:t>
            </w:r>
          </w:p>
        </w:tc>
        <w:tc>
          <w:tcPr>
            <w:tcW w:w="420" w:type="dxa"/>
            <w:vAlign w:val="bottom"/>
            <w:gridSpan w:val="2"/>
          </w:tcPr>
          <w:p>
            <w:pPr>
              <w:jc w:val="right"/>
              <w:ind w:right="99"/>
              <w:spacing w:after="0" w:line="183" w:lineRule="exact"/>
              <w:rPr>
                <w:sz w:val="20"/>
                <w:szCs w:val="20"/>
                <w:color w:val="auto"/>
              </w:rPr>
            </w:pPr>
            <w:r>
              <w:rPr>
                <w:rFonts w:ascii="Arial" w:cs="Arial" w:eastAsia="Arial" w:hAnsi="Arial"/>
                <w:sz w:val="16"/>
                <w:szCs w:val="16"/>
                <w:color w:val="auto"/>
              </w:rPr>
              <w:t>$</w:t>
            </w:r>
          </w:p>
        </w:tc>
        <w:tc>
          <w:tcPr>
            <w:tcW w:w="640" w:type="dxa"/>
            <w:vAlign w:val="bottom"/>
          </w:tcPr>
          <w:p>
            <w:pPr>
              <w:jc w:val="right"/>
              <w:spacing w:after="0" w:line="183" w:lineRule="exact"/>
              <w:rPr>
                <w:sz w:val="20"/>
                <w:szCs w:val="20"/>
                <w:color w:val="auto"/>
              </w:rPr>
            </w:pPr>
            <w:r>
              <w:rPr>
                <w:rFonts w:ascii="Arial" w:cs="Arial" w:eastAsia="Arial" w:hAnsi="Arial"/>
                <w:sz w:val="16"/>
                <w:szCs w:val="16"/>
                <w:color w:val="auto"/>
              </w:rPr>
              <w:t>111.3</w:t>
            </w:r>
          </w:p>
        </w:tc>
        <w:tc>
          <w:tcPr>
            <w:tcW w:w="260" w:type="dxa"/>
            <w:vAlign w:val="bottom"/>
            <w:gridSpan w:val="2"/>
          </w:tcPr>
          <w:p>
            <w:pPr>
              <w:jc w:val="right"/>
              <w:spacing w:after="0" w:line="183" w:lineRule="exact"/>
              <w:rPr>
                <w:sz w:val="20"/>
                <w:szCs w:val="20"/>
                <w:color w:val="auto"/>
              </w:rPr>
            </w:pPr>
            <w:r>
              <w:rPr>
                <w:rFonts w:ascii="Arial" w:cs="Arial" w:eastAsia="Arial" w:hAnsi="Arial"/>
                <w:sz w:val="16"/>
                <w:szCs w:val="16"/>
                <w:color w:val="auto"/>
              </w:rPr>
              <w:t>$</w:t>
            </w:r>
          </w:p>
        </w:tc>
        <w:tc>
          <w:tcPr>
            <w:tcW w:w="740" w:type="dxa"/>
            <w:vAlign w:val="bottom"/>
          </w:tcPr>
          <w:p>
            <w:pPr>
              <w:jc w:val="right"/>
              <w:spacing w:after="0" w:line="183" w:lineRule="exact"/>
              <w:rPr>
                <w:sz w:val="20"/>
                <w:szCs w:val="20"/>
                <w:color w:val="auto"/>
              </w:rPr>
            </w:pPr>
            <w:r>
              <w:rPr>
                <w:rFonts w:ascii="Arial" w:cs="Arial" w:eastAsia="Arial" w:hAnsi="Arial"/>
                <w:sz w:val="16"/>
                <w:szCs w:val="16"/>
                <w:color w:val="auto"/>
              </w:rPr>
              <w:t>112.1</w:t>
            </w:r>
          </w:p>
        </w:tc>
        <w:tc>
          <w:tcPr>
            <w:tcW w:w="540" w:type="dxa"/>
            <w:vAlign w:val="bottom"/>
            <w:gridSpan w:val="2"/>
          </w:tcPr>
          <w:p>
            <w:pPr>
              <w:ind w:left="100"/>
              <w:spacing w:after="0" w:line="183" w:lineRule="exact"/>
              <w:rPr>
                <w:sz w:val="20"/>
                <w:szCs w:val="20"/>
                <w:color w:val="auto"/>
              </w:rPr>
            </w:pPr>
            <w:r>
              <w:rPr>
                <w:rFonts w:ascii="Arial" w:cs="Arial" w:eastAsia="Arial" w:hAnsi="Arial"/>
                <w:sz w:val="16"/>
                <w:szCs w:val="16"/>
                <w:color w:val="auto"/>
              </w:rPr>
              <w:t>$</w:t>
            </w:r>
          </w:p>
        </w:tc>
        <w:tc>
          <w:tcPr>
            <w:tcW w:w="420" w:type="dxa"/>
            <w:vAlign w:val="bottom"/>
          </w:tcPr>
          <w:p>
            <w:pPr>
              <w:jc w:val="right"/>
              <w:spacing w:after="0" w:line="183" w:lineRule="exact"/>
              <w:rPr>
                <w:sz w:val="20"/>
                <w:szCs w:val="20"/>
                <w:color w:val="auto"/>
              </w:rPr>
            </w:pPr>
            <w:r>
              <w:rPr>
                <w:rFonts w:ascii="Arial" w:cs="Arial" w:eastAsia="Arial" w:hAnsi="Arial"/>
                <w:sz w:val="16"/>
                <w:szCs w:val="16"/>
                <w:color w:val="auto"/>
              </w:rPr>
              <w:t>87.3</w:t>
            </w:r>
          </w:p>
        </w:tc>
        <w:tc>
          <w:tcPr>
            <w:tcW w:w="220" w:type="dxa"/>
            <w:vAlign w:val="bottom"/>
            <w:gridSpan w:val="2"/>
          </w:tcPr>
          <w:p>
            <w:pPr>
              <w:jc w:val="right"/>
              <w:spacing w:after="0" w:line="183" w:lineRule="exact"/>
              <w:rPr>
                <w:sz w:val="20"/>
                <w:szCs w:val="20"/>
                <w:color w:val="auto"/>
              </w:rPr>
            </w:pPr>
            <w:r>
              <w:rPr>
                <w:rFonts w:ascii="Arial" w:cs="Arial" w:eastAsia="Arial" w:hAnsi="Arial"/>
                <w:sz w:val="16"/>
                <w:szCs w:val="16"/>
                <w:color w:val="auto"/>
              </w:rPr>
              <w:t>$</w:t>
            </w:r>
          </w:p>
        </w:tc>
        <w:tc>
          <w:tcPr>
            <w:tcW w:w="660" w:type="dxa"/>
            <w:vAlign w:val="bottom"/>
          </w:tcPr>
          <w:p>
            <w:pPr>
              <w:jc w:val="right"/>
              <w:spacing w:after="0" w:line="183" w:lineRule="exact"/>
              <w:rPr>
                <w:sz w:val="20"/>
                <w:szCs w:val="20"/>
                <w:color w:val="auto"/>
              </w:rPr>
            </w:pPr>
            <w:r>
              <w:rPr>
                <w:rFonts w:ascii="Arial" w:cs="Arial" w:eastAsia="Arial" w:hAnsi="Arial"/>
                <w:sz w:val="16"/>
                <w:szCs w:val="16"/>
                <w:color w:val="auto"/>
              </w:rPr>
              <w:t>310.7</w:t>
            </w:r>
          </w:p>
        </w:tc>
        <w:tc>
          <w:tcPr>
            <w:tcW w:w="520" w:type="dxa"/>
            <w:vAlign w:val="bottom"/>
            <w:gridSpan w:val="2"/>
          </w:tcPr>
          <w:p>
            <w:pPr>
              <w:jc w:val="right"/>
              <w:ind w:right="139"/>
              <w:spacing w:after="0" w:line="183" w:lineRule="exact"/>
              <w:rPr>
                <w:sz w:val="20"/>
                <w:szCs w:val="20"/>
                <w:color w:val="auto"/>
              </w:rPr>
            </w:pPr>
            <w:r>
              <w:rPr>
                <w:rFonts w:ascii="Arial" w:cs="Arial" w:eastAsia="Arial" w:hAnsi="Arial"/>
                <w:sz w:val="16"/>
                <w:szCs w:val="16"/>
                <w:color w:val="auto"/>
              </w:rPr>
              <w:t>$</w:t>
            </w:r>
          </w:p>
        </w:tc>
        <w:tc>
          <w:tcPr>
            <w:tcW w:w="600" w:type="dxa"/>
            <w:vAlign w:val="bottom"/>
          </w:tcPr>
          <w:p>
            <w:pPr>
              <w:jc w:val="right"/>
              <w:spacing w:after="0" w:line="183" w:lineRule="exact"/>
              <w:rPr>
                <w:sz w:val="20"/>
                <w:szCs w:val="20"/>
                <w:color w:val="auto"/>
              </w:rPr>
            </w:pPr>
            <w:r>
              <w:rPr>
                <w:rFonts w:ascii="Arial" w:cs="Arial" w:eastAsia="Arial" w:hAnsi="Arial"/>
                <w:sz w:val="16"/>
                <w:szCs w:val="16"/>
                <w:color w:val="auto"/>
              </w:rPr>
              <w:t>80.4</w:t>
            </w:r>
          </w:p>
        </w:tc>
        <w:tc>
          <w:tcPr>
            <w:tcW w:w="260" w:type="dxa"/>
            <w:vAlign w:val="bottom"/>
            <w:gridSpan w:val="2"/>
          </w:tcPr>
          <w:p>
            <w:pPr>
              <w:ind w:left="120"/>
              <w:spacing w:after="0" w:line="183" w:lineRule="exact"/>
              <w:rPr>
                <w:sz w:val="20"/>
                <w:szCs w:val="20"/>
                <w:color w:val="auto"/>
              </w:rPr>
            </w:pPr>
            <w:r>
              <w:rPr>
                <w:rFonts w:ascii="Arial" w:cs="Arial" w:eastAsia="Arial" w:hAnsi="Arial"/>
                <w:sz w:val="16"/>
                <w:szCs w:val="16"/>
                <w:color w:val="auto"/>
              </w:rPr>
              <w:t>$</w:t>
            </w:r>
          </w:p>
        </w:tc>
        <w:tc>
          <w:tcPr>
            <w:tcW w:w="720" w:type="dxa"/>
            <w:vAlign w:val="bottom"/>
          </w:tcPr>
          <w:p>
            <w:pPr>
              <w:jc w:val="right"/>
              <w:spacing w:after="0" w:line="183" w:lineRule="exact"/>
              <w:rPr>
                <w:sz w:val="20"/>
                <w:szCs w:val="20"/>
                <w:color w:val="auto"/>
              </w:rPr>
            </w:pPr>
            <w:r>
              <w:rPr>
                <w:rFonts w:ascii="Arial" w:cs="Arial" w:eastAsia="Arial" w:hAnsi="Arial"/>
                <w:sz w:val="16"/>
                <w:szCs w:val="16"/>
                <w:color w:val="auto"/>
              </w:rPr>
              <w:t>88.0</w:t>
            </w:r>
          </w:p>
        </w:tc>
        <w:tc>
          <w:tcPr>
            <w:tcW w:w="500" w:type="dxa"/>
            <w:vAlign w:val="bottom"/>
            <w:gridSpan w:val="2"/>
          </w:tcPr>
          <w:p>
            <w:pPr>
              <w:ind w:left="120"/>
              <w:spacing w:after="0" w:line="183" w:lineRule="exact"/>
              <w:rPr>
                <w:sz w:val="20"/>
                <w:szCs w:val="20"/>
                <w:color w:val="auto"/>
              </w:rPr>
            </w:pPr>
            <w:r>
              <w:rPr>
                <w:rFonts w:ascii="Arial" w:cs="Arial" w:eastAsia="Arial" w:hAnsi="Arial"/>
                <w:sz w:val="16"/>
                <w:szCs w:val="16"/>
                <w:color w:val="auto"/>
              </w:rPr>
              <w:t>$</w:t>
            </w:r>
          </w:p>
        </w:tc>
        <w:tc>
          <w:tcPr>
            <w:tcW w:w="440" w:type="dxa"/>
            <w:vAlign w:val="bottom"/>
          </w:tcPr>
          <w:p>
            <w:pPr>
              <w:jc w:val="right"/>
              <w:spacing w:after="0" w:line="183" w:lineRule="exact"/>
              <w:rPr>
                <w:sz w:val="20"/>
                <w:szCs w:val="20"/>
                <w:color w:val="auto"/>
              </w:rPr>
            </w:pPr>
            <w:r>
              <w:rPr>
                <w:rFonts w:ascii="Arial" w:cs="Arial" w:eastAsia="Arial" w:hAnsi="Arial"/>
                <w:sz w:val="16"/>
                <w:szCs w:val="16"/>
                <w:color w:val="auto"/>
              </w:rPr>
              <w:t>59.8</w:t>
            </w:r>
          </w:p>
        </w:tc>
        <w:tc>
          <w:tcPr>
            <w:tcW w:w="220" w:type="dxa"/>
            <w:vAlign w:val="bottom"/>
            <w:gridSpan w:val="2"/>
          </w:tcPr>
          <w:p>
            <w:pPr>
              <w:jc w:val="right"/>
              <w:ind w:right="40"/>
              <w:spacing w:after="0" w:line="183" w:lineRule="exact"/>
              <w:rPr>
                <w:sz w:val="20"/>
                <w:szCs w:val="20"/>
                <w:color w:val="auto"/>
              </w:rPr>
            </w:pPr>
            <w:r>
              <w:rPr>
                <w:rFonts w:ascii="Arial" w:cs="Arial" w:eastAsia="Arial" w:hAnsi="Arial"/>
                <w:sz w:val="16"/>
                <w:szCs w:val="16"/>
                <w:color w:val="auto"/>
              </w:rPr>
              <w:t>$</w:t>
            </w:r>
          </w:p>
        </w:tc>
        <w:tc>
          <w:tcPr>
            <w:tcW w:w="580" w:type="dxa"/>
            <w:vAlign w:val="bottom"/>
          </w:tcPr>
          <w:p>
            <w:pPr>
              <w:jc w:val="right"/>
              <w:spacing w:after="0" w:line="183" w:lineRule="exact"/>
              <w:rPr>
                <w:sz w:val="20"/>
                <w:szCs w:val="20"/>
                <w:color w:val="auto"/>
              </w:rPr>
            </w:pPr>
            <w:r>
              <w:rPr>
                <w:rFonts w:ascii="Arial" w:cs="Arial" w:eastAsia="Arial" w:hAnsi="Arial"/>
                <w:sz w:val="16"/>
                <w:szCs w:val="16"/>
                <w:color w:val="auto"/>
              </w:rPr>
              <w:t>228.2</w:t>
            </w:r>
          </w:p>
        </w:tc>
      </w:tr>
      <w:tr>
        <w:trPr>
          <w:trHeight w:val="27"/>
        </w:trPr>
        <w:tc>
          <w:tcPr>
            <w:tcW w:w="1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Borders>
              <w:lef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Borders>
              <w:left w:val="single" w:sz="8" w:color="auto"/>
            </w:tcBorders>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capital expenditures by reportable segment:</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80" w:type="dxa"/>
            <w:vAlign w:val="bottom"/>
          </w:tcPr>
          <w:p>
            <w:pPr>
              <w:spacing w:after="0"/>
              <w:rPr>
                <w:sz w:val="18"/>
                <w:szCs w:val="18"/>
                <w:color w:val="auto"/>
              </w:rPr>
            </w:pPr>
          </w:p>
        </w:tc>
        <w:tc>
          <w:tcPr>
            <w:tcW w:w="1920" w:type="dxa"/>
            <w:vAlign w:val="bottom"/>
            <w:gridSpan w:val="6"/>
          </w:tcPr>
          <w:p>
            <w:pPr>
              <w:ind w:left="60"/>
              <w:spacing w:after="0"/>
              <w:rPr>
                <w:sz w:val="20"/>
                <w:szCs w:val="20"/>
                <w:color w:val="auto"/>
              </w:rPr>
            </w:pPr>
            <w:r>
              <w:rPr>
                <w:rFonts w:ascii="Arial" w:cs="Arial" w:eastAsia="Arial" w:hAnsi="Arial"/>
                <w:sz w:val="16"/>
                <w:szCs w:val="16"/>
                <w:b w:val="1"/>
                <w:bCs w:val="1"/>
                <w:color w:val="auto"/>
              </w:rPr>
              <w:t>Three Months Ended</w:t>
            </w:r>
          </w:p>
        </w:tc>
        <w:tc>
          <w:tcPr>
            <w:tcW w:w="100" w:type="dxa"/>
            <w:vAlign w:val="bottom"/>
          </w:tcPr>
          <w:p>
            <w:pPr>
              <w:spacing w:after="0"/>
              <w:rPr>
                <w:sz w:val="18"/>
                <w:szCs w:val="18"/>
                <w:color w:val="auto"/>
              </w:rPr>
            </w:pPr>
          </w:p>
        </w:tc>
        <w:tc>
          <w:tcPr>
            <w:tcW w:w="1560" w:type="dxa"/>
            <w:vAlign w:val="bottom"/>
            <w:gridSpan w:val="4"/>
          </w:tcPr>
          <w:p>
            <w:pPr>
              <w:jc w:val="right"/>
              <w:ind w:right="39"/>
              <w:spacing w:after="0"/>
              <w:rPr>
                <w:sz w:val="20"/>
                <w:szCs w:val="20"/>
                <w:color w:val="auto"/>
              </w:rPr>
            </w:pPr>
            <w:r>
              <w:rPr>
                <w:rFonts w:ascii="Arial" w:cs="Arial" w:eastAsia="Arial" w:hAnsi="Arial"/>
                <w:sz w:val="16"/>
                <w:szCs w:val="16"/>
                <w:b w:val="1"/>
                <w:bCs w:val="1"/>
                <w:color w:val="auto"/>
              </w:rPr>
              <w:t>Six Months Ended</w:t>
            </w:r>
          </w:p>
        </w:tc>
      </w:tr>
      <w:tr>
        <w:trPr>
          <w:trHeight w:val="164"/>
        </w:trPr>
        <w:tc>
          <w:tcPr>
            <w:tcW w:w="5480" w:type="dxa"/>
            <w:vAlign w:val="bottom"/>
          </w:tcPr>
          <w:p>
            <w:pPr>
              <w:spacing w:after="0"/>
              <w:rPr>
                <w:sz w:val="14"/>
                <w:szCs w:val="14"/>
                <w:color w:val="auto"/>
              </w:rPr>
            </w:pPr>
          </w:p>
        </w:tc>
        <w:tc>
          <w:tcPr>
            <w:tcW w:w="780" w:type="dxa"/>
            <w:vAlign w:val="bottom"/>
            <w:tcBorders>
              <w:top w:val="single" w:sz="8" w:color="auto"/>
            </w:tcBorders>
            <w:gridSpan w:val="2"/>
          </w:tcPr>
          <w:p>
            <w:pPr>
              <w:jc w:val="right"/>
              <w:ind w:right="39"/>
              <w:spacing w:after="0" w:line="165" w:lineRule="exact"/>
              <w:rPr>
                <w:sz w:val="20"/>
                <w:szCs w:val="20"/>
                <w:color w:val="auto"/>
              </w:rPr>
            </w:pPr>
            <w:r>
              <w:rPr>
                <w:rFonts w:ascii="Arial" w:cs="Arial" w:eastAsia="Arial" w:hAnsi="Arial"/>
                <w:sz w:val="16"/>
                <w:szCs w:val="16"/>
                <w:b w:val="1"/>
                <w:bCs w:val="1"/>
                <w:color w:val="auto"/>
              </w:rPr>
              <w:t>July 31,</w:t>
            </w:r>
          </w:p>
        </w:tc>
        <w:tc>
          <w:tcPr>
            <w:tcW w:w="20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gridSpan w:val="2"/>
          </w:tcPr>
          <w:p>
            <w:pPr>
              <w:jc w:val="right"/>
              <w:ind w:right="19"/>
              <w:spacing w:after="0" w:line="165" w:lineRule="exact"/>
              <w:rPr>
                <w:sz w:val="20"/>
                <w:szCs w:val="20"/>
                <w:color w:val="auto"/>
              </w:rPr>
            </w:pPr>
            <w:r>
              <w:rPr>
                <w:rFonts w:ascii="Arial" w:cs="Arial" w:eastAsia="Arial" w:hAnsi="Arial"/>
                <w:sz w:val="16"/>
                <w:szCs w:val="16"/>
                <w:b w:val="1"/>
                <w:bCs w:val="1"/>
                <w:color w:val="auto"/>
              </w:rPr>
              <w:t>July 31,</w:t>
            </w:r>
          </w:p>
        </w:tc>
        <w:tc>
          <w:tcPr>
            <w:tcW w:w="200" w:type="dxa"/>
            <w:vAlign w:val="bottom"/>
          </w:tcPr>
          <w:p>
            <w:pPr>
              <w:spacing w:after="0"/>
              <w:rPr>
                <w:sz w:val="14"/>
                <w:szCs w:val="14"/>
                <w:color w:val="auto"/>
              </w:rPr>
            </w:pPr>
          </w:p>
        </w:tc>
        <w:tc>
          <w:tcPr>
            <w:tcW w:w="920" w:type="dxa"/>
            <w:vAlign w:val="bottom"/>
            <w:tcBorders>
              <w:top w:val="single" w:sz="8" w:color="auto"/>
            </w:tcBorders>
            <w:gridSpan w:val="3"/>
          </w:tcPr>
          <w:p>
            <w:pPr>
              <w:ind w:left="40"/>
              <w:spacing w:after="0" w:line="165" w:lineRule="exact"/>
              <w:rPr>
                <w:sz w:val="20"/>
                <w:szCs w:val="20"/>
                <w:color w:val="auto"/>
              </w:rPr>
            </w:pPr>
            <w:r>
              <w:rPr>
                <w:rFonts w:ascii="Arial" w:cs="Arial" w:eastAsia="Arial" w:hAnsi="Arial"/>
                <w:sz w:val="16"/>
                <w:szCs w:val="16"/>
                <w:b w:val="1"/>
                <w:bCs w:val="1"/>
                <w:color w:val="auto"/>
              </w:rPr>
              <w:t>July 31,</w:t>
            </w:r>
          </w:p>
        </w:tc>
        <w:tc>
          <w:tcPr>
            <w:tcW w:w="740" w:type="dxa"/>
            <w:vAlign w:val="bottom"/>
            <w:tcBorders>
              <w:top w:val="single" w:sz="8" w:color="auto"/>
            </w:tcBorders>
            <w:gridSpan w:val="2"/>
          </w:tcPr>
          <w:p>
            <w:pPr>
              <w:jc w:val="right"/>
              <w:ind w:right="19"/>
              <w:spacing w:after="0" w:line="165" w:lineRule="exact"/>
              <w:rPr>
                <w:sz w:val="20"/>
                <w:szCs w:val="20"/>
                <w:color w:val="auto"/>
              </w:rPr>
            </w:pPr>
            <w:r>
              <w:rPr>
                <w:rFonts w:ascii="Arial" w:cs="Arial" w:eastAsia="Arial" w:hAnsi="Arial"/>
                <w:sz w:val="16"/>
                <w:szCs w:val="16"/>
                <w:b w:val="1"/>
                <w:bCs w:val="1"/>
                <w:color w:val="auto"/>
              </w:rPr>
              <w:t>July 31,</w:t>
            </w:r>
          </w:p>
        </w:tc>
      </w:tr>
      <w:tr>
        <w:trPr>
          <w:trHeight w:val="207"/>
        </w:trPr>
        <w:tc>
          <w:tcPr>
            <w:tcW w:w="54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2019</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2018</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2019</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2018</w:t>
            </w:r>
          </w:p>
        </w:tc>
      </w:tr>
      <w:tr>
        <w:trPr>
          <w:trHeight w:val="183"/>
        </w:trPr>
        <w:tc>
          <w:tcPr>
            <w:tcW w:w="548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Southwest</w:t>
            </w:r>
          </w:p>
        </w:tc>
        <w:tc>
          <w:tcPr>
            <w:tcW w:w="16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9.6</w:t>
            </w:r>
          </w:p>
        </w:tc>
        <w:tc>
          <w:tcPr>
            <w:tcW w:w="340" w:type="dxa"/>
            <w:vAlign w:val="bottom"/>
            <w:gridSpan w:val="2"/>
            <w:shd w:val="clear" w:color="auto" w:fill="CCEEFF"/>
          </w:tcPr>
          <w:p>
            <w:pPr>
              <w:jc w:val="right"/>
              <w:spacing w:after="0" w:line="183" w:lineRule="exact"/>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4.6</w:t>
            </w: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15.0</w:t>
            </w: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w w:val="89"/>
              </w:rPr>
              <w:t>$</w:t>
            </w:r>
          </w:p>
        </w:tc>
        <w:tc>
          <w:tcPr>
            <w:tcW w:w="60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7.4</w:t>
            </w:r>
          </w:p>
        </w:tc>
      </w:tr>
      <w:tr>
        <w:trPr>
          <w:trHeight w:val="189"/>
        </w:trPr>
        <w:tc>
          <w:tcPr>
            <w:tcW w:w="5480" w:type="dxa"/>
            <w:vAlign w:val="bottom"/>
          </w:tcPr>
          <w:p>
            <w:pPr>
              <w:spacing w:after="0"/>
              <w:rPr>
                <w:sz w:val="20"/>
                <w:szCs w:val="20"/>
                <w:color w:val="auto"/>
              </w:rPr>
            </w:pPr>
            <w:r>
              <w:rPr>
                <w:rFonts w:ascii="Arial" w:cs="Arial" w:eastAsia="Arial" w:hAnsi="Arial"/>
                <w:sz w:val="16"/>
                <w:szCs w:val="16"/>
                <w:color w:val="auto"/>
              </w:rPr>
              <w:t>Rocky Mountains</w:t>
            </w:r>
          </w:p>
        </w:tc>
        <w:tc>
          <w:tcPr>
            <w:tcW w:w="1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11.2</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4.9</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22.7</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13.6</w:t>
            </w:r>
          </w:p>
        </w:tc>
      </w:tr>
      <w:tr>
        <w:trPr>
          <w:trHeight w:val="189"/>
        </w:trPr>
        <w:tc>
          <w:tcPr>
            <w:tcW w:w="5480" w:type="dxa"/>
            <w:vAlign w:val="bottom"/>
            <w:shd w:val="clear" w:color="auto" w:fill="CCEEFF"/>
          </w:tcPr>
          <w:p>
            <w:pPr>
              <w:spacing w:after="0"/>
              <w:rPr>
                <w:sz w:val="20"/>
                <w:szCs w:val="20"/>
                <w:color w:val="auto"/>
              </w:rPr>
            </w:pPr>
            <w:r>
              <w:rPr>
                <w:rFonts w:ascii="Arial" w:cs="Arial" w:eastAsia="Arial" w:hAnsi="Arial"/>
                <w:sz w:val="16"/>
                <w:szCs w:val="16"/>
                <w:color w:val="auto"/>
              </w:rPr>
              <w:t>Northeast/Mid-Con</w:t>
            </w:r>
          </w:p>
        </w:tc>
        <w:tc>
          <w:tcPr>
            <w:tcW w:w="16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w:t>
            </w:r>
          </w:p>
        </w:tc>
        <w:tc>
          <w:tcPr>
            <w:tcW w:w="2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w:t>
            </w:r>
          </w:p>
        </w:tc>
        <w:tc>
          <w:tcPr>
            <w:tcW w:w="2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19.1</w:t>
            </w:r>
          </w:p>
        </w:tc>
        <w:tc>
          <w:tcPr>
            <w:tcW w:w="18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15.2</w:t>
            </w:r>
          </w:p>
        </w:tc>
      </w:tr>
      <w:tr>
        <w:trPr>
          <w:trHeight w:val="183"/>
        </w:trPr>
        <w:tc>
          <w:tcPr>
            <w:tcW w:w="5480" w:type="dxa"/>
            <w:vAlign w:val="bottom"/>
          </w:tcPr>
          <w:p>
            <w:pPr>
              <w:spacing w:after="0"/>
              <w:rPr>
                <w:sz w:val="15"/>
                <w:szCs w:val="15"/>
                <w:color w:val="auto"/>
              </w:rPr>
            </w:pPr>
          </w:p>
        </w:tc>
        <w:tc>
          <w:tcPr>
            <w:tcW w:w="160" w:type="dxa"/>
            <w:vAlign w:val="bottom"/>
          </w:tcPr>
          <w:p>
            <w:pPr>
              <w:jc w:val="right"/>
              <w:spacing w:after="0" w:line="183" w:lineRule="exact"/>
              <w:rPr>
                <w:sz w:val="20"/>
                <w:szCs w:val="20"/>
                <w:color w:val="auto"/>
              </w:rPr>
            </w:pPr>
            <w:r>
              <w:rPr>
                <w:rFonts w:ascii="Arial" w:cs="Arial" w:eastAsia="Arial" w:hAnsi="Arial"/>
                <w:sz w:val="16"/>
                <w:szCs w:val="16"/>
                <w:color w:val="auto"/>
                <w:w w:val="89"/>
              </w:rPr>
              <w:t>$</w:t>
            </w:r>
          </w:p>
        </w:tc>
        <w:tc>
          <w:tcPr>
            <w:tcW w:w="620" w:type="dxa"/>
            <w:vAlign w:val="bottom"/>
          </w:tcPr>
          <w:p>
            <w:pPr>
              <w:jc w:val="right"/>
              <w:spacing w:after="0" w:line="183" w:lineRule="exact"/>
              <w:rPr>
                <w:sz w:val="20"/>
                <w:szCs w:val="20"/>
                <w:color w:val="auto"/>
              </w:rPr>
            </w:pPr>
            <w:r>
              <w:rPr>
                <w:rFonts w:ascii="Arial" w:cs="Arial" w:eastAsia="Arial" w:hAnsi="Arial"/>
                <w:sz w:val="16"/>
                <w:szCs w:val="16"/>
                <w:color w:val="auto"/>
              </w:rPr>
              <w:t>27.2</w:t>
            </w:r>
          </w:p>
        </w:tc>
        <w:tc>
          <w:tcPr>
            <w:tcW w:w="340" w:type="dxa"/>
            <w:vAlign w:val="bottom"/>
            <w:gridSpan w:val="2"/>
          </w:tcPr>
          <w:p>
            <w:pPr>
              <w:jc w:val="right"/>
              <w:spacing w:after="0" w:line="183" w:lineRule="exact"/>
              <w:rPr>
                <w:sz w:val="20"/>
                <w:szCs w:val="20"/>
                <w:color w:val="auto"/>
              </w:rPr>
            </w:pPr>
            <w:r>
              <w:rPr>
                <w:rFonts w:ascii="Arial" w:cs="Arial" w:eastAsia="Arial" w:hAnsi="Arial"/>
                <w:sz w:val="16"/>
                <w:szCs w:val="16"/>
                <w:color w:val="auto"/>
              </w:rPr>
              <w:t>$</w:t>
            </w:r>
          </w:p>
        </w:tc>
        <w:tc>
          <w:tcPr>
            <w:tcW w:w="600" w:type="dxa"/>
            <w:vAlign w:val="bottom"/>
          </w:tcPr>
          <w:p>
            <w:pPr>
              <w:jc w:val="right"/>
              <w:spacing w:after="0" w:line="183" w:lineRule="exact"/>
              <w:rPr>
                <w:sz w:val="20"/>
                <w:szCs w:val="20"/>
                <w:color w:val="auto"/>
              </w:rPr>
            </w:pPr>
            <w:r>
              <w:rPr>
                <w:rFonts w:ascii="Arial" w:cs="Arial" w:eastAsia="Arial" w:hAnsi="Arial"/>
                <w:sz w:val="16"/>
                <w:szCs w:val="16"/>
                <w:color w:val="auto"/>
              </w:rPr>
              <w:t>16.6</w:t>
            </w:r>
          </w:p>
        </w:tc>
        <w:tc>
          <w:tcPr>
            <w:tcW w:w="2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line="183" w:lineRule="exact"/>
              <w:rPr>
                <w:sz w:val="20"/>
                <w:szCs w:val="20"/>
                <w:color w:val="auto"/>
              </w:rPr>
            </w:pPr>
            <w:r>
              <w:rPr>
                <w:rFonts w:ascii="Arial" w:cs="Arial" w:eastAsia="Arial" w:hAnsi="Arial"/>
                <w:sz w:val="16"/>
                <w:szCs w:val="16"/>
                <w:color w:val="auto"/>
              </w:rPr>
              <w:t>56.8</w:t>
            </w:r>
          </w:p>
        </w:tc>
        <w:tc>
          <w:tcPr>
            <w:tcW w:w="180" w:type="dxa"/>
            <w:vAlign w:val="bottom"/>
          </w:tcPr>
          <w:p>
            <w:pPr>
              <w:spacing w:after="0"/>
              <w:rPr>
                <w:sz w:val="15"/>
                <w:szCs w:val="15"/>
                <w:color w:val="auto"/>
              </w:rPr>
            </w:pPr>
          </w:p>
        </w:tc>
        <w:tc>
          <w:tcPr>
            <w:tcW w:w="140" w:type="dxa"/>
            <w:vAlign w:val="bottom"/>
          </w:tcPr>
          <w:p>
            <w:pPr>
              <w:jc w:val="right"/>
              <w:spacing w:after="0" w:line="183" w:lineRule="exact"/>
              <w:rPr>
                <w:sz w:val="20"/>
                <w:szCs w:val="20"/>
                <w:color w:val="auto"/>
              </w:rPr>
            </w:pPr>
            <w:r>
              <w:rPr>
                <w:rFonts w:ascii="Arial" w:cs="Arial" w:eastAsia="Arial" w:hAnsi="Arial"/>
                <w:sz w:val="16"/>
                <w:szCs w:val="16"/>
                <w:color w:val="auto"/>
                <w:w w:val="89"/>
              </w:rPr>
              <w:t>$</w:t>
            </w:r>
          </w:p>
        </w:tc>
        <w:tc>
          <w:tcPr>
            <w:tcW w:w="600" w:type="dxa"/>
            <w:vAlign w:val="bottom"/>
          </w:tcPr>
          <w:p>
            <w:pPr>
              <w:jc w:val="right"/>
              <w:spacing w:after="0" w:line="183" w:lineRule="exact"/>
              <w:rPr>
                <w:sz w:val="20"/>
                <w:szCs w:val="20"/>
                <w:color w:val="auto"/>
              </w:rPr>
            </w:pPr>
            <w:r>
              <w:rPr>
                <w:rFonts w:ascii="Arial" w:cs="Arial" w:eastAsia="Arial" w:hAnsi="Arial"/>
                <w:sz w:val="16"/>
                <w:szCs w:val="16"/>
                <w:color w:val="auto"/>
              </w:rPr>
              <w:t>36.2</w:t>
            </w:r>
          </w:p>
        </w:tc>
      </w:tr>
      <w:tr>
        <w:trPr>
          <w:trHeight w:val="27"/>
        </w:trPr>
        <w:tc>
          <w:tcPr>
            <w:tcW w:w="54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r>
    </w:tbl>
    <w:p>
      <w:pPr>
        <w:spacing w:after="0" w:line="202" w:lineRule="exact"/>
        <w:rPr>
          <w:sz w:val="20"/>
          <w:szCs w:val="20"/>
          <w:color w:val="auto"/>
        </w:rPr>
      </w:pPr>
    </w:p>
    <w:p>
      <w:pPr>
        <w:ind w:right="740" w:firstLine="648"/>
        <w:spacing w:after="0" w:line="246" w:lineRule="auto"/>
        <w:rPr>
          <w:sz w:val="20"/>
          <w:szCs w:val="20"/>
          <w:color w:val="auto"/>
        </w:rPr>
      </w:pPr>
      <w:r>
        <w:rPr>
          <w:rFonts w:ascii="Arial" w:cs="Arial" w:eastAsia="Arial" w:hAnsi="Arial"/>
          <w:sz w:val="18"/>
          <w:szCs w:val="18"/>
          <w:color w:val="auto"/>
        </w:rPr>
        <w:t>Capital expenditures for the administrative office and functions have been allocated to the above segments based on each segment’s percentage of total capital expenditures.</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total assets by reportable segment:</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14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tcPr>
          <w:p>
            <w:pPr>
              <w:ind w:left="60"/>
              <w:spacing w:after="0"/>
              <w:rPr>
                <w:sz w:val="20"/>
                <w:szCs w:val="20"/>
                <w:color w:val="auto"/>
              </w:rPr>
            </w:pPr>
            <w:r>
              <w:rPr>
                <w:rFonts w:ascii="Arial" w:cs="Arial" w:eastAsia="Arial" w:hAnsi="Arial"/>
                <w:sz w:val="16"/>
                <w:szCs w:val="16"/>
                <w:b w:val="1"/>
                <w:bCs w:val="1"/>
                <w:color w:val="auto"/>
              </w:rPr>
              <w:t>July 31,</w:t>
            </w:r>
          </w:p>
        </w:tc>
        <w:tc>
          <w:tcPr>
            <w:tcW w:w="960" w:type="dxa"/>
            <w:vAlign w:val="bottom"/>
            <w:gridSpan w:val="2"/>
          </w:tcPr>
          <w:p>
            <w:pPr>
              <w:jc w:val="right"/>
              <w:spacing w:after="0"/>
              <w:rPr>
                <w:sz w:val="20"/>
                <w:szCs w:val="20"/>
                <w:color w:val="auto"/>
              </w:rPr>
            </w:pPr>
            <w:r>
              <w:rPr>
                <w:rFonts w:ascii="Arial" w:cs="Arial" w:eastAsia="Arial" w:hAnsi="Arial"/>
                <w:sz w:val="16"/>
                <w:szCs w:val="16"/>
                <w:b w:val="1"/>
                <w:bCs w:val="1"/>
                <w:color w:val="auto"/>
                <w:w w:val="99"/>
              </w:rPr>
              <w:t>January 31,</w:t>
            </w:r>
          </w:p>
        </w:tc>
      </w:tr>
      <w:tr>
        <w:trPr>
          <w:trHeight w:val="207"/>
        </w:trPr>
        <w:tc>
          <w:tcPr>
            <w:tcW w:w="4140" w:type="dxa"/>
            <w:vAlign w:val="bottom"/>
            <w:tcBorders>
              <w:bottom w:val="single" w:sz="8" w:color="CCEEFF"/>
            </w:tcBorders>
          </w:tcPr>
          <w:p>
            <w:pPr>
              <w:spacing w:after="0"/>
              <w:rPr>
                <w:sz w:val="18"/>
                <w:szCs w:val="18"/>
                <w:color w:val="auto"/>
              </w:rPr>
            </w:pPr>
          </w:p>
        </w:tc>
        <w:tc>
          <w:tcPr>
            <w:tcW w:w="27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2019</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2019</w:t>
            </w:r>
          </w:p>
        </w:tc>
      </w:tr>
      <w:tr>
        <w:trPr>
          <w:trHeight w:val="183"/>
        </w:trPr>
        <w:tc>
          <w:tcPr>
            <w:tcW w:w="414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Southwest</w:t>
            </w:r>
          </w:p>
        </w:tc>
        <w:tc>
          <w:tcPr>
            <w:tcW w:w="2900" w:type="dxa"/>
            <w:vAlign w:val="bottom"/>
            <w:gridSpan w:val="2"/>
            <w:shd w:val="clear" w:color="auto" w:fill="CCEEFF"/>
          </w:tcPr>
          <w:p>
            <w:pPr>
              <w:jc w:val="right"/>
              <w:ind w:right="40"/>
              <w:spacing w:after="0" w:line="183" w:lineRule="exact"/>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246.3</w:t>
            </w: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19"/>
              <w:spacing w:after="0" w:line="183" w:lineRule="exact"/>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319.9</w:t>
            </w:r>
          </w:p>
        </w:tc>
      </w:tr>
      <w:tr>
        <w:trPr>
          <w:trHeight w:val="189"/>
        </w:trPr>
        <w:tc>
          <w:tcPr>
            <w:tcW w:w="4140" w:type="dxa"/>
            <w:vAlign w:val="bottom"/>
          </w:tcPr>
          <w:p>
            <w:pPr>
              <w:spacing w:after="0"/>
              <w:rPr>
                <w:sz w:val="20"/>
                <w:szCs w:val="20"/>
                <w:color w:val="auto"/>
              </w:rPr>
            </w:pPr>
            <w:r>
              <w:rPr>
                <w:rFonts w:ascii="Arial" w:cs="Arial" w:eastAsia="Arial" w:hAnsi="Arial"/>
                <w:sz w:val="16"/>
                <w:szCs w:val="16"/>
                <w:color w:val="auto"/>
              </w:rPr>
              <w:t>Rocky Mountains</w:t>
            </w:r>
          </w:p>
        </w:tc>
        <w:tc>
          <w:tcPr>
            <w:tcW w:w="2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237.7</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208.0</w:t>
            </w:r>
          </w:p>
        </w:tc>
      </w:tr>
      <w:tr>
        <w:trPr>
          <w:trHeight w:val="189"/>
        </w:trPr>
        <w:tc>
          <w:tcPr>
            <w:tcW w:w="4140" w:type="dxa"/>
            <w:vAlign w:val="bottom"/>
            <w:shd w:val="clear" w:color="auto" w:fill="CCEEFF"/>
          </w:tcPr>
          <w:p>
            <w:pPr>
              <w:spacing w:after="0"/>
              <w:rPr>
                <w:sz w:val="20"/>
                <w:szCs w:val="20"/>
                <w:color w:val="auto"/>
              </w:rPr>
            </w:pPr>
            <w:r>
              <w:rPr>
                <w:rFonts w:ascii="Arial" w:cs="Arial" w:eastAsia="Arial" w:hAnsi="Arial"/>
                <w:sz w:val="16"/>
                <w:szCs w:val="16"/>
                <w:color w:val="auto"/>
              </w:rPr>
              <w:t>Northeast/Mid-Con</w:t>
            </w:r>
          </w:p>
        </w:tc>
        <w:tc>
          <w:tcPr>
            <w:tcW w:w="278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249.3</w:t>
            </w:r>
          </w:p>
        </w:tc>
        <w:tc>
          <w:tcPr>
            <w:tcW w:w="2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144.9</w:t>
            </w:r>
          </w:p>
        </w:tc>
      </w:tr>
      <w:tr>
        <w:trPr>
          <w:trHeight w:val="183"/>
        </w:trPr>
        <w:tc>
          <w:tcPr>
            <w:tcW w:w="4140" w:type="dxa"/>
            <w:vAlign w:val="bottom"/>
          </w:tcPr>
          <w:p>
            <w:pPr>
              <w:spacing w:after="0"/>
              <w:rPr>
                <w:sz w:val="15"/>
                <w:szCs w:val="15"/>
                <w:color w:val="auto"/>
              </w:rPr>
            </w:pPr>
          </w:p>
        </w:tc>
        <w:tc>
          <w:tcPr>
            <w:tcW w:w="2900" w:type="dxa"/>
            <w:vAlign w:val="bottom"/>
            <w:gridSpan w:val="2"/>
          </w:tcPr>
          <w:p>
            <w:pPr>
              <w:jc w:val="right"/>
              <w:ind w:right="40"/>
              <w:spacing w:after="0" w:line="183" w:lineRule="exact"/>
              <w:rPr>
                <w:sz w:val="20"/>
                <w:szCs w:val="20"/>
                <w:color w:val="auto"/>
              </w:rPr>
            </w:pPr>
            <w:r>
              <w:rPr>
                <w:rFonts w:ascii="Arial" w:cs="Arial" w:eastAsia="Arial" w:hAnsi="Arial"/>
                <w:sz w:val="16"/>
                <w:szCs w:val="16"/>
                <w:color w:val="auto"/>
              </w:rPr>
              <w:t>$</w:t>
            </w:r>
          </w:p>
        </w:tc>
        <w:tc>
          <w:tcPr>
            <w:tcW w:w="860" w:type="dxa"/>
            <w:vAlign w:val="bottom"/>
          </w:tcPr>
          <w:p>
            <w:pPr>
              <w:jc w:val="right"/>
              <w:spacing w:after="0" w:line="183" w:lineRule="exact"/>
              <w:rPr>
                <w:sz w:val="20"/>
                <w:szCs w:val="20"/>
                <w:color w:val="auto"/>
              </w:rPr>
            </w:pPr>
            <w:r>
              <w:rPr>
                <w:rFonts w:ascii="Arial" w:cs="Arial" w:eastAsia="Arial" w:hAnsi="Arial"/>
                <w:sz w:val="16"/>
                <w:szCs w:val="16"/>
                <w:color w:val="auto"/>
              </w:rPr>
              <w:t>733.3</w:t>
            </w:r>
          </w:p>
        </w:tc>
        <w:tc>
          <w:tcPr>
            <w:tcW w:w="200" w:type="dxa"/>
            <w:vAlign w:val="bottom"/>
          </w:tcPr>
          <w:p>
            <w:pPr>
              <w:spacing w:after="0"/>
              <w:rPr>
                <w:sz w:val="15"/>
                <w:szCs w:val="15"/>
                <w:color w:val="auto"/>
              </w:rPr>
            </w:pPr>
          </w:p>
        </w:tc>
        <w:tc>
          <w:tcPr>
            <w:tcW w:w="200" w:type="dxa"/>
            <w:vAlign w:val="bottom"/>
          </w:tcPr>
          <w:p>
            <w:pPr>
              <w:jc w:val="right"/>
              <w:ind w:right="19"/>
              <w:spacing w:after="0" w:line="183" w:lineRule="exact"/>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line="183" w:lineRule="exact"/>
              <w:rPr>
                <w:sz w:val="20"/>
                <w:szCs w:val="20"/>
                <w:color w:val="auto"/>
              </w:rPr>
            </w:pPr>
            <w:r>
              <w:rPr>
                <w:rFonts w:ascii="Arial" w:cs="Arial" w:eastAsia="Arial" w:hAnsi="Arial"/>
                <w:sz w:val="16"/>
                <w:szCs w:val="16"/>
                <w:color w:val="auto"/>
              </w:rPr>
              <w:t>672.8</w:t>
            </w:r>
          </w:p>
        </w:tc>
      </w:tr>
      <w:tr>
        <w:trPr>
          <w:trHeight w:val="27"/>
        </w:trPr>
        <w:tc>
          <w:tcPr>
            <w:tcW w:w="4140" w:type="dxa"/>
            <w:vAlign w:val="bottom"/>
          </w:tcPr>
          <w:p>
            <w:pPr>
              <w:spacing w:after="0"/>
              <w:rPr>
                <w:sz w:val="2"/>
                <w:szCs w:val="2"/>
                <w:color w:val="auto"/>
              </w:rPr>
            </w:pPr>
          </w:p>
        </w:tc>
        <w:tc>
          <w:tcPr>
            <w:tcW w:w="27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r>
    </w:tbl>
    <w:p>
      <w:pPr>
        <w:spacing w:after="0" w:line="202" w:lineRule="exact"/>
        <w:rPr>
          <w:sz w:val="20"/>
          <w:szCs w:val="20"/>
          <w:color w:val="auto"/>
        </w:rPr>
      </w:pPr>
    </w:p>
    <w:p>
      <w:pPr>
        <w:ind w:right="220" w:firstLine="648"/>
        <w:spacing w:after="0" w:line="246" w:lineRule="auto"/>
        <w:rPr>
          <w:sz w:val="20"/>
          <w:szCs w:val="20"/>
          <w:color w:val="auto"/>
        </w:rPr>
      </w:pPr>
      <w:r>
        <w:rPr>
          <w:rFonts w:ascii="Arial" w:cs="Arial" w:eastAsia="Arial" w:hAnsi="Arial"/>
          <w:sz w:val="18"/>
          <w:szCs w:val="18"/>
          <w:color w:val="auto"/>
        </w:rPr>
        <w:t>Assets for the administrative office and functions have been allocated to the above segments based on each segment’s percentage of total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40" w:right="1419" w:bottom="1440" w:gutter="0" w:footer="0" w:header="0"/>
        </w:sectPr>
      </w:pPr>
    </w:p>
    <w:bookmarkStart w:id="15" w:name="page16"/>
    <w:bookmarkEnd w:id="1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3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total goodwill by reportable segment:</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14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tcPr>
          <w:p>
            <w:pPr>
              <w:ind w:left="60"/>
              <w:spacing w:after="0"/>
              <w:rPr>
                <w:sz w:val="20"/>
                <w:szCs w:val="20"/>
                <w:color w:val="auto"/>
              </w:rPr>
            </w:pPr>
            <w:r>
              <w:rPr>
                <w:rFonts w:ascii="Arial" w:cs="Arial" w:eastAsia="Arial" w:hAnsi="Arial"/>
                <w:sz w:val="16"/>
                <w:szCs w:val="16"/>
                <w:b w:val="1"/>
                <w:bCs w:val="1"/>
                <w:color w:val="auto"/>
              </w:rPr>
              <w:t>July 31,</w:t>
            </w:r>
          </w:p>
        </w:tc>
        <w:tc>
          <w:tcPr>
            <w:tcW w:w="960" w:type="dxa"/>
            <w:vAlign w:val="bottom"/>
            <w:gridSpan w:val="2"/>
          </w:tcPr>
          <w:p>
            <w:pPr>
              <w:ind w:left="20"/>
              <w:spacing w:after="0"/>
              <w:rPr>
                <w:sz w:val="20"/>
                <w:szCs w:val="20"/>
                <w:color w:val="auto"/>
              </w:rPr>
            </w:pPr>
            <w:r>
              <w:rPr>
                <w:rFonts w:ascii="Arial" w:cs="Arial" w:eastAsia="Arial" w:hAnsi="Arial"/>
                <w:sz w:val="16"/>
                <w:szCs w:val="16"/>
                <w:b w:val="1"/>
                <w:bCs w:val="1"/>
                <w:color w:val="auto"/>
              </w:rPr>
              <w:t>January 31,</w:t>
            </w:r>
          </w:p>
        </w:tc>
      </w:tr>
      <w:tr>
        <w:trPr>
          <w:trHeight w:val="207"/>
        </w:trPr>
        <w:tc>
          <w:tcPr>
            <w:tcW w:w="4140" w:type="dxa"/>
            <w:vAlign w:val="bottom"/>
            <w:tcBorders>
              <w:bottom w:val="single" w:sz="8" w:color="CCEEFF"/>
            </w:tcBorders>
          </w:tcPr>
          <w:p>
            <w:pPr>
              <w:spacing w:after="0"/>
              <w:rPr>
                <w:sz w:val="18"/>
                <w:szCs w:val="18"/>
                <w:color w:val="auto"/>
              </w:rPr>
            </w:pPr>
          </w:p>
        </w:tc>
        <w:tc>
          <w:tcPr>
            <w:tcW w:w="27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2019</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2019</w:t>
            </w:r>
          </w:p>
        </w:tc>
      </w:tr>
      <w:tr>
        <w:trPr>
          <w:trHeight w:val="183"/>
        </w:trPr>
        <w:tc>
          <w:tcPr>
            <w:tcW w:w="414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Southwest</w:t>
            </w:r>
          </w:p>
        </w:tc>
        <w:tc>
          <w:tcPr>
            <w:tcW w:w="2900" w:type="dxa"/>
            <w:vAlign w:val="bottom"/>
            <w:gridSpan w:val="2"/>
            <w:shd w:val="clear" w:color="auto" w:fill="CCEEFF"/>
          </w:tcPr>
          <w:p>
            <w:pPr>
              <w:jc w:val="right"/>
              <w:ind w:right="40"/>
              <w:spacing w:after="0" w:line="183" w:lineRule="exact"/>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22.4</w:t>
            </w: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22.1</w:t>
            </w:r>
          </w:p>
        </w:tc>
      </w:tr>
      <w:tr>
        <w:trPr>
          <w:trHeight w:val="189"/>
        </w:trPr>
        <w:tc>
          <w:tcPr>
            <w:tcW w:w="4140" w:type="dxa"/>
            <w:vAlign w:val="bottom"/>
          </w:tcPr>
          <w:p>
            <w:pPr>
              <w:spacing w:after="0"/>
              <w:rPr>
                <w:sz w:val="20"/>
                <w:szCs w:val="20"/>
                <w:color w:val="auto"/>
              </w:rPr>
            </w:pPr>
            <w:r>
              <w:rPr>
                <w:rFonts w:ascii="Arial" w:cs="Arial" w:eastAsia="Arial" w:hAnsi="Arial"/>
                <w:sz w:val="16"/>
                <w:szCs w:val="16"/>
                <w:color w:val="auto"/>
              </w:rPr>
              <w:t>Rocky Mountains</w:t>
            </w:r>
          </w:p>
        </w:tc>
        <w:tc>
          <w:tcPr>
            <w:tcW w:w="2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24.0</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13.2</w:t>
            </w:r>
          </w:p>
        </w:tc>
      </w:tr>
      <w:tr>
        <w:trPr>
          <w:trHeight w:val="189"/>
        </w:trPr>
        <w:tc>
          <w:tcPr>
            <w:tcW w:w="4140" w:type="dxa"/>
            <w:vAlign w:val="bottom"/>
            <w:shd w:val="clear" w:color="auto" w:fill="CCEEFF"/>
          </w:tcPr>
          <w:p>
            <w:pPr>
              <w:spacing w:after="0"/>
              <w:rPr>
                <w:sz w:val="20"/>
                <w:szCs w:val="20"/>
                <w:color w:val="auto"/>
              </w:rPr>
            </w:pPr>
            <w:r>
              <w:rPr>
                <w:rFonts w:ascii="Arial" w:cs="Arial" w:eastAsia="Arial" w:hAnsi="Arial"/>
                <w:sz w:val="16"/>
                <w:szCs w:val="16"/>
                <w:color w:val="auto"/>
              </w:rPr>
              <w:t>Northeast/Mid-Con</w:t>
            </w:r>
          </w:p>
        </w:tc>
        <w:tc>
          <w:tcPr>
            <w:tcW w:w="278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23.8</w:t>
            </w:r>
          </w:p>
        </w:tc>
        <w:tc>
          <w:tcPr>
            <w:tcW w:w="2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w:t>
            </w:r>
          </w:p>
        </w:tc>
      </w:tr>
      <w:tr>
        <w:trPr>
          <w:trHeight w:val="183"/>
        </w:trPr>
        <w:tc>
          <w:tcPr>
            <w:tcW w:w="4140" w:type="dxa"/>
            <w:vAlign w:val="bottom"/>
          </w:tcPr>
          <w:p>
            <w:pPr>
              <w:spacing w:after="0"/>
              <w:rPr>
                <w:sz w:val="15"/>
                <w:szCs w:val="15"/>
                <w:color w:val="auto"/>
              </w:rPr>
            </w:pPr>
          </w:p>
        </w:tc>
        <w:tc>
          <w:tcPr>
            <w:tcW w:w="2900" w:type="dxa"/>
            <w:vAlign w:val="bottom"/>
            <w:gridSpan w:val="2"/>
          </w:tcPr>
          <w:p>
            <w:pPr>
              <w:jc w:val="right"/>
              <w:ind w:right="40"/>
              <w:spacing w:after="0" w:line="183" w:lineRule="exact"/>
              <w:rPr>
                <w:sz w:val="20"/>
                <w:szCs w:val="20"/>
                <w:color w:val="auto"/>
              </w:rPr>
            </w:pPr>
            <w:r>
              <w:rPr>
                <w:rFonts w:ascii="Arial" w:cs="Arial" w:eastAsia="Arial" w:hAnsi="Arial"/>
                <w:sz w:val="16"/>
                <w:szCs w:val="16"/>
                <w:color w:val="auto"/>
              </w:rPr>
              <w:t>$</w:t>
            </w:r>
          </w:p>
        </w:tc>
        <w:tc>
          <w:tcPr>
            <w:tcW w:w="860" w:type="dxa"/>
            <w:vAlign w:val="bottom"/>
          </w:tcPr>
          <w:p>
            <w:pPr>
              <w:jc w:val="right"/>
              <w:spacing w:after="0" w:line="183" w:lineRule="exact"/>
              <w:rPr>
                <w:sz w:val="20"/>
                <w:szCs w:val="20"/>
                <w:color w:val="auto"/>
              </w:rPr>
            </w:pPr>
            <w:r>
              <w:rPr>
                <w:rFonts w:ascii="Arial" w:cs="Arial" w:eastAsia="Arial" w:hAnsi="Arial"/>
                <w:sz w:val="16"/>
                <w:szCs w:val="16"/>
                <w:color w:val="auto"/>
              </w:rPr>
              <w:t>70.2</w:t>
            </w:r>
          </w:p>
        </w:tc>
        <w:tc>
          <w:tcPr>
            <w:tcW w:w="200" w:type="dxa"/>
            <w:vAlign w:val="bottom"/>
          </w:tcPr>
          <w:p>
            <w:pPr>
              <w:spacing w:after="0"/>
              <w:rPr>
                <w:sz w:val="15"/>
                <w:szCs w:val="15"/>
                <w:color w:val="auto"/>
              </w:rPr>
            </w:pPr>
          </w:p>
        </w:tc>
        <w:tc>
          <w:tcPr>
            <w:tcW w:w="200" w:type="dxa"/>
            <w:vAlign w:val="bottom"/>
          </w:tcPr>
          <w:p>
            <w:pPr>
              <w:spacing w:after="0" w:line="183" w:lineRule="exact"/>
              <w:rPr>
                <w:sz w:val="20"/>
                <w:szCs w:val="20"/>
                <w:color w:val="auto"/>
              </w:rPr>
            </w:pPr>
            <w:r>
              <w:rPr>
                <w:rFonts w:ascii="Arial" w:cs="Arial" w:eastAsia="Arial" w:hAnsi="Arial"/>
                <w:sz w:val="16"/>
                <w:szCs w:val="16"/>
                <w:color w:val="auto"/>
              </w:rPr>
              <w:t>$</w:t>
            </w:r>
          </w:p>
        </w:tc>
        <w:tc>
          <w:tcPr>
            <w:tcW w:w="760" w:type="dxa"/>
            <w:vAlign w:val="bottom"/>
          </w:tcPr>
          <w:p>
            <w:pPr>
              <w:jc w:val="right"/>
              <w:spacing w:after="0" w:line="183" w:lineRule="exact"/>
              <w:rPr>
                <w:sz w:val="20"/>
                <w:szCs w:val="20"/>
                <w:color w:val="auto"/>
              </w:rPr>
            </w:pPr>
            <w:r>
              <w:rPr>
                <w:rFonts w:ascii="Arial" w:cs="Arial" w:eastAsia="Arial" w:hAnsi="Arial"/>
                <w:sz w:val="16"/>
                <w:szCs w:val="16"/>
                <w:color w:val="auto"/>
              </w:rPr>
              <w:t>43.2</w:t>
            </w:r>
          </w:p>
        </w:tc>
      </w:tr>
      <w:tr>
        <w:trPr>
          <w:trHeight w:val="27"/>
        </w:trPr>
        <w:tc>
          <w:tcPr>
            <w:tcW w:w="4140" w:type="dxa"/>
            <w:vAlign w:val="bottom"/>
          </w:tcPr>
          <w:p>
            <w:pPr>
              <w:spacing w:after="0"/>
              <w:rPr>
                <w:sz w:val="2"/>
                <w:szCs w:val="2"/>
                <w:color w:val="auto"/>
              </w:rPr>
            </w:pPr>
          </w:p>
        </w:tc>
        <w:tc>
          <w:tcPr>
            <w:tcW w:w="27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Note 14. </w:t>
      </w:r>
      <w:r>
        <w:rPr>
          <w:rFonts w:ascii="Arial" w:cs="Arial" w:eastAsia="Arial" w:hAnsi="Arial"/>
          <w:sz w:val="18"/>
          <w:szCs w:val="18"/>
          <w:u w:val="single" w:color="auto"/>
          <w:color w:val="auto"/>
        </w:rPr>
        <w:t>Net Earnings Per Common Share</w:t>
      </w:r>
    </w:p>
    <w:p>
      <w:pPr>
        <w:spacing w:after="0" w:line="212" w:lineRule="exact"/>
        <w:rPr>
          <w:sz w:val="20"/>
          <w:szCs w:val="20"/>
          <w:color w:val="auto"/>
        </w:rPr>
      </w:pPr>
    </w:p>
    <w:p>
      <w:pPr>
        <w:ind w:right="80" w:firstLine="648"/>
        <w:spacing w:after="0" w:line="236" w:lineRule="auto"/>
        <w:rPr>
          <w:sz w:val="20"/>
          <w:szCs w:val="20"/>
          <w:color w:val="auto"/>
        </w:rPr>
      </w:pPr>
      <w:r>
        <w:rPr>
          <w:rFonts w:ascii="Arial" w:cs="Arial" w:eastAsia="Arial" w:hAnsi="Arial"/>
          <w:sz w:val="18"/>
          <w:szCs w:val="18"/>
          <w:color w:val="auto"/>
        </w:rPr>
        <w:t>Basic net earnings (loss) per common share is computed using the weighted average common shares outstanding during the period, and includes 1.7 shares issued in a subsidiary company to effect the Red Bone acquisition, which become exchangeable for KLXE common stock over specified dates between the acquisition date and September 19, 2021. Such shares are included in the computation of basic weighted average common shares from the date of the acquisition. Diluted net earnings (loss) per common share is computed by using the weighted average common shares outstanding including the dilutive effect of restricted shares based on an average share price during the period. For the three months ended July 31, 2019 and 2018, 2.2 and no shares of the Company’s common stock, respectively, and for the six months ended July 31, 2019 and 2018, 2.4 and no shares, respectively, were excluded from the determination of diluted net earnings (loss) per common share because their effect would have been anti-dilutive. An additional 0.1 shares of the Company’s common stock were excluded from the determination of diluted net earnings (loss) per common share for the six months ended July 31, 2019 as their effect would have been anti-dilutive in a net loss position. The computations of basic and diluted net earnings (loss) per share for the three and six months ended July 31, 2019 and 2018 are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2880" w:type="dxa"/>
            <w:vAlign w:val="bottom"/>
            <w:gridSpan w:val="7"/>
          </w:tcPr>
          <w:p>
            <w:pPr>
              <w:ind w:left="1180"/>
              <w:spacing w:after="0"/>
              <w:rPr>
                <w:sz w:val="20"/>
                <w:szCs w:val="20"/>
                <w:color w:val="auto"/>
              </w:rPr>
            </w:pPr>
            <w:r>
              <w:rPr>
                <w:rFonts w:ascii="Arial" w:cs="Arial" w:eastAsia="Arial" w:hAnsi="Arial"/>
                <w:sz w:val="16"/>
                <w:szCs w:val="16"/>
                <w:b w:val="1"/>
                <w:bCs w:val="1"/>
                <w:color w:val="auto"/>
              </w:rPr>
              <w:t>Three Months Ended</w:t>
            </w:r>
          </w:p>
        </w:tc>
        <w:tc>
          <w:tcPr>
            <w:tcW w:w="80" w:type="dxa"/>
            <w:vAlign w:val="bottom"/>
          </w:tcPr>
          <w:p>
            <w:pPr>
              <w:spacing w:after="0"/>
              <w:rPr>
                <w:sz w:val="18"/>
                <w:szCs w:val="18"/>
                <w:color w:val="auto"/>
              </w:rPr>
            </w:pPr>
          </w:p>
        </w:tc>
        <w:tc>
          <w:tcPr>
            <w:tcW w:w="1540" w:type="dxa"/>
            <w:vAlign w:val="bottom"/>
            <w:gridSpan w:val="5"/>
          </w:tcPr>
          <w:p>
            <w:pPr>
              <w:jc w:val="right"/>
              <w:spacing w:after="0"/>
              <w:rPr>
                <w:sz w:val="20"/>
                <w:szCs w:val="20"/>
                <w:color w:val="auto"/>
              </w:rPr>
            </w:pPr>
            <w:r>
              <w:rPr>
                <w:rFonts w:ascii="Arial" w:cs="Arial" w:eastAsia="Arial" w:hAnsi="Arial"/>
                <w:sz w:val="16"/>
                <w:szCs w:val="16"/>
                <w:b w:val="1"/>
                <w:bCs w:val="1"/>
                <w:color w:val="auto"/>
              </w:rPr>
              <w:t>Six Months Ended</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00" w:type="dxa"/>
            <w:vAlign w:val="bottom"/>
            <w:tcBorders>
              <w:top w:val="single" w:sz="8" w:color="auto"/>
            </w:tcBorders>
            <w:gridSpan w:val="2"/>
          </w:tcPr>
          <w:p>
            <w:pPr>
              <w:jc w:val="right"/>
              <w:spacing w:after="0" w:line="165" w:lineRule="exact"/>
              <w:rPr>
                <w:sz w:val="20"/>
                <w:szCs w:val="20"/>
                <w:color w:val="auto"/>
              </w:rPr>
            </w:pPr>
            <w:r>
              <w:rPr>
                <w:rFonts w:ascii="Arial" w:cs="Arial" w:eastAsia="Arial" w:hAnsi="Arial"/>
                <w:sz w:val="16"/>
                <w:szCs w:val="16"/>
                <w:b w:val="1"/>
                <w:bCs w:val="1"/>
                <w:color w:val="auto"/>
              </w:rPr>
              <w:t>July 31,</w:t>
            </w:r>
          </w:p>
        </w:tc>
        <w:tc>
          <w:tcPr>
            <w:tcW w:w="20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gridSpan w:val="2"/>
          </w:tcPr>
          <w:p>
            <w:pPr>
              <w:jc w:val="right"/>
              <w:spacing w:after="0" w:line="165" w:lineRule="exact"/>
              <w:rPr>
                <w:sz w:val="20"/>
                <w:szCs w:val="20"/>
                <w:color w:val="auto"/>
              </w:rPr>
            </w:pPr>
            <w:r>
              <w:rPr>
                <w:rFonts w:ascii="Arial" w:cs="Arial" w:eastAsia="Arial" w:hAnsi="Arial"/>
                <w:sz w:val="16"/>
                <w:szCs w:val="16"/>
                <w:b w:val="1"/>
                <w:bCs w:val="1"/>
                <w:color w:val="auto"/>
              </w:rPr>
              <w:t>July 31,</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Borders>
              <w:top w:val="single" w:sz="8" w:color="auto"/>
            </w:tcBorders>
            <w:gridSpan w:val="2"/>
          </w:tcPr>
          <w:p>
            <w:pPr>
              <w:ind w:left="20"/>
              <w:spacing w:after="0" w:line="165" w:lineRule="exact"/>
              <w:rPr>
                <w:sz w:val="20"/>
                <w:szCs w:val="20"/>
                <w:color w:val="auto"/>
              </w:rPr>
            </w:pPr>
            <w:r>
              <w:rPr>
                <w:rFonts w:ascii="Arial" w:cs="Arial" w:eastAsia="Arial" w:hAnsi="Arial"/>
                <w:sz w:val="16"/>
                <w:szCs w:val="16"/>
                <w:b w:val="1"/>
                <w:bCs w:val="1"/>
                <w:color w:val="auto"/>
              </w:rPr>
              <w:t>July 31,</w:t>
            </w:r>
          </w:p>
        </w:tc>
        <w:tc>
          <w:tcPr>
            <w:tcW w:w="18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gridSpan w:val="2"/>
          </w:tcPr>
          <w:p>
            <w:pPr>
              <w:ind w:left="20"/>
              <w:spacing w:after="0" w:line="165" w:lineRule="exact"/>
              <w:rPr>
                <w:sz w:val="20"/>
                <w:szCs w:val="20"/>
                <w:color w:val="auto"/>
              </w:rPr>
            </w:pPr>
            <w:r>
              <w:rPr>
                <w:rFonts w:ascii="Arial" w:cs="Arial" w:eastAsia="Arial" w:hAnsi="Arial"/>
                <w:sz w:val="16"/>
                <w:szCs w:val="16"/>
                <w:b w:val="1"/>
                <w:bCs w:val="1"/>
                <w:color w:val="auto"/>
              </w:rPr>
              <w:t>July 31,</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4540" w:type="dxa"/>
            <w:vAlign w:val="bottom"/>
            <w:tcBorders>
              <w:bottom w:val="single" w:sz="8" w:color="CCEEFF"/>
            </w:tcBorders>
          </w:tcPr>
          <w:p>
            <w:pPr>
              <w:spacing w:after="0"/>
              <w:rPr>
                <w:sz w:val="18"/>
                <w:szCs w:val="18"/>
                <w:color w:val="auto"/>
              </w:rPr>
            </w:pPr>
          </w:p>
        </w:tc>
        <w:tc>
          <w:tcPr>
            <w:tcW w:w="1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2019</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2019</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540" w:type="dxa"/>
            <w:vAlign w:val="bottom"/>
            <w:shd w:val="clear" w:color="auto" w:fill="CCEEFF"/>
          </w:tcPr>
          <w:p>
            <w:pPr>
              <w:spacing w:after="0" w:line="177" w:lineRule="exact"/>
              <w:rPr>
                <w:sz w:val="20"/>
                <w:szCs w:val="20"/>
                <w:color w:val="auto"/>
              </w:rPr>
            </w:pPr>
            <w:r>
              <w:rPr>
                <w:rFonts w:ascii="Arial" w:cs="Arial" w:eastAsia="Arial" w:hAnsi="Arial"/>
                <w:sz w:val="16"/>
                <w:szCs w:val="16"/>
                <w:color w:val="auto"/>
              </w:rPr>
              <w:t>Net earnings (loss)</w:t>
            </w:r>
          </w:p>
        </w:tc>
        <w:tc>
          <w:tcPr>
            <w:tcW w:w="1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3.5</w:t>
            </w:r>
          </w:p>
        </w:tc>
        <w:tc>
          <w:tcPr>
            <w:tcW w:w="320" w:type="dxa"/>
            <w:vAlign w:val="bottom"/>
            <w:gridSpan w:val="2"/>
            <w:shd w:val="clear" w:color="auto" w:fill="CCEEFF"/>
          </w:tcPr>
          <w:p>
            <w:pPr>
              <w:jc w:val="right"/>
              <w:spacing w:after="0" w:line="183" w:lineRule="exact"/>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13.6</w:t>
            </w:r>
          </w:p>
        </w:tc>
        <w:tc>
          <w:tcPr>
            <w:tcW w:w="100" w:type="dxa"/>
            <w:vAlign w:val="bottom"/>
            <w:shd w:val="clear" w:color="auto" w:fill="CCEEFF"/>
          </w:tcPr>
          <w:p>
            <w:pPr>
              <w:spacing w:after="0"/>
              <w:rPr>
                <w:sz w:val="15"/>
                <w:szCs w:val="15"/>
                <w:color w:val="auto"/>
              </w:rPr>
            </w:pPr>
          </w:p>
        </w:tc>
        <w:tc>
          <w:tcPr>
            <w:tcW w:w="200" w:type="dxa"/>
            <w:vAlign w:val="bottom"/>
            <w:gridSpan w:val="2"/>
            <w:shd w:val="clear" w:color="auto" w:fill="CCEEFF"/>
          </w:tcPr>
          <w:p>
            <w:pPr>
              <w:ind w:left="80"/>
              <w:spacing w:after="0" w:line="183" w:lineRule="exact"/>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(1.5)</w:t>
            </w:r>
          </w:p>
        </w:tc>
        <w:tc>
          <w:tcPr>
            <w:tcW w:w="320" w:type="dxa"/>
            <w:vAlign w:val="bottom"/>
            <w:gridSpan w:val="2"/>
            <w:shd w:val="clear" w:color="auto" w:fill="CCEEFF"/>
          </w:tcPr>
          <w:p>
            <w:pPr>
              <w:ind w:left="180"/>
              <w:spacing w:after="0" w:line="183" w:lineRule="exact"/>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19.4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40" w:type="dxa"/>
            <w:vAlign w:val="bottom"/>
            <w:shd w:val="clear" w:color="auto" w:fill="CCEEFF"/>
          </w:tcPr>
          <w:p>
            <w:pPr>
              <w:spacing w:after="0" w:line="20" w:lineRule="exact"/>
              <w:rPr>
                <w:sz w:val="1"/>
                <w:szCs w:val="1"/>
                <w:color w:val="auto"/>
              </w:rPr>
            </w:pPr>
          </w:p>
        </w:tc>
        <w:tc>
          <w:tcPr>
            <w:tcW w:w="1180" w:type="dxa"/>
            <w:vAlign w:val="bottom"/>
            <w:shd w:val="clear" w:color="auto" w:fill="CCEEFF"/>
          </w:tcPr>
          <w:p>
            <w:pPr>
              <w:spacing w:after="0" w:line="20" w:lineRule="exact"/>
              <w:rPr>
                <w:sz w:val="1"/>
                <w:szCs w:val="1"/>
                <w:color w:val="auto"/>
              </w:rPr>
            </w:pPr>
          </w:p>
        </w:tc>
        <w:tc>
          <w:tcPr>
            <w:tcW w:w="140" w:type="dxa"/>
            <w:vAlign w:val="bottom"/>
            <w:tcBorders>
              <w:bottom w:val="single" w:sz="8" w:color="auto"/>
            </w:tcBorders>
            <w:shd w:val="clear" w:color="auto" w:fill="000000"/>
          </w:tcPr>
          <w:p>
            <w:pPr>
              <w:spacing w:after="0" w:line="20" w:lineRule="exact"/>
              <w:rPr>
                <w:sz w:val="1"/>
                <w:szCs w:val="1"/>
                <w:color w:val="auto"/>
              </w:rPr>
            </w:pPr>
          </w:p>
        </w:tc>
        <w:tc>
          <w:tcPr>
            <w:tcW w:w="560" w:type="dxa"/>
            <w:vAlign w:val="bottom"/>
            <w:tcBorders>
              <w:bottom w:val="single" w:sz="8" w:color="auto"/>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tcBorders>
              <w:bottom w:val="single" w:sz="8" w:color="auto"/>
            </w:tcBorders>
            <w:shd w:val="clear" w:color="auto" w:fill="000000"/>
          </w:tcPr>
          <w:p>
            <w:pPr>
              <w:spacing w:after="0" w:line="20" w:lineRule="exact"/>
              <w:rPr>
                <w:sz w:val="1"/>
                <w:szCs w:val="1"/>
                <w:color w:val="auto"/>
              </w:rPr>
            </w:pPr>
          </w:p>
        </w:tc>
        <w:tc>
          <w:tcPr>
            <w:tcW w:w="580" w:type="dxa"/>
            <w:vAlign w:val="bottom"/>
            <w:tcBorders>
              <w:bottom w:val="single" w:sz="8" w:color="auto"/>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tcBorders>
              <w:bottom w:val="single" w:sz="8" w:color="auto"/>
            </w:tcBorders>
            <w:shd w:val="clear" w:color="auto" w:fill="000000"/>
          </w:tcPr>
          <w:p>
            <w:pPr>
              <w:spacing w:after="0" w:line="20" w:lineRule="exact"/>
              <w:rPr>
                <w:sz w:val="1"/>
                <w:szCs w:val="1"/>
                <w:color w:val="auto"/>
              </w:rPr>
            </w:pPr>
          </w:p>
        </w:tc>
        <w:tc>
          <w:tcPr>
            <w:tcW w:w="560" w:type="dxa"/>
            <w:vAlign w:val="bottom"/>
            <w:tcBorders>
              <w:bottom w:val="single" w:sz="8" w:color="auto"/>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40" w:type="dxa"/>
            <w:vAlign w:val="bottom"/>
            <w:tcBorders>
              <w:bottom w:val="single" w:sz="8" w:color="auto"/>
            </w:tcBorders>
            <w:shd w:val="clear" w:color="auto" w:fill="000000"/>
          </w:tcPr>
          <w:p>
            <w:pPr>
              <w:spacing w:after="0" w:line="20" w:lineRule="exact"/>
              <w:rPr>
                <w:sz w:val="1"/>
                <w:szCs w:val="1"/>
                <w:color w:val="auto"/>
              </w:rPr>
            </w:pPr>
          </w:p>
        </w:tc>
        <w:tc>
          <w:tcPr>
            <w:tcW w:w="540" w:type="dxa"/>
            <w:vAlign w:val="bottom"/>
            <w:tcBorders>
              <w:bottom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4560" w:type="dxa"/>
            <w:vAlign w:val="bottom"/>
            <w:gridSpan w:val="2"/>
          </w:tcPr>
          <w:p>
            <w:pPr>
              <w:spacing w:after="0" w:line="173" w:lineRule="exact"/>
              <w:rPr>
                <w:sz w:val="20"/>
                <w:szCs w:val="20"/>
                <w:color w:val="auto"/>
              </w:rPr>
            </w:pPr>
            <w:r>
              <w:rPr>
                <w:rFonts w:ascii="Arial" w:cs="Arial" w:eastAsia="Arial" w:hAnsi="Arial"/>
                <w:sz w:val="16"/>
                <w:szCs w:val="16"/>
                <w:color w:val="auto"/>
              </w:rPr>
              <w:t>(Shares in millions)</w:t>
            </w:r>
          </w:p>
        </w:tc>
        <w:tc>
          <w:tcPr>
            <w:tcW w:w="1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6"/>
                <w:szCs w:val="16"/>
                <w:color w:val="auto"/>
              </w:rPr>
              <w:t>Basic weighted average common shares</w:t>
            </w:r>
          </w:p>
        </w:tc>
        <w:tc>
          <w:tcPr>
            <w:tcW w:w="1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w:t>
            </w: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w:t>
            </w:r>
          </w:p>
        </w:tc>
        <w:tc>
          <w:tcPr>
            <w:tcW w:w="0" w:type="dxa"/>
            <w:vAlign w:val="bottom"/>
          </w:tcPr>
          <w:p>
            <w:pPr>
              <w:spacing w:after="0"/>
              <w:rPr>
                <w:sz w:val="1"/>
                <w:szCs w:val="1"/>
                <w:color w:val="auto"/>
              </w:rPr>
            </w:pPr>
          </w:p>
        </w:tc>
      </w:tr>
      <w:tr>
        <w:trPr>
          <w:trHeight w:val="189"/>
        </w:trPr>
        <w:tc>
          <w:tcPr>
            <w:tcW w:w="4560" w:type="dxa"/>
            <w:vAlign w:val="bottom"/>
            <w:gridSpan w:val="2"/>
          </w:tcPr>
          <w:p>
            <w:pPr>
              <w:spacing w:after="0"/>
              <w:rPr>
                <w:sz w:val="20"/>
                <w:szCs w:val="20"/>
                <w:color w:val="auto"/>
              </w:rPr>
            </w:pPr>
            <w:r>
              <w:rPr>
                <w:rFonts w:ascii="Arial" w:cs="Arial" w:eastAsia="Arial" w:hAnsi="Arial"/>
                <w:sz w:val="16"/>
                <w:szCs w:val="16"/>
                <w:color w:val="auto"/>
              </w:rPr>
              <w:t>Effect of dilutive securities - dilutive securities</w:t>
            </w:r>
          </w:p>
        </w:tc>
        <w:tc>
          <w:tcPr>
            <w:tcW w:w="1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540" w:type="dxa"/>
            <w:vAlign w:val="bottom"/>
            <w:tcBorders>
              <w:top w:val="single" w:sz="8" w:color="CCEEFF"/>
              <w:bottom w:val="single" w:sz="8" w:color="CCEEFF"/>
            </w:tcBorders>
            <w:shd w:val="clear" w:color="auto" w:fill="CCEEFF"/>
          </w:tcPr>
          <w:p>
            <w:pPr>
              <w:spacing w:after="0" w:line="177" w:lineRule="exact"/>
              <w:rPr>
                <w:sz w:val="20"/>
                <w:szCs w:val="20"/>
                <w:color w:val="auto"/>
              </w:rPr>
            </w:pPr>
            <w:r>
              <w:rPr>
                <w:rFonts w:ascii="Arial" w:cs="Arial" w:eastAsia="Arial" w:hAnsi="Arial"/>
                <w:sz w:val="16"/>
                <w:szCs w:val="16"/>
                <w:color w:val="auto"/>
              </w:rPr>
              <w:t>Diluted weighted average common shares</w:t>
            </w:r>
          </w:p>
        </w:tc>
        <w:tc>
          <w:tcPr>
            <w:tcW w:w="118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spacing w:after="0"/>
              <w:rPr>
                <w:sz w:val="16"/>
                <w:szCs w:val="16"/>
                <w:color w:val="auto"/>
              </w:rPr>
            </w:pPr>
          </w:p>
        </w:tc>
        <w:tc>
          <w:tcPr>
            <w:tcW w:w="56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22.3</w:t>
            </w:r>
          </w:p>
        </w:tc>
        <w:tc>
          <w:tcPr>
            <w:tcW w:w="2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spacing w:after="0"/>
              <w:rPr>
                <w:sz w:val="16"/>
                <w:szCs w:val="16"/>
                <w:color w:val="auto"/>
              </w:rPr>
            </w:pPr>
          </w:p>
        </w:tc>
        <w:tc>
          <w:tcPr>
            <w:tcW w:w="58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20.1</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spacing w:after="0"/>
              <w:rPr>
                <w:sz w:val="16"/>
                <w:szCs w:val="16"/>
                <w:color w:val="auto"/>
              </w:rPr>
            </w:pPr>
          </w:p>
        </w:tc>
        <w:tc>
          <w:tcPr>
            <w:tcW w:w="56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21.8</w:t>
            </w:r>
          </w:p>
        </w:tc>
        <w:tc>
          <w:tcPr>
            <w:tcW w:w="18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spacing w:after="0"/>
              <w:rPr>
                <w:sz w:val="16"/>
                <w:szCs w:val="16"/>
                <w:color w:val="auto"/>
              </w:rPr>
            </w:pPr>
          </w:p>
        </w:tc>
        <w:tc>
          <w:tcPr>
            <w:tcW w:w="54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20.1</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45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4540" w:type="dxa"/>
            <w:vAlign w:val="bottom"/>
            <w:shd w:val="clear" w:color="auto" w:fill="CCEEFF"/>
          </w:tcPr>
          <w:p>
            <w:pPr>
              <w:spacing w:after="0" w:line="189" w:lineRule="exact"/>
              <w:rPr>
                <w:sz w:val="20"/>
                <w:szCs w:val="20"/>
                <w:color w:val="auto"/>
              </w:rPr>
            </w:pPr>
            <w:r>
              <w:rPr>
                <w:rFonts w:ascii="Arial" w:cs="Arial" w:eastAsia="Arial" w:hAnsi="Arial"/>
                <w:sz w:val="16"/>
                <w:szCs w:val="16"/>
                <w:color w:val="auto"/>
              </w:rPr>
              <w:t>Basic net earnings (loss) per common share</w:t>
            </w:r>
            <w:r>
              <w:rPr>
                <w:rFonts w:ascii="Arial" w:cs="Arial" w:eastAsia="Arial" w:hAnsi="Arial"/>
                <w:sz w:val="17"/>
                <w:szCs w:val="17"/>
                <w:color w:val="auto"/>
                <w:vertAlign w:val="superscript"/>
              </w:rPr>
              <w:t>(1)</w:t>
            </w:r>
          </w:p>
        </w:tc>
        <w:tc>
          <w:tcPr>
            <w:tcW w:w="1320" w:type="dxa"/>
            <w:vAlign w:val="bottom"/>
            <w:gridSpan w:val="2"/>
            <w:shd w:val="clear" w:color="auto" w:fill="CCEEFF"/>
          </w:tcPr>
          <w:p>
            <w:pPr>
              <w:ind w:left="1180"/>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0.16</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0.68</w:t>
            </w:r>
          </w:p>
        </w:tc>
        <w:tc>
          <w:tcPr>
            <w:tcW w:w="100" w:type="dxa"/>
            <w:vAlign w:val="bottom"/>
            <w:shd w:val="clear" w:color="auto" w:fill="CCEEFF"/>
          </w:tcPr>
          <w:p>
            <w:pPr>
              <w:spacing w:after="0"/>
              <w:rPr>
                <w:sz w:val="16"/>
                <w:szCs w:val="16"/>
                <w:color w:val="auto"/>
              </w:rPr>
            </w:pP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(0.07)</w:t>
            </w: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0.97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40" w:type="dxa"/>
            <w:vAlign w:val="bottom"/>
          </w:tcPr>
          <w:p>
            <w:pPr>
              <w:spacing w:after="0"/>
              <w:rPr>
                <w:sz w:val="20"/>
                <w:szCs w:val="20"/>
                <w:color w:val="auto"/>
              </w:rPr>
            </w:pPr>
            <w:r>
              <w:rPr>
                <w:rFonts w:ascii="Arial" w:cs="Arial" w:eastAsia="Arial" w:hAnsi="Arial"/>
                <w:sz w:val="16"/>
                <w:szCs w:val="16"/>
                <w:color w:val="auto"/>
              </w:rPr>
              <w:t>Diluted net earnings (loss) per common share</w:t>
            </w:r>
            <w:r>
              <w:rPr>
                <w:rFonts w:ascii="Arial" w:cs="Arial" w:eastAsia="Arial" w:hAnsi="Arial"/>
                <w:sz w:val="17"/>
                <w:szCs w:val="17"/>
                <w:color w:val="auto"/>
                <w:vertAlign w:val="superscript"/>
              </w:rPr>
              <w:t>(1)</w:t>
            </w:r>
          </w:p>
        </w:tc>
        <w:tc>
          <w:tcPr>
            <w:tcW w:w="1320" w:type="dxa"/>
            <w:vAlign w:val="bottom"/>
            <w:gridSpan w:val="2"/>
          </w:tcPr>
          <w:p>
            <w:pPr>
              <w:ind w:left="1180"/>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0.16</w:t>
            </w:r>
          </w:p>
        </w:tc>
        <w:tc>
          <w:tcPr>
            <w:tcW w:w="3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0.68</w:t>
            </w:r>
          </w:p>
        </w:tc>
        <w:tc>
          <w:tcPr>
            <w:tcW w:w="100" w:type="dxa"/>
            <w:vAlign w:val="bottom"/>
          </w:tcPr>
          <w:p>
            <w:pPr>
              <w:spacing w:after="0"/>
              <w:rPr>
                <w:sz w:val="19"/>
                <w:szCs w:val="19"/>
                <w:color w:val="auto"/>
              </w:rPr>
            </w:pPr>
          </w:p>
        </w:tc>
        <w:tc>
          <w:tcPr>
            <w:tcW w:w="20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(0.07)</w:t>
            </w:r>
          </w:p>
        </w:tc>
        <w:tc>
          <w:tcPr>
            <w:tcW w:w="320" w:type="dxa"/>
            <w:vAlign w:val="bottom"/>
            <w:gridSpan w:val="2"/>
          </w:tcPr>
          <w:p>
            <w:pPr>
              <w:ind w:left="180"/>
              <w:spacing w:after="0"/>
              <w:rPr>
                <w:sz w:val="20"/>
                <w:szCs w:val="20"/>
                <w:color w:val="auto"/>
              </w:rPr>
            </w:pPr>
            <w:r>
              <w:rPr>
                <w:rFonts w:ascii="Arial" w:cs="Arial" w:eastAsia="Arial" w:hAnsi="Arial"/>
                <w:sz w:val="16"/>
                <w:szCs w:val="16"/>
                <w:color w:val="auto"/>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0.97</w:t>
            </w:r>
          </w:p>
        </w:tc>
        <w:tc>
          <w:tcPr>
            <w:tcW w:w="0" w:type="dxa"/>
            <w:vAlign w:val="bottom"/>
          </w:tcPr>
          <w:p>
            <w:pPr>
              <w:spacing w:after="0"/>
              <w:rPr>
                <w:sz w:val="1"/>
                <w:szCs w:val="1"/>
                <w:color w:val="auto"/>
              </w:rPr>
            </w:pPr>
          </w:p>
        </w:tc>
      </w:tr>
    </w:tbl>
    <w:p>
      <w:pPr>
        <w:spacing w:after="0" w:line="218" w:lineRule="exact"/>
        <w:rPr>
          <w:sz w:val="20"/>
          <w:szCs w:val="20"/>
          <w:color w:val="auto"/>
        </w:rPr>
      </w:pPr>
    </w:p>
    <w:p>
      <w:pPr>
        <w:ind w:left="660" w:right="60" w:hanging="333"/>
        <w:spacing w:after="0" w:line="250" w:lineRule="auto"/>
        <w:tabs>
          <w:tab w:leader="none" w:pos="660" w:val="left"/>
        </w:tabs>
        <w:numPr>
          <w:ilvl w:val="0"/>
          <w:numId w:val="2"/>
        </w:numPr>
        <w:rPr>
          <w:rFonts w:ascii="Arial" w:cs="Arial" w:eastAsia="Arial" w:hAnsi="Arial"/>
          <w:sz w:val="16"/>
          <w:szCs w:val="16"/>
          <w:color w:val="auto"/>
        </w:rPr>
      </w:pPr>
      <w:r>
        <w:rPr>
          <w:rFonts w:ascii="Arial" w:cs="Arial" w:eastAsia="Arial" w:hAnsi="Arial"/>
          <w:sz w:val="16"/>
          <w:szCs w:val="16"/>
          <w:color w:val="auto"/>
        </w:rPr>
        <w:t>On September 14, 2018, the distribution date, KLX stockholders of record as of the close of business on September 3, 2018 received 0.4 shares of KLX Energy Services common stock for every 1.0 share of KLX common stock held as of the record date. July 31, 2018 basic and diluted earnings per common share and the average number of common shares outstanding were calculated using the number of KLX Energy Services common shares outstanding immediately following the distribution.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40" w:right="1419" w:bottom="1440" w:gutter="0" w:footer="0" w:header="0"/>
        </w:sectPr>
      </w:pPr>
    </w:p>
    <w:bookmarkStart w:id="16" w:name="page17"/>
    <w:bookmarkEnd w:id="1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13" w:lineRule="exact"/>
        <w:rPr>
          <w:sz w:val="20"/>
          <w:szCs w:val="20"/>
          <w:color w:val="auto"/>
        </w:rPr>
      </w:pPr>
    </w:p>
    <w:p>
      <w:pPr>
        <w:ind w:left="780" w:right="340" w:hanging="777"/>
        <w:spacing w:after="0" w:line="247"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 w:lineRule="exact"/>
        <w:rPr>
          <w:sz w:val="20"/>
          <w:szCs w:val="20"/>
          <w:color w:val="auto"/>
        </w:rPr>
      </w:pPr>
    </w:p>
    <w:p>
      <w:pPr>
        <w:ind w:left="780"/>
        <w:spacing w:after="0"/>
        <w:rPr>
          <w:sz w:val="20"/>
          <w:szCs w:val="20"/>
          <w:color w:val="auto"/>
        </w:rPr>
      </w:pPr>
      <w:r>
        <w:rPr>
          <w:rFonts w:ascii="Arial" w:cs="Arial" w:eastAsia="Arial" w:hAnsi="Arial"/>
          <w:sz w:val="18"/>
          <w:szCs w:val="18"/>
          <w:b w:val="1"/>
          <w:bCs w:val="1"/>
          <w:color w:val="auto"/>
        </w:rPr>
        <w:t>($ In millions)</w:t>
      </w:r>
    </w:p>
    <w:p>
      <w:pPr>
        <w:spacing w:after="0" w:line="198" w:lineRule="exact"/>
        <w:rPr>
          <w:sz w:val="20"/>
          <w:szCs w:val="20"/>
          <w:color w:val="auto"/>
        </w:rPr>
      </w:pPr>
    </w:p>
    <w:p>
      <w:pPr>
        <w:ind w:right="20" w:firstLine="648"/>
        <w:spacing w:after="0" w:line="239" w:lineRule="auto"/>
        <w:rPr>
          <w:sz w:val="20"/>
          <w:szCs w:val="20"/>
          <w:color w:val="auto"/>
        </w:rPr>
      </w:pPr>
      <w:r>
        <w:rPr>
          <w:rFonts w:ascii="Arial" w:cs="Arial" w:eastAsia="Arial" w:hAnsi="Arial"/>
          <w:sz w:val="18"/>
          <w:szCs w:val="18"/>
          <w:color w:val="auto"/>
        </w:rPr>
        <w:t>The following discussion and analysis addresses the results of our operations for the three and six months ended July 31, 2019 as compared to our results of operations for the three and six months ended July 31, 2018. In addition, the discussion and analysis addresses our liquidity, financial condition and other matters for these periods.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220" w:lineRule="exact"/>
        <w:rPr>
          <w:sz w:val="20"/>
          <w:szCs w:val="20"/>
          <w:color w:val="auto"/>
        </w:rPr>
      </w:pPr>
    </w:p>
    <w:p>
      <w:pPr>
        <w:ind w:right="80" w:firstLine="648"/>
        <w:spacing w:after="0" w:line="239" w:lineRule="auto"/>
        <w:rPr>
          <w:sz w:val="20"/>
          <w:szCs w:val="20"/>
          <w:color w:val="auto"/>
        </w:rPr>
      </w:pPr>
      <w:r>
        <w:rPr>
          <w:rFonts w:ascii="Arial" w:cs="Arial" w:eastAsia="Arial" w:hAnsi="Arial"/>
          <w:sz w:val="18"/>
          <w:szCs w:val="18"/>
          <w:color w:val="auto"/>
        </w:rPr>
        <w:t>We are a leading provider of completion, intervention and production services and products (our “product service lines” or “PSLs”) to the major onshore oil and gas producing regions of the United States. We offer a range of differentiated, complementary technical services and related tools and equipment in challenging environments that provide “mission critical” solutions for our customers throughout the life cycle of the well.</w:t>
      </w:r>
    </w:p>
    <w:p>
      <w:pPr>
        <w:spacing w:after="0" w:line="188"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We serve many of the leading companies engaged in the exploration and development of North American onshore conventional and unconventional oil and natural gas reserves. Our customers are primarily independent major oil and gas companies. We actively support these customer operations from over 35 principal service facilities located in the key major shale basins. We manage our business in these basins on a geographic basis, including the Southwest Region (the Permian Basin and the Eagle Ford), the Rocky Mountains Region (the Bakken, Williston, DJ, Uinta, Powder River, Piceance and Niobrara basins) and the Northeast/Mid-Con Region (the Marcellus and Utica as well as the Mid-Continent STACK and SCOOP and Haynesville). Our revenues, operating profits and identifiable assets are primarily attributable to these three reportable geographic segments. However, while we manage our business based upon these regional groupings, our assets and our technical personnel are deployed on a dynamic basis across all of our service facilities to optimize utilization and profitability.</w:t>
      </w:r>
    </w:p>
    <w:p>
      <w:pPr>
        <w:spacing w:after="0" w:line="192" w:lineRule="exact"/>
        <w:rPr>
          <w:sz w:val="20"/>
          <w:szCs w:val="20"/>
          <w:color w:val="auto"/>
        </w:rPr>
      </w:pPr>
    </w:p>
    <w:p>
      <w:pPr>
        <w:ind w:right="80" w:firstLine="648"/>
        <w:spacing w:after="0" w:line="237" w:lineRule="auto"/>
        <w:rPr>
          <w:sz w:val="20"/>
          <w:szCs w:val="20"/>
          <w:color w:val="auto"/>
        </w:rPr>
      </w:pPr>
      <w:r>
        <w:rPr>
          <w:rFonts w:ascii="Arial" w:cs="Arial" w:eastAsia="Arial" w:hAnsi="Arial"/>
          <w:sz w:val="18"/>
          <w:szCs w:val="18"/>
          <w:color w:val="auto"/>
        </w:rPr>
        <w:t>We work with our customers to provide engineered solutions across the entire lifecycle of the well, by streamlining operations, reducing non-productive time and developing cost effective solutions and customized tools for our customers’ most challenging service needs, which include technically complex unconventional wells requiring extended reach horizontal laterals with greater completion intensity per well. Revenue growth continues to reflect increases in the number of new customers served and a significant increase in the breadth of services provided to existing customers as compared with the same period in the prior year.</w:t>
      </w:r>
    </w:p>
    <w:p>
      <w:pPr>
        <w:spacing w:after="0" w:line="192" w:lineRule="exact"/>
        <w:rPr>
          <w:sz w:val="20"/>
          <w:szCs w:val="20"/>
          <w:color w:val="auto"/>
        </w:rPr>
      </w:pPr>
    </w:p>
    <w:p>
      <w:pPr>
        <w:ind w:right="20" w:firstLine="648"/>
        <w:spacing w:after="0" w:line="237" w:lineRule="auto"/>
        <w:rPr>
          <w:sz w:val="20"/>
          <w:szCs w:val="20"/>
          <w:color w:val="auto"/>
        </w:rPr>
      </w:pPr>
      <w:r>
        <w:rPr>
          <w:rFonts w:ascii="Arial" w:cs="Arial" w:eastAsia="Arial" w:hAnsi="Arial"/>
          <w:sz w:val="18"/>
          <w:szCs w:val="18"/>
          <w:color w:val="auto"/>
        </w:rPr>
        <w:t>We offer a variety of targeted services that are differentiated by the technical competence and experience of our field service engineers and their deployment of a broad portfolio of specialized tools and equipment. Our innovative and adaptive approach to proprietary tool design has been employed by our in-house research and development (“R&amp;D”) organization and, in selected instances, by our technology partners, to develop tools covered by 16 patents and 21 U.S. and foreign pending patent applications as well as 20 additional proprietary tools. Our technology partners include manufacturing and engineering companies that produce tools, which we design and utilize in our service offerings.</w:t>
      </w:r>
    </w:p>
    <w:p>
      <w:pPr>
        <w:spacing w:after="0" w:line="190"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We utilize outside, dedicated manufacturers to produce our products, which, in many cases, our engineers have developed from input and requests from our customers and customer-facing managers, thereby maintaining the integrity of our intellectual property while avoiding manufacturing startup and maintenance costs. We have found that doing so leverages our technical strengths as well as those of our technology partners. These PSLs are modest in cost to the customer relative to other well construction expenditures but have a high cost of failure and are, therefore, “mission critical” to our customers’ outcomes. We believe our customers have come to depend on our decades of combined field experience to execute on some of the most challenging problems they face. We believe we are well positioned as a company for continued growth, as the oil and gas industry continues to drill and complete thousands of increasingly complex wells each year and as thousands of older legacy wells require remediation.</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40" w:right="1419" w:bottom="1440" w:gutter="0" w:footer="0" w:header="0"/>
        </w:sectPr>
      </w:pPr>
    </w:p>
    <w:bookmarkStart w:id="17" w:name="page18"/>
    <w:bookmarkEnd w:id="1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35" w:lineRule="exact"/>
        <w:rPr>
          <w:sz w:val="20"/>
          <w:szCs w:val="20"/>
          <w:color w:val="auto"/>
        </w:rPr>
      </w:pPr>
    </w:p>
    <w:p>
      <w:pPr>
        <w:ind w:right="19" w:firstLine="648"/>
        <w:spacing w:after="0" w:line="235" w:lineRule="auto"/>
        <w:rPr>
          <w:sz w:val="20"/>
          <w:szCs w:val="20"/>
          <w:color w:val="auto"/>
        </w:rPr>
      </w:pPr>
      <w:r>
        <w:rPr>
          <w:rFonts w:ascii="Arial" w:cs="Arial" w:eastAsia="Arial" w:hAnsi="Arial"/>
          <w:sz w:val="18"/>
          <w:szCs w:val="18"/>
          <w:color w:val="auto"/>
        </w:rPr>
        <w:t>KLX Energy Services was initially formed from the combination and integration of seven private oilfield service companies acquired over the 2013 through 2014 time period. Each of the acquired businesses was regional in nature and brought one or two specific service capabilities to KLX Energy Services. Once the acquisitions were completed, we undertook a comprehensive integration of these businesses to align our services, our people and our assets across all the geographic regions where we maintain a presence. We established a matrix management organizational structure where each regional manager has the resources to provide a complete suite of services supported by technical experts in our primary service categories. In November 2018, we expanded our completion and intervention service offerings through the acquisition of Motley Services, LLC (“Motley”), a premier provider of large diameter coiled tubing, further enhancing our completion tools business. During the fourth quarter of 2018, we successfully completed the integration of the Motley business. On March 15, 2019, the Company acquired Tecton Energy Services (“Tecton”), a leading provider of flowback, drill-out and production testing services, operating primarily in the greater Rocky Mountains. On March 19, 2019, the Company acquired Red Bone Services LLC (“Red Bone”), a premier provider of oilfield services primarily in the Mid-Continent, providing fishing, non-frac high pressure pumping, thru-tubing and certain other services. We have endeavored to create a “next generation” oilfield services company in terms of management controls, processes and operating metrics and have driven these processes down through the operating management structure in every region, which we believe differentiates us from many of our competitors. This allows us to offer our customers in all of our geographic regions discrete, comprehensive and differentiated services that leverage both the technical expertise of our skilled engineers and our in-house R&amp;D team.</w:t>
      </w:r>
    </w:p>
    <w:p>
      <w:pPr>
        <w:spacing w:after="0" w:line="201" w:lineRule="exact"/>
        <w:rPr>
          <w:sz w:val="20"/>
          <w:szCs w:val="20"/>
          <w:color w:val="auto"/>
        </w:rPr>
      </w:pPr>
    </w:p>
    <w:p>
      <w:pPr>
        <w:ind w:right="19" w:firstLine="648"/>
        <w:spacing w:after="0" w:line="235" w:lineRule="auto"/>
        <w:rPr>
          <w:sz w:val="20"/>
          <w:szCs w:val="20"/>
          <w:color w:val="auto"/>
        </w:rPr>
      </w:pPr>
      <w:r>
        <w:rPr>
          <w:rFonts w:ascii="Arial" w:cs="Arial" w:eastAsia="Arial" w:hAnsi="Arial"/>
          <w:sz w:val="18"/>
          <w:szCs w:val="18"/>
          <w:color w:val="auto"/>
        </w:rPr>
        <w:t>We invest in innovative technology and equipment designed for modern production techniques that increase efficiencies and production for our customers. North American unconventional onshore wells are increasingly characterized by extended lateral lengths, tighter spacing between hydraulic fracturing stages, increased cluster density and heightened proppant loads. Drilling and completion activities for wells in unconventional resource plays are extremely complex, and downhole challenges and operating costs increase as the complexity and lateral length of these wells increase. For these reasons, E&amp;P companies with complex wells increasingly prefer service providers with the scale and resources to deliver best-in-class solutions that evolve in real time with the technology used for extraction. We believe we offer best-in-class service execution at the wellsite and innovative downhole technologies, positioning us to benefit from our ability to service the most technically complex wells where the potential for increased operating leverage is high due to the large number of stages per well in addition to customer focus on execution rather than price. We have been awarded 16 U.S. patents, have 21 U.S. and foreign pending patent applications and utilize 20 additional proprietary tools, some of which have been developed in conjunction with our technology partners, which we believe differentiates us from our regional competition and also allows us to deliver more focused service and better outcomes in our specialized services than larger national competitors who do not discretely dedicate their resources to the services we provide.</w:t>
      </w:r>
    </w:p>
    <w:p>
      <w:pPr>
        <w:spacing w:after="0" w:line="201" w:lineRule="exact"/>
        <w:rPr>
          <w:sz w:val="20"/>
          <w:szCs w:val="20"/>
          <w:color w:val="auto"/>
        </w:rPr>
      </w:pPr>
    </w:p>
    <w:p>
      <w:pPr>
        <w:ind w:right="79" w:firstLine="648"/>
        <w:spacing w:after="0" w:line="236" w:lineRule="auto"/>
        <w:rPr>
          <w:sz w:val="20"/>
          <w:szCs w:val="20"/>
          <w:color w:val="auto"/>
        </w:rPr>
      </w:pPr>
      <w:r>
        <w:rPr>
          <w:rFonts w:ascii="Arial" w:cs="Arial" w:eastAsia="Arial" w:hAnsi="Arial"/>
          <w:sz w:val="18"/>
          <w:szCs w:val="18"/>
          <w:color w:val="auto"/>
        </w:rPr>
        <w:t>We are focused on generating attractive returns on capital for our stockholders through the superior margins achieved by our differentiated services and the prudent application of our cash flow to targeted growth opportunities, which is intended to deliver high returns and short payback periods. Our services generally require less expensive equipment, which is also less expensive to maintain, and fewer people than many other oilfield service activities. In addition to the superior margins our differentiated services generate, we believe the rising level of completion intensity in our core operating areas contributes to improved margins and returns. This provides us significant operational leverage, and we believe positions us well to continue to generate attractive returns on capital as industry activity increases and the market for oilfield services improves. As part of our returns-focused approach to capital spending, we are focused on maintaining a capital efficient program with respect to the development of new products. We support our existing asset base with targeted investments in R&amp;D, which we believe allows us to maintain a technical advantage over our competitors providing similar services using standard equipment.</w:t>
      </w:r>
    </w:p>
    <w:p>
      <w:pPr>
        <w:spacing w:after="0" w:line="205" w:lineRule="exact"/>
        <w:rPr>
          <w:sz w:val="20"/>
          <w:szCs w:val="20"/>
          <w:color w:val="auto"/>
        </w:rPr>
      </w:pPr>
    </w:p>
    <w:p>
      <w:pPr>
        <w:ind w:right="279" w:firstLine="648"/>
        <w:spacing w:after="0"/>
        <w:rPr>
          <w:sz w:val="20"/>
          <w:szCs w:val="20"/>
          <w:color w:val="auto"/>
        </w:rPr>
      </w:pPr>
      <w:r>
        <w:rPr>
          <w:rFonts w:ascii="Arial" w:cs="Arial" w:eastAsia="Arial" w:hAnsi="Arial"/>
          <w:sz w:val="18"/>
          <w:szCs w:val="18"/>
          <w:color w:val="auto"/>
        </w:rPr>
        <w:t>We operate in three segments determined on a geographic basis: the Southwest Region (the Permian Basin and the Eagle Ford), the Rocky Mountains Region (the Bakken, Williston, DJ, Uinta, Powder River, Piceance and Niobrara basins) and the Northeast/Mid-Con Region (the Marcellus and Utica as well as</w:t>
      </w:r>
    </w:p>
    <w:p>
      <w:pPr>
        <w:spacing w:after="0" w:line="200" w:lineRule="exact"/>
        <w:rPr>
          <w:sz w:val="20"/>
          <w:szCs w:val="20"/>
          <w:color w:val="auto"/>
        </w:rPr>
      </w:pPr>
    </w:p>
    <w:p>
      <w:pPr>
        <w:spacing w:after="0" w:line="21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40" w:right="1440" w:bottom="1440" w:gutter="0" w:footer="0" w:header="0"/>
        </w:sectPr>
      </w:pPr>
    </w:p>
    <w:bookmarkStart w:id="18" w:name="page19"/>
    <w:bookmarkEnd w:id="1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35" w:lineRule="exact"/>
        <w:rPr>
          <w:sz w:val="20"/>
          <w:szCs w:val="20"/>
          <w:color w:val="auto"/>
        </w:rPr>
      </w:pPr>
    </w:p>
    <w:p>
      <w:pPr>
        <w:ind w:right="320"/>
        <w:spacing w:after="0" w:line="246" w:lineRule="auto"/>
        <w:rPr>
          <w:sz w:val="20"/>
          <w:szCs w:val="20"/>
          <w:color w:val="auto"/>
        </w:rPr>
      </w:pPr>
      <w:r>
        <w:rPr>
          <w:rFonts w:ascii="Arial" w:cs="Arial" w:eastAsia="Arial" w:hAnsi="Arial"/>
          <w:sz w:val="18"/>
          <w:szCs w:val="18"/>
          <w:color w:val="auto"/>
        </w:rPr>
        <w:t>the Mid-Continent STACK and SCOOP and Haynesville). As noted above, our revenues, operating profits and identifiable assets are primarily attributable to these three reportable geographic segments.</w:t>
      </w:r>
    </w:p>
    <w:p>
      <w:pPr>
        <w:spacing w:after="0" w:line="183" w:lineRule="exact"/>
        <w:rPr>
          <w:sz w:val="20"/>
          <w:szCs w:val="20"/>
          <w:color w:val="auto"/>
        </w:rPr>
      </w:pPr>
    </w:p>
    <w:p>
      <w:pPr>
        <w:ind w:right="20" w:firstLine="648"/>
        <w:spacing w:after="0" w:line="255" w:lineRule="auto"/>
        <w:rPr>
          <w:sz w:val="20"/>
          <w:szCs w:val="20"/>
          <w:color w:val="auto"/>
        </w:rPr>
      </w:pPr>
      <w:r>
        <w:rPr>
          <w:rFonts w:ascii="Arial" w:cs="Arial" w:eastAsia="Arial" w:hAnsi="Arial"/>
          <w:sz w:val="17"/>
          <w:szCs w:val="17"/>
          <w:color w:val="auto"/>
        </w:rPr>
        <w:t>Demand for services in the oil and natural gas industry is cyclical. For example, the domestic E&amp;P industry in the United States underwent a substantial downturn in 2015 and much of 2016, placing unprecedented pressure on both our customers and competitors. The market began to stabilize in late 2016 with oil prices rising through the $40’s per barrel and into the $60’s and $70’s in 2017 and 2018, respectively, although there was a precipitous 44% decline in oil prices from $76 a barrel in October 2018 to $42 a barrel in December 2018.</w:t>
      </w:r>
    </w:p>
    <w:p>
      <w:pPr>
        <w:spacing w:after="0" w:line="177"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During the year ended January 31, 2019, we benefitted from our customers’ renewed commitment to their capital budgets. Revenue grew 54.5% as compared with the same period last year driven primarily by a double-digit percentage increase in the number of new customers, a significant increase in the breadth of services provided to existing customers and the introduction of a number of new proprietary PSLs. Operating earnings turned positive during the first quarter of Fiscal 2018 and remained positive through the fourth quarter of Fiscal 2018, excluding costs associated with the Spin-Off, amendment of the asset-based revolving credit facility and acquisition of Motley, despite the decline in oil prices in late Fiscal 2018. Revenue growth from newly introduced PSLs, including the downhole production solutions (“DHPS”) PSL and the HydroPull</w:t>
      </w:r>
      <w:r>
        <w:rPr>
          <w:rFonts w:ascii="Arial" w:cs="Arial" w:eastAsia="Arial" w:hAnsi="Arial"/>
          <w:sz w:val="8"/>
          <w:szCs w:val="8"/>
          <w:color w:val="auto"/>
        </w:rPr>
        <w:t>TM</w:t>
      </w:r>
      <w:r>
        <w:rPr>
          <w:rFonts w:ascii="Arial" w:cs="Arial" w:eastAsia="Arial" w:hAnsi="Arial"/>
          <w:sz w:val="18"/>
          <w:szCs w:val="18"/>
          <w:color w:val="auto"/>
        </w:rPr>
        <w:t xml:space="preserve"> tool in combination with our patented Havok motor bearing assembly, along with the addition of Motley’s large diameter coiled tubing business, helped offset the negative impact caused by the reduction in fourth quarter completion activity.</w:t>
      </w:r>
    </w:p>
    <w:p>
      <w:pPr>
        <w:spacing w:after="0" w:line="193" w:lineRule="exact"/>
        <w:rPr>
          <w:sz w:val="20"/>
          <w:szCs w:val="20"/>
          <w:color w:val="auto"/>
        </w:rPr>
      </w:pPr>
    </w:p>
    <w:p>
      <w:pPr>
        <w:ind w:right="20" w:firstLine="648"/>
        <w:spacing w:after="0" w:line="235" w:lineRule="auto"/>
        <w:rPr>
          <w:sz w:val="20"/>
          <w:szCs w:val="20"/>
          <w:color w:val="auto"/>
        </w:rPr>
      </w:pPr>
      <w:r>
        <w:rPr>
          <w:rFonts w:ascii="Arial" w:cs="Arial" w:eastAsia="Arial" w:hAnsi="Arial"/>
          <w:sz w:val="18"/>
          <w:szCs w:val="18"/>
          <w:color w:val="auto"/>
        </w:rPr>
        <w:t>The fourth quarter 2018 headwinds caused by the decline in oil prices and resulting decline in active frac cores carried into the first half of 2019. Fiscal 2019 performance reflected lower activity levels and reduced capital spending by Exploration and Production companies, almost all of which intensified their focus on capital discipline in order to generate free cash flow. Additionally, severe weather conditions in the Mid-Con, including severe flooding, which led to impassable roads and highways, began in the month of May and persisted through June, resulting in a significant decline in activity in the Mid-Con until the second half of the quarter. In the Permian, while we have seen the price differential for crude prices narrow in recent months due to additional pipeline capacity coming on-line, our customers’ completion activities have also been negatively impacted by the lack of available pipeline capacity for natural gas and regulatory limits on flaring. The additional pipeline capacity anticipated to come on-line in the Permian and Bakken within the next year is expected to alleviate some of the gas takeaway capacity issues impacting both regions. Notwithstanding these headwinds, revenues for the first half of 2019 increased 36.2% as compared to the prior year period. Rocky Mountains segment revenue growth of 27.4% reflected an increase in the number of customers served, increased activity across substantially all product lines, improved adoption rates of recently introduced proprietary tools and the acquisition of Tecton, which did not contribute in the prior year period. Northeast/Mid-Con segment revenues reflected revenue growth of 46.0% driven by a significant increase in the number of customers served and improved adoption rates of proprietary tools. The contribution from the acquisition of Red Bone was more than offset by the severe weather conditions in the Mid-Con during the second quarter of Fiscal 2019. The Southwest segment also experienced an increase in the number of customers served, but revenue growth from new customers was more than offset by lower activity levels by existing customers and the negative impact from the low utilization of wireline assets as the Company chose not to deploy these assets at prices being offered by competitors. We believe our performance reflects our strategic priority to grow our customer base and broaden our portfolio of services. In addition to the acquisitions of Motley, Tecton and Red Bone as well as the recently introduced proprietary tools, including the HydroPull</w:t>
      </w:r>
      <w:r>
        <w:rPr>
          <w:rFonts w:ascii="Arial" w:cs="Arial" w:eastAsia="Arial" w:hAnsi="Arial"/>
          <w:sz w:val="8"/>
          <w:szCs w:val="8"/>
          <w:color w:val="auto"/>
        </w:rPr>
        <w:t>TM</w:t>
      </w:r>
      <w:r>
        <w:rPr>
          <w:rFonts w:ascii="Arial" w:cs="Arial" w:eastAsia="Arial" w:hAnsi="Arial"/>
          <w:sz w:val="18"/>
          <w:szCs w:val="18"/>
          <w:color w:val="auto"/>
        </w:rPr>
        <w:t xml:space="preserve"> tool, proprietary motor bearing assembly and dissolvable plugs, we built on our differentiation in technology and efficiency by having completed the roll out of greaseless wireline and fully addressable plug and play disposable gun system in the Rocky Mountains segment and are in the process of rolling out the same in the Southwest segment. We are continuing to carefully manage our costs, while continuing to invest in differentiating technologies, personnel and innovative product and service lines, as we build an industry leading platform in the services niche in which we operate.</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40" w:right="1419" w:bottom="1440" w:gutter="0" w:footer="0" w:header="0"/>
        </w:sectPr>
      </w:pPr>
    </w:p>
    <w:bookmarkStart w:id="19" w:name="page20"/>
    <w:bookmarkEnd w:id="1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35" w:lineRule="exact"/>
        <w:rPr>
          <w:sz w:val="20"/>
          <w:szCs w:val="20"/>
          <w:color w:val="auto"/>
        </w:rPr>
      </w:pPr>
    </w:p>
    <w:p>
      <w:pPr>
        <w:ind w:right="40" w:firstLine="648"/>
        <w:spacing w:after="0" w:line="236" w:lineRule="auto"/>
        <w:rPr>
          <w:sz w:val="20"/>
          <w:szCs w:val="20"/>
          <w:color w:val="auto"/>
        </w:rPr>
      </w:pPr>
      <w:r>
        <w:rPr>
          <w:rFonts w:ascii="Arial" w:cs="Arial" w:eastAsia="Arial" w:hAnsi="Arial"/>
          <w:sz w:val="18"/>
          <w:szCs w:val="18"/>
          <w:color w:val="auto"/>
        </w:rPr>
        <w:t>We believe our company is well positioned to operate successfully as a standalone company as a result of the numerous initiatives we undertook during the integration of the seven businesses acquired while we were part of KLX Inc. (the “Former Parent” or “KLX”). We believe our operating cost structure is now materially lower than during the historical financial reporting periods and that there is greater flexibility to respond to changing industry conditions. We improved our cost structure by centralizing a number of common functions, as evidenced by our positive cash provided by operating activities in the six months ended July 31, 2019. The implementation of integrated, company-wide management information systems and processes provide more transparency to current operating performance and trends within each market where we compete and help us more acutely scale our cost structure and pricing strategies on a market-by-market basis. Profitability levels are dependent more directly on pricing for our services rather than utilization rates; as such, our ability to differentiate ourselves on the basis of quality contributes to revenue growth and profitability even in a stable or declining market environment through market share gains and growing business with existing customers.</w:t>
      </w:r>
    </w:p>
    <w:p>
      <w:pPr>
        <w:spacing w:after="0" w:line="191"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We believe we have strong management systems in place, which will allow us to manage our operating resources and associated expenses relative to market conditions. We believe our services often generate margins superior to our competitors based upon the differential quality of our performance, and that these margins also support strong free cash flow generation. The required investment in our business includes both working capital (principally for account receivables growth tied to increasing revenues) and capital expenditures for both maintenance of existing assets and growth. Our required maintenance capital expenditures tend to be lower than other oilfield service providers due to the generally asset-lite nature of our services, the average age of our assets and our ability to charge back a portion of asset maintenance to customers for a number of our assets. In addition to these internal expenditures, we may also pursue additional selected acquisition opportunities. We believe industry conditions are likely to continue to support activity levels of oilfield service providers, but that the pace of industry consolidation will pick up, as weakened private company competitors look to take advantage of the market activity to exit.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Spin-Off</w:t>
      </w:r>
    </w:p>
    <w:p>
      <w:pPr>
        <w:spacing w:after="0" w:line="220" w:lineRule="exact"/>
        <w:rPr>
          <w:sz w:val="20"/>
          <w:szCs w:val="20"/>
          <w:color w:val="auto"/>
        </w:rPr>
      </w:pPr>
    </w:p>
    <w:p>
      <w:pPr>
        <w:ind w:right="120" w:firstLine="648"/>
        <w:spacing w:after="0" w:line="236" w:lineRule="auto"/>
        <w:rPr>
          <w:sz w:val="20"/>
          <w:szCs w:val="20"/>
          <w:color w:val="auto"/>
        </w:rPr>
      </w:pPr>
      <w:r>
        <w:rPr>
          <w:rFonts w:ascii="Arial" w:cs="Arial" w:eastAsia="Arial" w:hAnsi="Arial"/>
          <w:sz w:val="18"/>
          <w:szCs w:val="18"/>
          <w:color w:val="auto"/>
        </w:rPr>
        <w:t>On September 14, 2018, we completed our Spin-Off from KLX and became an independent, publicly-traded company. In connection with the consummation of the Spin-Off, KLX Energy Services entered into a number of agreements with KLX. All services under the transition services agreement with KLX were terminated prior to October 31, 2018. In addition, our undrawn $100.0 asset-based revolving credit facility (“ABL Facility”) is available for borrowing for working capital and other general corporate purposes. The approximately $99.2 availability under the ABL Facility is tied to the aggregate amount of our accounts receivable and inventory that satisfy specified criteria. We issued $250.0 principal amount of 11.5% senior secured notes due 2025 (the “Notes”) and, depending on market conditions, we may incur other indebtedness in the future to make additional acquisitions and/or provide for additional cash on the balance sheet, which could be used for future acquisitions.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the Comparability of our Results of Operations</w:t>
      </w:r>
    </w:p>
    <w:p>
      <w:pPr>
        <w:spacing w:after="0" w:line="234" w:lineRule="exact"/>
        <w:rPr>
          <w:sz w:val="20"/>
          <w:szCs w:val="20"/>
          <w:color w:val="auto"/>
        </w:rPr>
      </w:pPr>
    </w:p>
    <w:p>
      <w:pPr>
        <w:ind w:right="340" w:firstLine="648"/>
        <w:spacing w:after="0" w:line="246" w:lineRule="auto"/>
        <w:rPr>
          <w:sz w:val="20"/>
          <w:szCs w:val="20"/>
          <w:color w:val="auto"/>
        </w:rPr>
      </w:pPr>
      <w:r>
        <w:rPr>
          <w:rFonts w:ascii="Arial" w:cs="Arial" w:eastAsia="Arial" w:hAnsi="Arial"/>
          <w:sz w:val="18"/>
          <w:szCs w:val="18"/>
          <w:color w:val="auto"/>
        </w:rPr>
        <w:t>Our results of operations may not be comparable to our historical results of operations for the periods presented, primarily for the reasons described below:</w:t>
      </w:r>
    </w:p>
    <w:p>
      <w:pPr>
        <w:spacing w:after="0" w:line="165" w:lineRule="exact"/>
        <w:rPr>
          <w:sz w:val="20"/>
          <w:szCs w:val="20"/>
          <w:color w:val="auto"/>
        </w:rPr>
      </w:pPr>
    </w:p>
    <w:p>
      <w:pPr>
        <w:ind w:left="980" w:right="160" w:hanging="329"/>
        <w:spacing w:after="0" w:line="251"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Expenses Associated with Former Parent’s Strategic Alternatives Review</w:t>
      </w:r>
      <w:r>
        <w:rPr>
          <w:rFonts w:ascii="Arial" w:cs="Arial" w:eastAsia="Arial" w:hAnsi="Arial"/>
          <w:sz w:val="18"/>
          <w:szCs w:val="18"/>
          <w:color w:val="auto"/>
        </w:rPr>
        <w:t>: During the first quarter of</w:t>
      </w:r>
      <w:r>
        <w:rPr>
          <w:rFonts w:ascii="Arial" w:cs="Arial" w:eastAsia="Arial" w:hAnsi="Arial"/>
          <w:sz w:val="18"/>
          <w:szCs w:val="18"/>
          <w:i w:val="1"/>
          <w:iCs w:val="1"/>
          <w:color w:val="auto"/>
        </w:rPr>
        <w:t xml:space="preserve"> </w:t>
      </w:r>
      <w:r>
        <w:rPr>
          <w:rFonts w:ascii="Arial" w:cs="Arial" w:eastAsia="Arial" w:hAnsi="Arial"/>
          <w:sz w:val="18"/>
          <w:szCs w:val="18"/>
          <w:color w:val="auto"/>
        </w:rPr>
        <w:t>Fiscal 2018, $3.8 of costs and expenses were allocated to us by KLX associated with its strategic alternatives review.</w:t>
      </w:r>
    </w:p>
    <w:p>
      <w:pPr>
        <w:spacing w:after="0" w:line="160" w:lineRule="exact"/>
        <w:rPr>
          <w:rFonts w:ascii="Arial" w:cs="Arial" w:eastAsia="Arial" w:hAnsi="Arial"/>
          <w:sz w:val="18"/>
          <w:szCs w:val="18"/>
          <w:color w:val="auto"/>
        </w:rPr>
      </w:pPr>
    </w:p>
    <w:p>
      <w:pPr>
        <w:ind w:left="980" w:right="280" w:hanging="329"/>
        <w:spacing w:after="0" w:line="242"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SG&amp;A Allocation</w:t>
      </w:r>
      <w:r>
        <w:rPr>
          <w:rFonts w:ascii="Arial" w:cs="Arial" w:eastAsia="Arial" w:hAnsi="Arial"/>
          <w:sz w:val="18"/>
          <w:szCs w:val="18"/>
          <w:color w:val="auto"/>
        </w:rPr>
        <w:t>: Selling, general and administrative (“SG&amp;A”) expense historically included</w:t>
      </w:r>
      <w:r>
        <w:rPr>
          <w:rFonts w:ascii="Arial" w:cs="Arial" w:eastAsia="Arial" w:hAnsi="Arial"/>
          <w:sz w:val="18"/>
          <w:szCs w:val="18"/>
          <w:i w:val="1"/>
          <w:iCs w:val="1"/>
          <w:color w:val="auto"/>
        </w:rPr>
        <w:t xml:space="preserve"> </w:t>
      </w:r>
      <w:r>
        <w:rPr>
          <w:rFonts w:ascii="Arial" w:cs="Arial" w:eastAsia="Arial" w:hAnsi="Arial"/>
          <w:sz w:val="18"/>
          <w:szCs w:val="18"/>
          <w:color w:val="auto"/>
        </w:rPr>
        <w:t>allocations of general corporate expenses from KLX for periods through September 14, 2018, the date of the Spin-Off. The historical statements of earnings (loss) reflect allocations of general corporate expenses from KLX, including, but not limited to, executive management, finance, legal, information technology, human resources, employee benefits administration, treasury, risk</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40" w:right="1439" w:bottom="1440" w:gutter="0" w:footer="0" w:header="0"/>
        </w:sectPr>
      </w:pPr>
    </w:p>
    <w:bookmarkStart w:id="20" w:name="page21"/>
    <w:bookmarkEnd w:id="2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35" w:lineRule="exact"/>
        <w:rPr>
          <w:sz w:val="20"/>
          <w:szCs w:val="20"/>
          <w:color w:val="auto"/>
        </w:rPr>
      </w:pPr>
    </w:p>
    <w:p>
      <w:pPr>
        <w:ind w:left="980" w:right="20"/>
        <w:spacing w:after="0" w:line="236" w:lineRule="auto"/>
        <w:rPr>
          <w:sz w:val="20"/>
          <w:szCs w:val="20"/>
          <w:color w:val="auto"/>
        </w:rPr>
      </w:pPr>
      <w:r>
        <w:rPr>
          <w:rFonts w:ascii="Arial" w:cs="Arial" w:eastAsia="Arial" w:hAnsi="Arial"/>
          <w:sz w:val="18"/>
          <w:szCs w:val="18"/>
          <w:color w:val="auto"/>
        </w:rPr>
        <w:t>management, procurement and other shared services. The allocations were made on a direct usage basis when identifiable, with the remainder allocated on the basis of revenues generated, costs incurred, headcount or other measures. Our management considers these allocations to be a reasonable reflection of the utilization of services by, or the benefits provided to, KLX Energy Services. The allocations may not, however, reflect the expense we would have incurred as a stand-alone company for the periods presented. Actual costs that may have been incurred if we had been a stand-alone company would depend on a number of factors, including the chosen organizational structure, what functions were outsourced or performed by employees and strategic decisions made in areas such as information technology and infrastructure. Please see Note 1 to our condensed consolidated financial statements, ''Description of Business and Basis of Presentation," for a description of the costs allocated, the methods of allocation, the reasons for the allocations and how future actual costs may differ from the amounts allocated under the ownership of KLX.</w:t>
      </w:r>
    </w:p>
    <w:p>
      <w:pPr>
        <w:spacing w:after="0" w:line="173" w:lineRule="exact"/>
        <w:rPr>
          <w:sz w:val="20"/>
          <w:szCs w:val="20"/>
          <w:color w:val="auto"/>
        </w:rPr>
      </w:pPr>
    </w:p>
    <w:p>
      <w:pPr>
        <w:ind w:left="980" w:hanging="329"/>
        <w:spacing w:after="0" w:line="238"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Ongoing Stand-Alone Public Company Expenses</w:t>
      </w:r>
      <w:r>
        <w:rPr>
          <w:rFonts w:ascii="Arial" w:cs="Arial" w:eastAsia="Arial" w:hAnsi="Arial"/>
          <w:sz w:val="18"/>
          <w:szCs w:val="18"/>
          <w:color w:val="auto"/>
        </w:rPr>
        <w:t>: We expect to incur direct, incremental expenses</w:t>
      </w:r>
      <w:r>
        <w:rPr>
          <w:rFonts w:ascii="Arial" w:cs="Arial" w:eastAsia="Arial" w:hAnsi="Arial"/>
          <w:sz w:val="18"/>
          <w:szCs w:val="18"/>
          <w:i w:val="1"/>
          <w:iCs w:val="1"/>
          <w:color w:val="auto"/>
        </w:rPr>
        <w:t xml:space="preserve"> </w:t>
      </w:r>
      <w:r>
        <w:rPr>
          <w:rFonts w:ascii="Arial" w:cs="Arial" w:eastAsia="Arial" w:hAnsi="Arial"/>
          <w:sz w:val="18"/>
          <w:szCs w:val="18"/>
          <w:color w:val="auto"/>
        </w:rPr>
        <w:t>as a result of being a publicly-traded company, including, but not limited to, costs associated with hiring a dedicated corporate management team, annual and quarterly reports, quarterly tax provision preparation, independent auditor fees, expenses relating to compliance with the rules and regulations of the SEC and Nasdaq, investor relations activities, registrar and transfer agent fees, incremental director and officer liability insurance costs and independent director compensation. These direct, incremental expenses are not included in our historical results of operations for periods prior to the Spin-Off. We expect recurring annual costs to be approximately $8.0 higher than the expenses historically allocated to us from KLX, reflecting 100% allocation of dedicated corporate resources and the expected higher revenues.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Financial Performance Indicators</w:t>
      </w:r>
    </w:p>
    <w:p>
      <w:pPr>
        <w:spacing w:after="0" w:line="126" w:lineRule="exact"/>
        <w:rPr>
          <w:sz w:val="20"/>
          <w:szCs w:val="20"/>
          <w:color w:val="auto"/>
        </w:rPr>
      </w:pPr>
    </w:p>
    <w:p>
      <w:pPr>
        <w:ind w:right="160" w:firstLine="648"/>
        <w:spacing w:after="0" w:line="246" w:lineRule="auto"/>
        <w:rPr>
          <w:sz w:val="20"/>
          <w:szCs w:val="20"/>
          <w:color w:val="auto"/>
        </w:rPr>
      </w:pPr>
      <w:r>
        <w:rPr>
          <w:rFonts w:ascii="Arial" w:cs="Arial" w:eastAsia="Arial" w:hAnsi="Arial"/>
          <w:sz w:val="18"/>
          <w:szCs w:val="18"/>
          <w:color w:val="auto"/>
        </w:rPr>
        <w:t>We recognize the highly cyclical nature of our business and the need for metrics to 1) best measure the trends in our operations and 2) provide baselines and targets to assess the performance of our managers.</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metrics we regularly monitor within each of our geographic reporting regions include:</w:t>
      </w:r>
    </w:p>
    <w:p>
      <w:pPr>
        <w:spacing w:after="0" w:line="198" w:lineRule="exact"/>
        <w:rPr>
          <w:sz w:val="20"/>
          <w:szCs w:val="20"/>
          <w:color w:val="auto"/>
        </w:rPr>
      </w:pPr>
    </w:p>
    <w:p>
      <w:pPr>
        <w:ind w:left="980" w:hanging="329"/>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Variable cost by service;</w:t>
      </w:r>
    </w:p>
    <w:p>
      <w:pPr>
        <w:spacing w:after="0" w:line="117" w:lineRule="exact"/>
        <w:rPr>
          <w:rFonts w:ascii="Arial" w:cs="Arial" w:eastAsia="Arial" w:hAnsi="Arial"/>
          <w:sz w:val="18"/>
          <w:szCs w:val="18"/>
          <w:color w:val="auto"/>
        </w:rPr>
      </w:pPr>
    </w:p>
    <w:p>
      <w:pPr>
        <w:ind w:left="980" w:hanging="329"/>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Asset utilization by service; and</w:t>
      </w:r>
    </w:p>
    <w:p>
      <w:pPr>
        <w:spacing w:after="0" w:line="117" w:lineRule="exact"/>
        <w:rPr>
          <w:rFonts w:ascii="Arial" w:cs="Arial" w:eastAsia="Arial" w:hAnsi="Arial"/>
          <w:sz w:val="18"/>
          <w:szCs w:val="18"/>
          <w:color w:val="auto"/>
        </w:rPr>
      </w:pPr>
    </w:p>
    <w:p>
      <w:pPr>
        <w:ind w:left="980" w:hanging="329"/>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Revenue growth by service.</w:t>
      </w:r>
    </w:p>
    <w:p>
      <w:pPr>
        <w:spacing w:after="0" w:line="212" w:lineRule="exact"/>
        <w:rPr>
          <w:sz w:val="20"/>
          <w:szCs w:val="20"/>
          <w:color w:val="auto"/>
        </w:rPr>
      </w:pPr>
    </w:p>
    <w:p>
      <w:pPr>
        <w:ind w:right="1920" w:firstLine="648"/>
        <w:spacing w:after="0" w:line="246" w:lineRule="auto"/>
        <w:rPr>
          <w:sz w:val="20"/>
          <w:szCs w:val="20"/>
          <w:color w:val="auto"/>
        </w:rPr>
      </w:pPr>
      <w:r>
        <w:rPr>
          <w:rFonts w:ascii="Arial" w:cs="Arial" w:eastAsia="Arial" w:hAnsi="Arial"/>
          <w:sz w:val="18"/>
          <w:szCs w:val="18"/>
          <w:color w:val="auto"/>
        </w:rPr>
        <w:t>The measures we believe most effective to monitor and consider when rewarding management performance include:</w:t>
      </w:r>
    </w:p>
    <w:p>
      <w:pPr>
        <w:spacing w:after="0" w:line="183" w:lineRule="exact"/>
        <w:rPr>
          <w:sz w:val="20"/>
          <w:szCs w:val="20"/>
          <w:color w:val="auto"/>
        </w:rPr>
      </w:pPr>
    </w:p>
    <w:p>
      <w:pPr>
        <w:ind w:left="980" w:hanging="329"/>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Revenue growth rate;</w:t>
      </w:r>
    </w:p>
    <w:p>
      <w:pPr>
        <w:spacing w:after="0" w:line="117" w:lineRule="exact"/>
        <w:rPr>
          <w:rFonts w:ascii="Arial" w:cs="Arial" w:eastAsia="Arial" w:hAnsi="Arial"/>
          <w:sz w:val="18"/>
          <w:szCs w:val="18"/>
          <w:color w:val="auto"/>
        </w:rPr>
      </w:pPr>
    </w:p>
    <w:p>
      <w:pPr>
        <w:ind w:left="980" w:hanging="329"/>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EBITDA growth rate;</w:t>
      </w:r>
    </w:p>
    <w:p>
      <w:pPr>
        <w:spacing w:after="0" w:line="117" w:lineRule="exact"/>
        <w:rPr>
          <w:rFonts w:ascii="Arial" w:cs="Arial" w:eastAsia="Arial" w:hAnsi="Arial"/>
          <w:sz w:val="18"/>
          <w:szCs w:val="18"/>
          <w:color w:val="auto"/>
        </w:rPr>
      </w:pPr>
    </w:p>
    <w:p>
      <w:pPr>
        <w:ind w:left="980" w:hanging="329"/>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EBITDA margin;</w:t>
      </w:r>
    </w:p>
    <w:p>
      <w:pPr>
        <w:spacing w:after="0" w:line="117" w:lineRule="exact"/>
        <w:rPr>
          <w:rFonts w:ascii="Arial" w:cs="Arial" w:eastAsia="Arial" w:hAnsi="Arial"/>
          <w:sz w:val="18"/>
          <w:szCs w:val="18"/>
          <w:color w:val="auto"/>
        </w:rPr>
      </w:pPr>
    </w:p>
    <w:p>
      <w:pPr>
        <w:ind w:left="980" w:hanging="329"/>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Return on invested capital;</w:t>
      </w:r>
    </w:p>
    <w:p>
      <w:pPr>
        <w:spacing w:after="0" w:line="117" w:lineRule="exact"/>
        <w:rPr>
          <w:rFonts w:ascii="Arial" w:cs="Arial" w:eastAsia="Arial" w:hAnsi="Arial"/>
          <w:sz w:val="18"/>
          <w:szCs w:val="18"/>
          <w:color w:val="auto"/>
        </w:rPr>
      </w:pPr>
    </w:p>
    <w:p>
      <w:pPr>
        <w:ind w:left="980" w:hanging="329"/>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Cash flow generation after investments in the business; and</w:t>
      </w:r>
    </w:p>
    <w:p>
      <w:pPr>
        <w:spacing w:after="0" w:line="117" w:lineRule="exact"/>
        <w:rPr>
          <w:rFonts w:ascii="Arial" w:cs="Arial" w:eastAsia="Arial" w:hAnsi="Arial"/>
          <w:sz w:val="18"/>
          <w:szCs w:val="18"/>
          <w:color w:val="auto"/>
        </w:rPr>
      </w:pPr>
    </w:p>
    <w:p>
      <w:pPr>
        <w:ind w:left="980" w:hanging="329"/>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Effectiveness of our health, safety and environmental practices.</w:t>
      </w:r>
    </w:p>
    <w:p>
      <w:pPr>
        <w:spacing w:after="0" w:line="212" w:lineRule="exact"/>
        <w:rPr>
          <w:sz w:val="20"/>
          <w:szCs w:val="20"/>
          <w:color w:val="auto"/>
        </w:rPr>
      </w:pPr>
    </w:p>
    <w:p>
      <w:pPr>
        <w:ind w:right="100" w:firstLine="648"/>
        <w:spacing w:after="0"/>
        <w:rPr>
          <w:sz w:val="20"/>
          <w:szCs w:val="20"/>
          <w:color w:val="auto"/>
        </w:rPr>
      </w:pPr>
      <w:r>
        <w:rPr>
          <w:rFonts w:ascii="Arial" w:cs="Arial" w:eastAsia="Arial" w:hAnsi="Arial"/>
          <w:sz w:val="18"/>
          <w:szCs w:val="18"/>
          <w:color w:val="auto"/>
        </w:rPr>
        <w:t>Our experience has shown us that measuring our performance is most meaningful when compared against our peers on a relative basis. Our compensation committee engages its own compensation consultant to recommend performance metrics and targets for our employees.</w:t>
      </w: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40" w:right="1439" w:bottom="1440" w:gutter="0" w:footer="0" w:header="0"/>
        </w:sectPr>
      </w:pPr>
    </w:p>
    <w:bookmarkStart w:id="21" w:name="page22"/>
    <w:bookmarkEnd w:id="2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JULY 31, 2019</w:t>
      </w:r>
    </w:p>
    <w:p>
      <w:pPr>
        <w:spacing w:after="0" w:line="18" w:lineRule="exact"/>
        <w:rPr>
          <w:sz w:val="20"/>
          <w:szCs w:val="20"/>
          <w:color w:val="auto"/>
        </w:rPr>
      </w:pPr>
    </w:p>
    <w:p>
      <w:pPr>
        <w:ind w:right="4300"/>
        <w:spacing w:after="0" w:line="246" w:lineRule="auto"/>
        <w:rPr>
          <w:sz w:val="20"/>
          <w:szCs w:val="20"/>
          <w:color w:val="auto"/>
        </w:rPr>
      </w:pPr>
      <w:r>
        <w:rPr>
          <w:rFonts w:ascii="Arial" w:cs="Arial" w:eastAsia="Arial" w:hAnsi="Arial"/>
          <w:sz w:val="18"/>
          <w:szCs w:val="18"/>
          <w:b w:val="1"/>
          <w:bCs w:val="1"/>
          <w:color w:val="auto"/>
        </w:rPr>
        <w:t>COMPARED TO THREE MONTHS ENDED JULY 31, 2018 ($ in Millions)</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summary of revenues by segment:</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82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1720" w:type="dxa"/>
            <w:vAlign w:val="bottom"/>
            <w:tcBorders>
              <w:bottom w:val="single" w:sz="8" w:color="auto"/>
            </w:tcBorders>
            <w:gridSpan w:val="5"/>
          </w:tcPr>
          <w:p>
            <w:pPr>
              <w:ind w:left="60"/>
              <w:spacing w:after="0"/>
              <w:rPr>
                <w:sz w:val="20"/>
                <w:szCs w:val="20"/>
                <w:color w:val="auto"/>
              </w:rPr>
            </w:pPr>
            <w:r>
              <w:rPr>
                <w:rFonts w:ascii="Arial" w:cs="Arial" w:eastAsia="Arial" w:hAnsi="Arial"/>
                <w:sz w:val="16"/>
                <w:szCs w:val="16"/>
                <w:b w:val="1"/>
                <w:bCs w:val="1"/>
                <w:color w:val="auto"/>
              </w:rPr>
              <w:t>Three Months Ended</w:t>
            </w:r>
          </w:p>
        </w:tc>
        <w:tc>
          <w:tcPr>
            <w:tcW w:w="200" w:type="dxa"/>
            <w:vAlign w:val="bottom"/>
          </w:tcPr>
          <w:p>
            <w:pPr>
              <w:spacing w:after="0"/>
              <w:rPr>
                <w:sz w:val="16"/>
                <w:szCs w:val="16"/>
                <w:color w:val="auto"/>
              </w:rPr>
            </w:pPr>
          </w:p>
        </w:tc>
        <w:tc>
          <w:tcPr>
            <w:tcW w:w="88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rPr>
              <w:t>Percent</w:t>
            </w:r>
          </w:p>
        </w:tc>
        <w:tc>
          <w:tcPr>
            <w:tcW w:w="0" w:type="dxa"/>
            <w:vAlign w:val="bottom"/>
          </w:tcPr>
          <w:p>
            <w:pPr>
              <w:spacing w:after="0"/>
              <w:rPr>
                <w:sz w:val="1"/>
                <w:szCs w:val="1"/>
                <w:color w:val="auto"/>
              </w:rPr>
            </w:pPr>
          </w:p>
        </w:tc>
      </w:tr>
      <w:tr>
        <w:trPr>
          <w:trHeight w:val="164"/>
        </w:trPr>
        <w:tc>
          <w:tcPr>
            <w:tcW w:w="382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980" w:type="dxa"/>
            <w:vAlign w:val="bottom"/>
            <w:gridSpan w:val="3"/>
          </w:tcPr>
          <w:p>
            <w:pPr>
              <w:ind w:left="80"/>
              <w:spacing w:after="0" w:line="165" w:lineRule="exact"/>
              <w:rPr>
                <w:sz w:val="20"/>
                <w:szCs w:val="20"/>
                <w:color w:val="auto"/>
              </w:rPr>
            </w:pPr>
            <w:r>
              <w:rPr>
                <w:rFonts w:ascii="Arial" w:cs="Arial" w:eastAsia="Arial" w:hAnsi="Arial"/>
                <w:sz w:val="16"/>
                <w:szCs w:val="16"/>
                <w:b w:val="1"/>
                <w:bCs w:val="1"/>
                <w:color w:val="auto"/>
              </w:rPr>
              <w:t>July 31,</w:t>
            </w:r>
          </w:p>
        </w:tc>
        <w:tc>
          <w:tcPr>
            <w:tcW w:w="740" w:type="dxa"/>
            <w:vAlign w:val="bottom"/>
            <w:gridSpan w:val="2"/>
          </w:tcPr>
          <w:p>
            <w:pPr>
              <w:jc w:val="right"/>
              <w:ind w:right="19"/>
              <w:spacing w:after="0" w:line="165" w:lineRule="exact"/>
              <w:rPr>
                <w:sz w:val="20"/>
                <w:szCs w:val="20"/>
                <w:color w:val="auto"/>
              </w:rPr>
            </w:pPr>
            <w:r>
              <w:rPr>
                <w:rFonts w:ascii="Arial" w:cs="Arial" w:eastAsia="Arial" w:hAnsi="Arial"/>
                <w:sz w:val="16"/>
                <w:szCs w:val="16"/>
                <w:b w:val="1"/>
                <w:bCs w:val="1"/>
                <w:color w:val="auto"/>
              </w:rPr>
              <w:t>July 31,</w:t>
            </w:r>
          </w:p>
        </w:tc>
        <w:tc>
          <w:tcPr>
            <w:tcW w:w="20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3820" w:type="dxa"/>
            <w:vAlign w:val="bottom"/>
            <w:tcBorders>
              <w:bottom w:val="single" w:sz="8" w:color="CCEEFF"/>
            </w:tcBorders>
          </w:tcPr>
          <w:p>
            <w:pPr>
              <w:spacing w:after="0"/>
              <w:rPr>
                <w:sz w:val="18"/>
                <w:szCs w:val="18"/>
                <w:color w:val="auto"/>
              </w:rPr>
            </w:pPr>
          </w:p>
        </w:tc>
        <w:tc>
          <w:tcPr>
            <w:tcW w:w="24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2019</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2018</w:t>
            </w:r>
          </w:p>
        </w:tc>
        <w:tc>
          <w:tcPr>
            <w:tcW w:w="20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183"/>
        </w:trPr>
        <w:tc>
          <w:tcPr>
            <w:tcW w:w="382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Southwest</w:t>
            </w:r>
          </w:p>
        </w:tc>
        <w:tc>
          <w:tcPr>
            <w:tcW w:w="2600" w:type="dxa"/>
            <w:vAlign w:val="bottom"/>
            <w:gridSpan w:val="2"/>
            <w:shd w:val="clear" w:color="auto" w:fill="CCEEFF"/>
          </w:tcPr>
          <w:p>
            <w:pPr>
              <w:jc w:val="right"/>
              <w:spacing w:after="0" w:line="183" w:lineRule="exact"/>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53.3</w:t>
            </w: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w w:val="89"/>
              </w:rPr>
              <w:t>$</w:t>
            </w:r>
          </w:p>
        </w:tc>
        <w:tc>
          <w:tcPr>
            <w:tcW w:w="60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40.6</w:t>
            </w:r>
          </w:p>
        </w:tc>
        <w:tc>
          <w:tcPr>
            <w:tcW w:w="1080" w:type="dxa"/>
            <w:vAlign w:val="bottom"/>
            <w:gridSpan w:val="2"/>
            <w:shd w:val="clear" w:color="auto" w:fill="CCEEFF"/>
          </w:tcPr>
          <w:p>
            <w:pPr>
              <w:jc w:val="right"/>
              <w:spacing w:after="0" w:line="183" w:lineRule="exact"/>
              <w:rPr>
                <w:sz w:val="20"/>
                <w:szCs w:val="20"/>
                <w:color w:val="auto"/>
              </w:rPr>
            </w:pPr>
            <w:r>
              <w:rPr>
                <w:rFonts w:ascii="Arial" w:cs="Arial" w:eastAsia="Arial" w:hAnsi="Arial"/>
                <w:sz w:val="16"/>
                <w:szCs w:val="16"/>
                <w:color w:val="auto"/>
              </w:rPr>
              <w:t>31.3 %</w:t>
            </w:r>
          </w:p>
        </w:tc>
        <w:tc>
          <w:tcPr>
            <w:tcW w:w="0" w:type="dxa"/>
            <w:vAlign w:val="bottom"/>
          </w:tcPr>
          <w:p>
            <w:pPr>
              <w:spacing w:after="0"/>
              <w:rPr>
                <w:sz w:val="1"/>
                <w:szCs w:val="1"/>
                <w:color w:val="auto"/>
              </w:rPr>
            </w:pPr>
          </w:p>
        </w:tc>
      </w:tr>
      <w:tr>
        <w:trPr>
          <w:trHeight w:val="189"/>
        </w:trPr>
        <w:tc>
          <w:tcPr>
            <w:tcW w:w="3820" w:type="dxa"/>
            <w:vAlign w:val="bottom"/>
          </w:tcPr>
          <w:p>
            <w:pPr>
              <w:spacing w:after="0"/>
              <w:rPr>
                <w:sz w:val="20"/>
                <w:szCs w:val="20"/>
                <w:color w:val="auto"/>
              </w:rPr>
            </w:pPr>
            <w:r>
              <w:rPr>
                <w:rFonts w:ascii="Arial" w:cs="Arial" w:eastAsia="Arial" w:hAnsi="Arial"/>
                <w:sz w:val="16"/>
                <w:szCs w:val="16"/>
                <w:color w:val="auto"/>
              </w:rPr>
              <w:t>Rocky Mountains</w:t>
            </w:r>
          </w:p>
        </w:tc>
        <w:tc>
          <w:tcPr>
            <w:tcW w:w="2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63.5</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47.8</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32.8 %</w:t>
            </w:r>
          </w:p>
        </w:tc>
        <w:tc>
          <w:tcPr>
            <w:tcW w:w="0" w:type="dxa"/>
            <w:vAlign w:val="bottom"/>
          </w:tcPr>
          <w:p>
            <w:pPr>
              <w:spacing w:after="0"/>
              <w:rPr>
                <w:sz w:val="1"/>
                <w:szCs w:val="1"/>
                <w:color w:val="auto"/>
              </w:rPr>
            </w:pPr>
          </w:p>
        </w:tc>
      </w:tr>
      <w:tr>
        <w:trPr>
          <w:trHeight w:val="189"/>
        </w:trPr>
        <w:tc>
          <w:tcPr>
            <w:tcW w:w="3820" w:type="dxa"/>
            <w:vAlign w:val="bottom"/>
            <w:shd w:val="clear" w:color="auto" w:fill="CCEEFF"/>
          </w:tcPr>
          <w:p>
            <w:pPr>
              <w:spacing w:after="0"/>
              <w:rPr>
                <w:sz w:val="20"/>
                <w:szCs w:val="20"/>
                <w:color w:val="auto"/>
              </w:rPr>
            </w:pPr>
            <w:r>
              <w:rPr>
                <w:rFonts w:ascii="Arial" w:cs="Arial" w:eastAsia="Arial" w:hAnsi="Arial"/>
                <w:sz w:val="16"/>
                <w:szCs w:val="16"/>
                <w:color w:val="auto"/>
              </w:rPr>
              <w:t>Northeast/Mid-Con</w:t>
            </w:r>
          </w:p>
        </w:tc>
        <w:tc>
          <w:tcPr>
            <w:tcW w:w="244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48.1</w:t>
            </w:r>
          </w:p>
        </w:tc>
        <w:tc>
          <w:tcPr>
            <w:tcW w:w="2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29.5</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63.1 %</w:t>
            </w:r>
          </w:p>
        </w:tc>
        <w:tc>
          <w:tcPr>
            <w:tcW w:w="0" w:type="dxa"/>
            <w:vAlign w:val="bottom"/>
          </w:tcPr>
          <w:p>
            <w:pPr>
              <w:spacing w:after="0"/>
              <w:rPr>
                <w:sz w:val="1"/>
                <w:szCs w:val="1"/>
                <w:color w:val="auto"/>
              </w:rPr>
            </w:pPr>
          </w:p>
        </w:tc>
      </w:tr>
      <w:tr>
        <w:trPr>
          <w:trHeight w:val="190"/>
        </w:trPr>
        <w:tc>
          <w:tcPr>
            <w:tcW w:w="3820" w:type="dxa"/>
            <w:vAlign w:val="bottom"/>
          </w:tcPr>
          <w:p>
            <w:pPr>
              <w:spacing w:after="0" w:line="183" w:lineRule="exact"/>
              <w:rPr>
                <w:sz w:val="20"/>
                <w:szCs w:val="20"/>
                <w:color w:val="auto"/>
              </w:rPr>
            </w:pPr>
            <w:r>
              <w:rPr>
                <w:rFonts w:ascii="Arial" w:cs="Arial" w:eastAsia="Arial" w:hAnsi="Arial"/>
                <w:sz w:val="16"/>
                <w:szCs w:val="16"/>
                <w:color w:val="auto"/>
              </w:rPr>
              <w:t>Total revenues</w:t>
            </w:r>
          </w:p>
        </w:tc>
        <w:tc>
          <w:tcPr>
            <w:tcW w:w="2440" w:type="dxa"/>
            <w:vAlign w:val="bottom"/>
          </w:tcPr>
          <w:p>
            <w:pPr>
              <w:spacing w:after="0"/>
              <w:rPr>
                <w:sz w:val="16"/>
                <w:szCs w:val="16"/>
                <w:color w:val="auto"/>
              </w:rPr>
            </w:pPr>
          </w:p>
        </w:tc>
        <w:tc>
          <w:tcPr>
            <w:tcW w:w="1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164.9</w:t>
            </w:r>
          </w:p>
        </w:tc>
        <w:tc>
          <w:tcPr>
            <w:tcW w:w="200" w:type="dxa"/>
            <w:vAlign w:val="bottom"/>
          </w:tcPr>
          <w:p>
            <w:pPr>
              <w:spacing w:after="0"/>
              <w:rPr>
                <w:sz w:val="16"/>
                <w:szCs w:val="16"/>
                <w:color w:val="auto"/>
              </w:rPr>
            </w:pPr>
          </w:p>
        </w:tc>
        <w:tc>
          <w:tcPr>
            <w:tcW w:w="1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117.9</w:t>
            </w:r>
          </w:p>
        </w:tc>
        <w:tc>
          <w:tcPr>
            <w:tcW w:w="1080" w:type="dxa"/>
            <w:vAlign w:val="bottom"/>
            <w:gridSpan w:val="2"/>
          </w:tcPr>
          <w:p>
            <w:pPr>
              <w:jc w:val="right"/>
              <w:spacing w:after="0" w:line="183" w:lineRule="exact"/>
              <w:rPr>
                <w:sz w:val="20"/>
                <w:szCs w:val="20"/>
                <w:color w:val="auto"/>
              </w:rPr>
            </w:pPr>
            <w:r>
              <w:rPr>
                <w:rFonts w:ascii="Arial" w:cs="Arial" w:eastAsia="Arial" w:hAnsi="Arial"/>
                <w:sz w:val="16"/>
                <w:szCs w:val="16"/>
                <w:color w:val="auto"/>
              </w:rPr>
              <w:t>39.9 %</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0" w:firstLine="648"/>
        <w:spacing w:after="0" w:line="235" w:lineRule="auto"/>
        <w:rPr>
          <w:sz w:val="20"/>
          <w:szCs w:val="20"/>
          <w:color w:val="auto"/>
        </w:rPr>
      </w:pPr>
      <w:r>
        <w:rPr>
          <w:rFonts w:ascii="Arial" w:cs="Arial" w:eastAsia="Arial" w:hAnsi="Arial"/>
          <w:sz w:val="18"/>
          <w:szCs w:val="18"/>
          <w:color w:val="auto"/>
        </w:rPr>
        <w:t>For the second quarter ended July 31, 2019, revenues of $164.9, increased $ 47.0, or 39.9%, as compared with the prior year period. On a product line basis, completion, intervention and production services revenues increased approximately 54.8%, 37.8% and 7.5% respectively, as compared to the same period in the prior year. Capital spending by our Exploration and Production (“E&amp;P”) customers was generally lower in all segments as almost all of them intensified their focus on capital discipline in order to generate free cash flow. Despite the headwinds from our customers managing their capital spending more closely, each of our segments generated strong year over year revenue growth. Rocky Mountains segment revenue growth of $15.7, or 32.8%, reflected an increase in the number of customers served, increased activity across substantially all product lines, improved adoption rates of recently introduced proprietary tools and contributions from Tecton flowback and testing revenues. Northeast/Mid-Con segment revenues reflected revenue growth of 63.1% driven by a significant increase in the number of customers served and improved adoption rates of proprietary tools. The contribution to growth from Redbone revenues was substantially offset by flooding and tornadoes in May and June in the Mid-Con, which resulted in six weeks of substantially reduced activity. The Southwest segment also experienced an increase in the number of customers served as well as the acquisition of Motley in the fourth quarter of 2018, both of which contributed to revenue growth of 31.3%, but growth was partially offset by the lower activity levels by existing customers and the negative impact from the significantly lower utilization of wireline assets as the Company chose not to deploy these assets at prices being offered by competitors.</w:t>
      </w:r>
    </w:p>
    <w:p>
      <w:pPr>
        <w:spacing w:after="0" w:line="201" w:lineRule="exact"/>
        <w:rPr>
          <w:sz w:val="20"/>
          <w:szCs w:val="20"/>
          <w:color w:val="auto"/>
        </w:rPr>
      </w:pPr>
    </w:p>
    <w:p>
      <w:pPr>
        <w:ind w:right="20" w:firstLine="648"/>
        <w:spacing w:after="0" w:line="236" w:lineRule="auto"/>
        <w:rPr>
          <w:sz w:val="20"/>
          <w:szCs w:val="20"/>
          <w:color w:val="auto"/>
        </w:rPr>
      </w:pPr>
      <w:r>
        <w:rPr>
          <w:rFonts w:ascii="Arial" w:cs="Arial" w:eastAsia="Arial" w:hAnsi="Arial"/>
          <w:sz w:val="18"/>
          <w:szCs w:val="18"/>
          <w:color w:val="auto"/>
        </w:rPr>
        <w:t>Second quarter 2019 cost of sales was $129.4, or 78.5% of sales, as compared to the prior year period of $85.7, or 72.7% of sales. Cost sales as a percentage of revenues increased by approximately 580 basis points primarily due to reduced activity in the Northeast/Mid-Con and Southwest segments. In the Northeast/Mid-Con segment, the Mid-Con region experienced six weeks of substantially reduced activity in May and June resulting from severe flooding and tornadoes, which reduced utilization of assets during that period, but have since recovered as the roads have become passible. In the Southwest segment, significantly lower utilization of wireline assets as a result of the pricing environment as well as startup costs associated with the roll out of flowback and testing services, roll out of greaseless wireline and plug and play disposable gun system and costs to support the roll out of the coiled tubing PSL in both the Northeast/Mid-Con and Rocky Mountains segments resulted in higher cost of sales as a percentage of revenues. The aforementioned factors resulted in the year over year increase in cost of sales as a percentage of revenues.</w:t>
      </w:r>
    </w:p>
    <w:p>
      <w:pPr>
        <w:spacing w:after="0" w:line="192" w:lineRule="exact"/>
        <w:rPr>
          <w:sz w:val="20"/>
          <w:szCs w:val="20"/>
          <w:color w:val="auto"/>
        </w:rPr>
      </w:pPr>
    </w:p>
    <w:p>
      <w:pPr>
        <w:jc w:val="both"/>
        <w:ind w:right="40" w:firstLine="648"/>
        <w:spacing w:after="0" w:line="239" w:lineRule="auto"/>
        <w:rPr>
          <w:sz w:val="20"/>
          <w:szCs w:val="20"/>
          <w:color w:val="auto"/>
        </w:rPr>
      </w:pPr>
      <w:r>
        <w:rPr>
          <w:rFonts w:ascii="Arial" w:cs="Arial" w:eastAsia="Arial" w:hAnsi="Arial"/>
          <w:sz w:val="18"/>
          <w:szCs w:val="18"/>
          <w:color w:val="auto"/>
        </w:rPr>
        <w:t>Selling, general and administrative (“SG&amp;A”) expenses during the second quarter of 2019 were $23.7, or 14.4% of revenues, as compared with $17.9, or 15.2% of revenues, in the prior year period. Second quarter 2019 research and development costs were $0.8 reflecting our continued focus on in-house research and development to deploy new specialized and proprietary tools and equipment.</w:t>
      </w:r>
    </w:p>
    <w:p>
      <w:pPr>
        <w:spacing w:after="0" w:line="188" w:lineRule="exact"/>
        <w:rPr>
          <w:sz w:val="20"/>
          <w:szCs w:val="20"/>
          <w:color w:val="auto"/>
        </w:rPr>
      </w:pPr>
    </w:p>
    <w:p>
      <w:pPr>
        <w:ind w:firstLine="648"/>
        <w:spacing w:after="0" w:line="239" w:lineRule="auto"/>
        <w:rPr>
          <w:sz w:val="20"/>
          <w:szCs w:val="20"/>
          <w:color w:val="auto"/>
        </w:rPr>
      </w:pPr>
      <w:r>
        <w:rPr>
          <w:rFonts w:ascii="Arial" w:cs="Arial" w:eastAsia="Arial" w:hAnsi="Arial"/>
          <w:sz w:val="18"/>
          <w:szCs w:val="18"/>
          <w:color w:val="auto"/>
        </w:rPr>
        <w:t>Operating earnings and operating margin were $11.0 and 6.7%, respectively. Operating earnings decreased 19.7% as compared to the prior year period. As previously discussed, operating margins were negatively impacted by the six weeks of substantially reduced activity in the Mid-Con, and the Southwest segment was impacted by low utilization of wireline assets and startup costs associated with the roll out of</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40" w:right="1419" w:bottom="1440" w:gutter="0" w:footer="0" w:header="0"/>
        </w:sectPr>
      </w:pPr>
    </w:p>
    <w:bookmarkStart w:id="22" w:name="page23"/>
    <w:bookmarkEnd w:id="2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35" w:lineRule="exact"/>
        <w:rPr>
          <w:sz w:val="20"/>
          <w:szCs w:val="20"/>
          <w:color w:val="auto"/>
        </w:rPr>
      </w:pPr>
    </w:p>
    <w:p>
      <w:pPr>
        <w:ind w:right="420"/>
        <w:spacing w:after="0" w:line="275" w:lineRule="auto"/>
        <w:rPr>
          <w:sz w:val="20"/>
          <w:szCs w:val="20"/>
          <w:color w:val="auto"/>
        </w:rPr>
      </w:pPr>
      <w:r>
        <w:rPr>
          <w:rFonts w:ascii="Arial" w:cs="Arial" w:eastAsia="Arial" w:hAnsi="Arial"/>
          <w:sz w:val="17"/>
          <w:szCs w:val="17"/>
          <w:color w:val="auto"/>
        </w:rPr>
        <w:t>flowback and testing services, the greaseless wireline and plug and play disposable gun system and costs to support the roll out of the coiled tubing PSL in both the Northeast/Mid-Con and Rocky Mountains segments.</w:t>
      </w:r>
    </w:p>
    <w:p>
      <w:pPr>
        <w:spacing w:after="0" w:line="160" w:lineRule="exact"/>
        <w:rPr>
          <w:sz w:val="20"/>
          <w:szCs w:val="20"/>
          <w:color w:val="auto"/>
        </w:rPr>
      </w:pPr>
    </w:p>
    <w:p>
      <w:pPr>
        <w:ind w:right="60" w:firstLine="648"/>
        <w:spacing w:after="0" w:line="238" w:lineRule="auto"/>
        <w:rPr>
          <w:sz w:val="20"/>
          <w:szCs w:val="20"/>
          <w:color w:val="auto"/>
        </w:rPr>
      </w:pPr>
      <w:r>
        <w:rPr>
          <w:rFonts w:ascii="Arial" w:cs="Arial" w:eastAsia="Arial" w:hAnsi="Arial"/>
          <w:sz w:val="18"/>
          <w:szCs w:val="18"/>
          <w:color w:val="auto"/>
        </w:rPr>
        <w:t>Income tax expense was $ 0.1 for the three months ended July 31, 2019 and was comprised primarily of state and local taxes, compared to $0.1 in the prior year period. Due to the fact that the Company has a valuation allowance against its deferred tax balances, it was unable to recognize a tax benefit on its year to date losses. The Company has established a valuation allowance against the majority of its deferred tax balances with a net deferred tax liability remaining related to the recent acquisitions.</w:t>
      </w:r>
    </w:p>
    <w:p>
      <w:pPr>
        <w:spacing w:after="0" w:line="189" w:lineRule="exact"/>
        <w:rPr>
          <w:sz w:val="20"/>
          <w:szCs w:val="20"/>
          <w:color w:val="auto"/>
        </w:rPr>
      </w:pPr>
    </w:p>
    <w:p>
      <w:pPr>
        <w:jc w:val="both"/>
        <w:ind w:right="60" w:firstLine="648"/>
        <w:spacing w:after="0"/>
        <w:rPr>
          <w:sz w:val="20"/>
          <w:szCs w:val="20"/>
          <w:color w:val="auto"/>
        </w:rPr>
      </w:pPr>
      <w:r>
        <w:rPr>
          <w:rFonts w:ascii="Arial" w:cs="Arial" w:eastAsia="Arial" w:hAnsi="Arial"/>
          <w:sz w:val="18"/>
          <w:szCs w:val="18"/>
          <w:color w:val="auto"/>
        </w:rPr>
        <w:t>Net earnings for the three months ended July 31, 2019 was $3.5 as compared to net earnings of $13.6 in the prior year period for the reasons mentioned above and $7.4 of interest expense in the second quarter of 2019 associated with the Company’s Notes.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summary of operating earnings (loss) by segment:</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0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720" w:type="dxa"/>
            <w:vAlign w:val="bottom"/>
            <w:tcBorders>
              <w:bottom w:val="single" w:sz="8" w:color="auto"/>
            </w:tcBorders>
            <w:gridSpan w:val="5"/>
          </w:tcPr>
          <w:p>
            <w:pPr>
              <w:ind w:left="60"/>
              <w:spacing w:after="0"/>
              <w:rPr>
                <w:sz w:val="20"/>
                <w:szCs w:val="20"/>
                <w:color w:val="auto"/>
              </w:rPr>
            </w:pPr>
            <w:r>
              <w:rPr>
                <w:rFonts w:ascii="Arial" w:cs="Arial" w:eastAsia="Arial" w:hAnsi="Arial"/>
                <w:sz w:val="16"/>
                <w:szCs w:val="16"/>
                <w:b w:val="1"/>
                <w:bCs w:val="1"/>
                <w:color w:val="auto"/>
              </w:rPr>
              <w:t>Three Months Ended</w:t>
            </w:r>
          </w:p>
        </w:tc>
        <w:tc>
          <w:tcPr>
            <w:tcW w:w="200" w:type="dxa"/>
            <w:vAlign w:val="bottom"/>
          </w:tcPr>
          <w:p>
            <w:pPr>
              <w:spacing w:after="0"/>
              <w:rPr>
                <w:sz w:val="18"/>
                <w:szCs w:val="18"/>
                <w:color w:val="auto"/>
              </w:rPr>
            </w:pPr>
          </w:p>
        </w:tc>
        <w:tc>
          <w:tcPr>
            <w:tcW w:w="88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rPr>
              <w:t>Percent</w:t>
            </w:r>
          </w:p>
        </w:tc>
        <w:tc>
          <w:tcPr>
            <w:tcW w:w="0" w:type="dxa"/>
            <w:vAlign w:val="bottom"/>
          </w:tcPr>
          <w:p>
            <w:pPr>
              <w:spacing w:after="0"/>
              <w:rPr>
                <w:sz w:val="1"/>
                <w:szCs w:val="1"/>
                <w:color w:val="auto"/>
              </w:rPr>
            </w:pPr>
          </w:p>
        </w:tc>
      </w:tr>
      <w:tr>
        <w:trPr>
          <w:trHeight w:val="164"/>
        </w:trPr>
        <w:tc>
          <w:tcPr>
            <w:tcW w:w="400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980" w:type="dxa"/>
            <w:vAlign w:val="bottom"/>
            <w:gridSpan w:val="3"/>
          </w:tcPr>
          <w:p>
            <w:pPr>
              <w:ind w:left="80"/>
              <w:spacing w:after="0" w:line="165" w:lineRule="exact"/>
              <w:rPr>
                <w:sz w:val="20"/>
                <w:szCs w:val="20"/>
                <w:color w:val="auto"/>
              </w:rPr>
            </w:pPr>
            <w:r>
              <w:rPr>
                <w:rFonts w:ascii="Arial" w:cs="Arial" w:eastAsia="Arial" w:hAnsi="Arial"/>
                <w:sz w:val="16"/>
                <w:szCs w:val="16"/>
                <w:b w:val="1"/>
                <w:bCs w:val="1"/>
                <w:color w:val="auto"/>
              </w:rPr>
              <w:t>July 31,</w:t>
            </w:r>
          </w:p>
        </w:tc>
        <w:tc>
          <w:tcPr>
            <w:tcW w:w="740" w:type="dxa"/>
            <w:vAlign w:val="bottom"/>
            <w:gridSpan w:val="2"/>
          </w:tcPr>
          <w:p>
            <w:pPr>
              <w:jc w:val="right"/>
              <w:ind w:right="19"/>
              <w:spacing w:after="0" w:line="165" w:lineRule="exact"/>
              <w:rPr>
                <w:sz w:val="20"/>
                <w:szCs w:val="20"/>
                <w:color w:val="auto"/>
              </w:rPr>
            </w:pPr>
            <w:r>
              <w:rPr>
                <w:rFonts w:ascii="Arial" w:cs="Arial" w:eastAsia="Arial" w:hAnsi="Arial"/>
                <w:sz w:val="16"/>
                <w:szCs w:val="16"/>
                <w:b w:val="1"/>
                <w:bCs w:val="1"/>
                <w:color w:val="auto"/>
              </w:rPr>
              <w:t>July 31,</w:t>
            </w:r>
          </w:p>
        </w:tc>
        <w:tc>
          <w:tcPr>
            <w:tcW w:w="20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4000" w:type="dxa"/>
            <w:vAlign w:val="bottom"/>
            <w:tcBorders>
              <w:bottom w:val="single" w:sz="8" w:color="CCEEFF"/>
            </w:tcBorders>
          </w:tcPr>
          <w:p>
            <w:pPr>
              <w:spacing w:after="0"/>
              <w:rPr>
                <w:sz w:val="18"/>
                <w:szCs w:val="18"/>
                <w:color w:val="auto"/>
              </w:rPr>
            </w:pPr>
          </w:p>
        </w:tc>
        <w:tc>
          <w:tcPr>
            <w:tcW w:w="22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2019</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2018</w:t>
            </w:r>
          </w:p>
        </w:tc>
        <w:tc>
          <w:tcPr>
            <w:tcW w:w="20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183"/>
        </w:trPr>
        <w:tc>
          <w:tcPr>
            <w:tcW w:w="400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Southwest</w:t>
            </w:r>
          </w:p>
        </w:tc>
        <w:tc>
          <w:tcPr>
            <w:tcW w:w="2420" w:type="dxa"/>
            <w:vAlign w:val="bottom"/>
            <w:gridSpan w:val="2"/>
            <w:shd w:val="clear" w:color="auto" w:fill="CCEEFF"/>
          </w:tcPr>
          <w:p>
            <w:pPr>
              <w:jc w:val="right"/>
              <w:spacing w:after="0" w:line="183" w:lineRule="exact"/>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(1.6)</w:t>
            </w: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w w:val="89"/>
              </w:rPr>
              <w:t>$</w:t>
            </w:r>
          </w:p>
        </w:tc>
        <w:tc>
          <w:tcPr>
            <w:tcW w:w="60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3.1</w:t>
            </w:r>
          </w:p>
        </w:tc>
        <w:tc>
          <w:tcPr>
            <w:tcW w:w="1080" w:type="dxa"/>
            <w:vAlign w:val="bottom"/>
            <w:gridSpan w:val="2"/>
            <w:shd w:val="clear" w:color="auto" w:fill="CCEEFF"/>
          </w:tcPr>
          <w:p>
            <w:pPr>
              <w:jc w:val="right"/>
              <w:spacing w:after="0" w:line="183" w:lineRule="exact"/>
              <w:rPr>
                <w:sz w:val="20"/>
                <w:szCs w:val="20"/>
                <w:color w:val="auto"/>
              </w:rPr>
            </w:pPr>
            <w:r>
              <w:rPr>
                <w:rFonts w:ascii="Arial" w:cs="Arial" w:eastAsia="Arial" w:hAnsi="Arial"/>
                <w:sz w:val="16"/>
                <w:szCs w:val="16"/>
                <w:color w:val="auto"/>
              </w:rPr>
              <w:t>(151.6)%</w:t>
            </w:r>
          </w:p>
        </w:tc>
        <w:tc>
          <w:tcPr>
            <w:tcW w:w="0" w:type="dxa"/>
            <w:vAlign w:val="bottom"/>
          </w:tcPr>
          <w:p>
            <w:pPr>
              <w:spacing w:after="0"/>
              <w:rPr>
                <w:sz w:val="1"/>
                <w:szCs w:val="1"/>
                <w:color w:val="auto"/>
              </w:rPr>
            </w:pPr>
          </w:p>
        </w:tc>
      </w:tr>
      <w:tr>
        <w:trPr>
          <w:trHeight w:val="189"/>
        </w:trPr>
        <w:tc>
          <w:tcPr>
            <w:tcW w:w="4000" w:type="dxa"/>
            <w:vAlign w:val="bottom"/>
          </w:tcPr>
          <w:p>
            <w:pPr>
              <w:spacing w:after="0"/>
              <w:rPr>
                <w:sz w:val="20"/>
                <w:szCs w:val="20"/>
                <w:color w:val="auto"/>
              </w:rPr>
            </w:pPr>
            <w:r>
              <w:rPr>
                <w:rFonts w:ascii="Arial" w:cs="Arial" w:eastAsia="Arial" w:hAnsi="Arial"/>
                <w:sz w:val="16"/>
                <w:szCs w:val="16"/>
                <w:color w:val="auto"/>
              </w:rPr>
              <w:t>Rocky Mountains</w:t>
            </w:r>
          </w:p>
        </w:tc>
        <w:tc>
          <w:tcPr>
            <w:tcW w:w="2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8.7</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5.3</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64.2 %</w:t>
            </w:r>
          </w:p>
        </w:tc>
        <w:tc>
          <w:tcPr>
            <w:tcW w:w="0" w:type="dxa"/>
            <w:vAlign w:val="bottom"/>
          </w:tcPr>
          <w:p>
            <w:pPr>
              <w:spacing w:after="0"/>
              <w:rPr>
                <w:sz w:val="1"/>
                <w:szCs w:val="1"/>
                <w:color w:val="auto"/>
              </w:rPr>
            </w:pPr>
          </w:p>
        </w:tc>
      </w:tr>
      <w:tr>
        <w:trPr>
          <w:trHeight w:val="189"/>
        </w:trPr>
        <w:tc>
          <w:tcPr>
            <w:tcW w:w="4000" w:type="dxa"/>
            <w:vAlign w:val="bottom"/>
            <w:shd w:val="clear" w:color="auto" w:fill="CCEEFF"/>
          </w:tcPr>
          <w:p>
            <w:pPr>
              <w:spacing w:after="0"/>
              <w:rPr>
                <w:sz w:val="20"/>
                <w:szCs w:val="20"/>
                <w:color w:val="auto"/>
              </w:rPr>
            </w:pPr>
            <w:r>
              <w:rPr>
                <w:rFonts w:ascii="Arial" w:cs="Arial" w:eastAsia="Arial" w:hAnsi="Arial"/>
                <w:sz w:val="16"/>
                <w:szCs w:val="16"/>
                <w:color w:val="auto"/>
              </w:rPr>
              <w:t>Northeast/Mid-Con</w:t>
            </w:r>
          </w:p>
        </w:tc>
        <w:tc>
          <w:tcPr>
            <w:tcW w:w="226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2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(26.4)%</w:t>
            </w:r>
          </w:p>
        </w:tc>
        <w:tc>
          <w:tcPr>
            <w:tcW w:w="0" w:type="dxa"/>
            <w:vAlign w:val="bottom"/>
          </w:tcPr>
          <w:p>
            <w:pPr>
              <w:spacing w:after="0"/>
              <w:rPr>
                <w:sz w:val="1"/>
                <w:szCs w:val="1"/>
                <w:color w:val="auto"/>
              </w:rPr>
            </w:pPr>
          </w:p>
        </w:tc>
      </w:tr>
      <w:tr>
        <w:trPr>
          <w:trHeight w:val="190"/>
        </w:trPr>
        <w:tc>
          <w:tcPr>
            <w:tcW w:w="4000" w:type="dxa"/>
            <w:vAlign w:val="bottom"/>
          </w:tcPr>
          <w:p>
            <w:pPr>
              <w:spacing w:after="0" w:line="183" w:lineRule="exact"/>
              <w:rPr>
                <w:sz w:val="20"/>
                <w:szCs w:val="20"/>
                <w:color w:val="auto"/>
              </w:rPr>
            </w:pPr>
            <w:r>
              <w:rPr>
                <w:rFonts w:ascii="Arial" w:cs="Arial" w:eastAsia="Arial" w:hAnsi="Arial"/>
                <w:sz w:val="16"/>
                <w:szCs w:val="16"/>
                <w:color w:val="auto"/>
              </w:rPr>
              <w:t>Total operating earnings</w:t>
            </w:r>
          </w:p>
        </w:tc>
        <w:tc>
          <w:tcPr>
            <w:tcW w:w="2260" w:type="dxa"/>
            <w:vAlign w:val="bottom"/>
          </w:tcPr>
          <w:p>
            <w:pPr>
              <w:spacing w:after="0"/>
              <w:rPr>
                <w:sz w:val="16"/>
                <w:szCs w:val="16"/>
                <w:color w:val="auto"/>
              </w:rPr>
            </w:pPr>
          </w:p>
        </w:tc>
        <w:tc>
          <w:tcPr>
            <w:tcW w:w="1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11.0</w:t>
            </w:r>
          </w:p>
        </w:tc>
        <w:tc>
          <w:tcPr>
            <w:tcW w:w="200" w:type="dxa"/>
            <w:vAlign w:val="bottom"/>
          </w:tcPr>
          <w:p>
            <w:pPr>
              <w:spacing w:after="0"/>
              <w:rPr>
                <w:sz w:val="16"/>
                <w:szCs w:val="16"/>
                <w:color w:val="auto"/>
              </w:rPr>
            </w:pPr>
          </w:p>
        </w:tc>
        <w:tc>
          <w:tcPr>
            <w:tcW w:w="1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13.7</w:t>
            </w:r>
          </w:p>
        </w:tc>
        <w:tc>
          <w:tcPr>
            <w:tcW w:w="1080" w:type="dxa"/>
            <w:vAlign w:val="bottom"/>
            <w:gridSpan w:val="2"/>
          </w:tcPr>
          <w:p>
            <w:pPr>
              <w:jc w:val="right"/>
              <w:spacing w:after="0" w:line="183" w:lineRule="exact"/>
              <w:rPr>
                <w:sz w:val="20"/>
                <w:szCs w:val="20"/>
                <w:color w:val="auto"/>
              </w:rPr>
            </w:pPr>
            <w:r>
              <w:rPr>
                <w:rFonts w:ascii="Arial" w:cs="Arial" w:eastAsia="Arial" w:hAnsi="Arial"/>
                <w:sz w:val="16"/>
                <w:szCs w:val="16"/>
                <w:color w:val="auto"/>
              </w:rPr>
              <w:t>(19.7)%</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For the quarter ended July 31, 2019, Rocky Mountains segment revenues of $63.5 increased by $15.7, or 32.8%, driven by an increase in the number of customers served, increased activity across substantially all product lines, improved adoption rates of recently introduced proprietary tools, including the HydroPull</w:t>
      </w:r>
      <w:r>
        <w:rPr>
          <w:rFonts w:ascii="Arial" w:cs="Arial" w:eastAsia="Arial" w:hAnsi="Arial"/>
          <w:sz w:val="8"/>
          <w:szCs w:val="8"/>
          <w:color w:val="auto"/>
        </w:rPr>
        <w:t>TM</w:t>
      </w:r>
      <w:r>
        <w:rPr>
          <w:rFonts w:ascii="Arial" w:cs="Arial" w:eastAsia="Arial" w:hAnsi="Arial"/>
          <w:sz w:val="18"/>
          <w:szCs w:val="18"/>
          <w:color w:val="auto"/>
        </w:rPr>
        <w:t xml:space="preserve"> tool in combination with the Company’s proprietary motor bearing assembly, and dissolvable plugs, as well as approximately $3.0 of growth from the addition of Tecton flowback and testing revenues. The Company has also built on its differentiation in technology and efficiency by having completed the roll out of greaseless wireline and a fully addressable plug and play disposable gun system in the Rocky Mountains segment. Operating earnings and operating margin were approximately $8.7 and 13.7%, increases of 64.2% and 260 basis points, respectively, as compared to the prior year period.</w:t>
      </w:r>
    </w:p>
    <w:p>
      <w:pPr>
        <w:spacing w:after="0" w:line="194" w:lineRule="exact"/>
        <w:rPr>
          <w:sz w:val="20"/>
          <w:szCs w:val="20"/>
          <w:color w:val="auto"/>
        </w:rPr>
      </w:pPr>
    </w:p>
    <w:p>
      <w:pPr>
        <w:ind w:firstLine="648"/>
        <w:spacing w:after="0" w:line="237" w:lineRule="auto"/>
        <w:rPr>
          <w:sz w:val="20"/>
          <w:szCs w:val="20"/>
          <w:color w:val="auto"/>
        </w:rPr>
      </w:pPr>
      <w:r>
        <w:rPr>
          <w:rFonts w:ascii="Arial" w:cs="Arial" w:eastAsia="Arial" w:hAnsi="Arial"/>
          <w:sz w:val="18"/>
          <w:szCs w:val="18"/>
          <w:color w:val="auto"/>
        </w:rPr>
        <w:t>Second quarter ended July 31, 2019 Northeast/Mid-Con segment revenues of $48.1 increased by approximately 63.1% driven by a significant increase in the number of customers served, improved adoption rates of proprietary tools and the March 2019 acquisition of Red Bone. The contribution to second quarter growth from the addition of Red Bone revenues was substantially offset by flooding and tornadoes in May and June in the Mid-Con, which resulted in six weeks of substantially reduced activity. Operating efficiency and operating earnings were severely impacted by the near stoppage in activity by several of our customers due to the severe flooding, and as a result, operating margin was a depressed 8.1%.</w:t>
      </w:r>
    </w:p>
    <w:p>
      <w:pPr>
        <w:spacing w:after="0" w:line="190" w:lineRule="exact"/>
        <w:rPr>
          <w:sz w:val="20"/>
          <w:szCs w:val="20"/>
          <w:color w:val="auto"/>
        </w:rPr>
      </w:pPr>
    </w:p>
    <w:p>
      <w:pPr>
        <w:ind w:right="80" w:firstLine="648"/>
        <w:spacing w:after="0" w:line="236" w:lineRule="auto"/>
        <w:rPr>
          <w:sz w:val="20"/>
          <w:szCs w:val="20"/>
          <w:color w:val="auto"/>
        </w:rPr>
      </w:pPr>
      <w:r>
        <w:rPr>
          <w:rFonts w:ascii="Arial" w:cs="Arial" w:eastAsia="Arial" w:hAnsi="Arial"/>
          <w:sz w:val="18"/>
          <w:szCs w:val="18"/>
          <w:color w:val="auto"/>
        </w:rPr>
        <w:t>For the quarter ended July 31, 2019, Southwest segment revenues of $53.3 increased 31.3% driven primarily by the acquisition of Motley in the fourth quarter of 2018 as well as an increase in the number of customers served, both of which were partially offset by lower activity levels by certain of its customers and low utilization of wireline assets as the Company chose not to deploy these assets at prices being offered. The Southwest segment is also incurring the additional cost of rolling out flowback and testing services and rolling out greaseless wireline and a fully addressable plug and play disposable gun system in the Permian that has already been successfully rolled out in the Rocky Mountains segment. The Southwest segment also continues to incur costs to support the rollout of the coiled tubing PSL in both the Northeast/Mid-Con and the Rocky Mountains segments. Operating loss was $1.6 for the three months ended July 31, 2019.</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40" w:right="1419" w:bottom="1440" w:gutter="0" w:footer="0" w:header="0"/>
        </w:sectPr>
      </w:pPr>
    </w:p>
    <w:bookmarkStart w:id="23" w:name="page24"/>
    <w:bookmarkEnd w:id="2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SIX MONTHS ENDED JULY 31, 2019</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COMPARED TO SIX MONTHS ENDED JULY 31, 2018</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summary of revenues by segment:</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4"/>
          </w:tcPr>
          <w:p>
            <w:pPr>
              <w:jc w:val="right"/>
              <w:ind w:right="79"/>
              <w:spacing w:after="0"/>
              <w:rPr>
                <w:sz w:val="20"/>
                <w:szCs w:val="20"/>
                <w:color w:val="auto"/>
              </w:rPr>
            </w:pPr>
            <w:r>
              <w:rPr>
                <w:rFonts w:ascii="Arial" w:cs="Arial" w:eastAsia="Arial" w:hAnsi="Arial"/>
                <w:sz w:val="16"/>
                <w:szCs w:val="16"/>
                <w:b w:val="1"/>
                <w:bCs w:val="1"/>
                <w:color w:val="auto"/>
              </w:rPr>
              <w:t>Six Months Ended</w:t>
            </w:r>
          </w:p>
        </w:tc>
        <w:tc>
          <w:tcPr>
            <w:tcW w:w="200" w:type="dxa"/>
            <w:vAlign w:val="bottom"/>
          </w:tcPr>
          <w:p>
            <w:pPr>
              <w:spacing w:after="0"/>
              <w:rPr>
                <w:sz w:val="18"/>
                <w:szCs w:val="18"/>
                <w:color w:val="auto"/>
              </w:rPr>
            </w:pPr>
          </w:p>
        </w:tc>
        <w:tc>
          <w:tcPr>
            <w:tcW w:w="88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rPr>
              <w:t>Percent</w:t>
            </w:r>
          </w:p>
        </w:tc>
        <w:tc>
          <w:tcPr>
            <w:tcW w:w="0" w:type="dxa"/>
            <w:vAlign w:val="bottom"/>
          </w:tcPr>
          <w:p>
            <w:pPr>
              <w:spacing w:after="0"/>
              <w:rPr>
                <w:sz w:val="1"/>
                <w:szCs w:val="1"/>
                <w:color w:val="auto"/>
              </w:rPr>
            </w:pPr>
          </w:p>
        </w:tc>
      </w:tr>
      <w:tr>
        <w:trPr>
          <w:trHeight w:val="164"/>
        </w:trPr>
        <w:tc>
          <w:tcPr>
            <w:tcW w:w="382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980" w:type="dxa"/>
            <w:vAlign w:val="bottom"/>
            <w:gridSpan w:val="3"/>
          </w:tcPr>
          <w:p>
            <w:pPr>
              <w:ind w:left="80"/>
              <w:spacing w:after="0" w:line="165" w:lineRule="exact"/>
              <w:rPr>
                <w:sz w:val="20"/>
                <w:szCs w:val="20"/>
                <w:color w:val="auto"/>
              </w:rPr>
            </w:pPr>
            <w:r>
              <w:rPr>
                <w:rFonts w:ascii="Arial" w:cs="Arial" w:eastAsia="Arial" w:hAnsi="Arial"/>
                <w:sz w:val="16"/>
                <w:szCs w:val="16"/>
                <w:b w:val="1"/>
                <w:bCs w:val="1"/>
                <w:color w:val="auto"/>
              </w:rPr>
              <w:t>July 31,</w:t>
            </w:r>
          </w:p>
        </w:tc>
        <w:tc>
          <w:tcPr>
            <w:tcW w:w="740" w:type="dxa"/>
            <w:vAlign w:val="bottom"/>
            <w:gridSpan w:val="2"/>
          </w:tcPr>
          <w:p>
            <w:pPr>
              <w:jc w:val="right"/>
              <w:ind w:right="19"/>
              <w:spacing w:after="0" w:line="165" w:lineRule="exact"/>
              <w:rPr>
                <w:sz w:val="20"/>
                <w:szCs w:val="20"/>
                <w:color w:val="auto"/>
              </w:rPr>
            </w:pPr>
            <w:r>
              <w:rPr>
                <w:rFonts w:ascii="Arial" w:cs="Arial" w:eastAsia="Arial" w:hAnsi="Arial"/>
                <w:sz w:val="16"/>
                <w:szCs w:val="16"/>
                <w:b w:val="1"/>
                <w:bCs w:val="1"/>
                <w:color w:val="auto"/>
              </w:rPr>
              <w:t>July 31,</w:t>
            </w:r>
          </w:p>
        </w:tc>
        <w:tc>
          <w:tcPr>
            <w:tcW w:w="20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3820" w:type="dxa"/>
            <w:vAlign w:val="bottom"/>
            <w:tcBorders>
              <w:bottom w:val="single" w:sz="8" w:color="CCEEFF"/>
            </w:tcBorders>
          </w:tcPr>
          <w:p>
            <w:pPr>
              <w:spacing w:after="0"/>
              <w:rPr>
                <w:sz w:val="18"/>
                <w:szCs w:val="18"/>
                <w:color w:val="auto"/>
              </w:rPr>
            </w:pPr>
          </w:p>
        </w:tc>
        <w:tc>
          <w:tcPr>
            <w:tcW w:w="24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2019</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2018</w:t>
            </w:r>
          </w:p>
        </w:tc>
        <w:tc>
          <w:tcPr>
            <w:tcW w:w="20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183"/>
        </w:trPr>
        <w:tc>
          <w:tcPr>
            <w:tcW w:w="382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Southwest</w:t>
            </w:r>
          </w:p>
        </w:tc>
        <w:tc>
          <w:tcPr>
            <w:tcW w:w="2580" w:type="dxa"/>
            <w:vAlign w:val="bottom"/>
            <w:gridSpan w:val="2"/>
            <w:shd w:val="clear" w:color="auto" w:fill="CCEEFF"/>
          </w:tcPr>
          <w:p>
            <w:pPr>
              <w:jc w:val="right"/>
              <w:spacing w:after="0" w:line="183" w:lineRule="exact"/>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111.3</w:t>
            </w: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w w:val="89"/>
              </w:rPr>
              <w:t>$</w:t>
            </w:r>
          </w:p>
        </w:tc>
        <w:tc>
          <w:tcPr>
            <w:tcW w:w="60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80.4</w:t>
            </w:r>
          </w:p>
        </w:tc>
        <w:tc>
          <w:tcPr>
            <w:tcW w:w="1080" w:type="dxa"/>
            <w:vAlign w:val="bottom"/>
            <w:gridSpan w:val="2"/>
            <w:shd w:val="clear" w:color="auto" w:fill="CCEEFF"/>
          </w:tcPr>
          <w:p>
            <w:pPr>
              <w:jc w:val="right"/>
              <w:spacing w:after="0" w:line="183" w:lineRule="exact"/>
              <w:rPr>
                <w:sz w:val="20"/>
                <w:szCs w:val="20"/>
                <w:color w:val="auto"/>
              </w:rPr>
            </w:pPr>
            <w:r>
              <w:rPr>
                <w:rFonts w:ascii="Arial" w:cs="Arial" w:eastAsia="Arial" w:hAnsi="Arial"/>
                <w:sz w:val="16"/>
                <w:szCs w:val="16"/>
                <w:color w:val="auto"/>
              </w:rPr>
              <w:t>38.4 %</w:t>
            </w:r>
          </w:p>
        </w:tc>
        <w:tc>
          <w:tcPr>
            <w:tcW w:w="0" w:type="dxa"/>
            <w:vAlign w:val="bottom"/>
          </w:tcPr>
          <w:p>
            <w:pPr>
              <w:spacing w:after="0"/>
              <w:rPr>
                <w:sz w:val="1"/>
                <w:szCs w:val="1"/>
                <w:color w:val="auto"/>
              </w:rPr>
            </w:pPr>
          </w:p>
        </w:tc>
      </w:tr>
      <w:tr>
        <w:trPr>
          <w:trHeight w:val="189"/>
        </w:trPr>
        <w:tc>
          <w:tcPr>
            <w:tcW w:w="3820" w:type="dxa"/>
            <w:vAlign w:val="bottom"/>
          </w:tcPr>
          <w:p>
            <w:pPr>
              <w:spacing w:after="0"/>
              <w:rPr>
                <w:sz w:val="20"/>
                <w:szCs w:val="20"/>
                <w:color w:val="auto"/>
              </w:rPr>
            </w:pPr>
            <w:r>
              <w:rPr>
                <w:rFonts w:ascii="Arial" w:cs="Arial" w:eastAsia="Arial" w:hAnsi="Arial"/>
                <w:sz w:val="16"/>
                <w:szCs w:val="16"/>
                <w:color w:val="auto"/>
              </w:rPr>
              <w:t>Rocky Mountains</w:t>
            </w:r>
          </w:p>
        </w:tc>
        <w:tc>
          <w:tcPr>
            <w:tcW w:w="2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112.1</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88.0</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27.4 %</w:t>
            </w:r>
          </w:p>
        </w:tc>
        <w:tc>
          <w:tcPr>
            <w:tcW w:w="0" w:type="dxa"/>
            <w:vAlign w:val="bottom"/>
          </w:tcPr>
          <w:p>
            <w:pPr>
              <w:spacing w:after="0"/>
              <w:rPr>
                <w:sz w:val="1"/>
                <w:szCs w:val="1"/>
                <w:color w:val="auto"/>
              </w:rPr>
            </w:pPr>
          </w:p>
        </w:tc>
      </w:tr>
      <w:tr>
        <w:trPr>
          <w:trHeight w:val="189"/>
        </w:trPr>
        <w:tc>
          <w:tcPr>
            <w:tcW w:w="3820" w:type="dxa"/>
            <w:vAlign w:val="bottom"/>
            <w:shd w:val="clear" w:color="auto" w:fill="CCEEFF"/>
          </w:tcPr>
          <w:p>
            <w:pPr>
              <w:spacing w:after="0"/>
              <w:rPr>
                <w:sz w:val="20"/>
                <w:szCs w:val="20"/>
                <w:color w:val="auto"/>
              </w:rPr>
            </w:pPr>
            <w:r>
              <w:rPr>
                <w:rFonts w:ascii="Arial" w:cs="Arial" w:eastAsia="Arial" w:hAnsi="Arial"/>
                <w:sz w:val="16"/>
                <w:szCs w:val="16"/>
                <w:color w:val="auto"/>
              </w:rPr>
              <w:t>Northeast/Mid-Con</w:t>
            </w:r>
          </w:p>
        </w:tc>
        <w:tc>
          <w:tcPr>
            <w:tcW w:w="244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87.3</w:t>
            </w:r>
          </w:p>
        </w:tc>
        <w:tc>
          <w:tcPr>
            <w:tcW w:w="2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59.8</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46.0 %</w:t>
            </w:r>
          </w:p>
        </w:tc>
        <w:tc>
          <w:tcPr>
            <w:tcW w:w="0" w:type="dxa"/>
            <w:vAlign w:val="bottom"/>
          </w:tcPr>
          <w:p>
            <w:pPr>
              <w:spacing w:after="0"/>
              <w:rPr>
                <w:sz w:val="1"/>
                <w:szCs w:val="1"/>
                <w:color w:val="auto"/>
              </w:rPr>
            </w:pPr>
          </w:p>
        </w:tc>
      </w:tr>
      <w:tr>
        <w:trPr>
          <w:trHeight w:val="190"/>
        </w:trPr>
        <w:tc>
          <w:tcPr>
            <w:tcW w:w="3820" w:type="dxa"/>
            <w:vAlign w:val="bottom"/>
          </w:tcPr>
          <w:p>
            <w:pPr>
              <w:spacing w:after="0" w:line="183" w:lineRule="exact"/>
              <w:rPr>
                <w:sz w:val="20"/>
                <w:szCs w:val="20"/>
                <w:color w:val="auto"/>
              </w:rPr>
            </w:pPr>
            <w:r>
              <w:rPr>
                <w:rFonts w:ascii="Arial" w:cs="Arial" w:eastAsia="Arial" w:hAnsi="Arial"/>
                <w:sz w:val="16"/>
                <w:szCs w:val="16"/>
                <w:color w:val="auto"/>
              </w:rPr>
              <w:t>Total revenues</w:t>
            </w:r>
          </w:p>
        </w:tc>
        <w:tc>
          <w:tcPr>
            <w:tcW w:w="2440" w:type="dxa"/>
            <w:vAlign w:val="bottom"/>
          </w:tcPr>
          <w:p>
            <w:pPr>
              <w:spacing w:after="0"/>
              <w:rPr>
                <w:sz w:val="16"/>
                <w:szCs w:val="16"/>
                <w:color w:val="auto"/>
              </w:rPr>
            </w:pPr>
          </w:p>
        </w:tc>
        <w:tc>
          <w:tcPr>
            <w:tcW w:w="1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310.7</w:t>
            </w:r>
          </w:p>
        </w:tc>
        <w:tc>
          <w:tcPr>
            <w:tcW w:w="200" w:type="dxa"/>
            <w:vAlign w:val="bottom"/>
          </w:tcPr>
          <w:p>
            <w:pPr>
              <w:spacing w:after="0"/>
              <w:rPr>
                <w:sz w:val="16"/>
                <w:szCs w:val="16"/>
                <w:color w:val="auto"/>
              </w:rPr>
            </w:pPr>
          </w:p>
        </w:tc>
        <w:tc>
          <w:tcPr>
            <w:tcW w:w="1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228.2</w:t>
            </w:r>
          </w:p>
        </w:tc>
        <w:tc>
          <w:tcPr>
            <w:tcW w:w="1080" w:type="dxa"/>
            <w:vAlign w:val="bottom"/>
            <w:gridSpan w:val="2"/>
          </w:tcPr>
          <w:p>
            <w:pPr>
              <w:jc w:val="right"/>
              <w:spacing w:after="0" w:line="183" w:lineRule="exact"/>
              <w:rPr>
                <w:sz w:val="20"/>
                <w:szCs w:val="20"/>
                <w:color w:val="auto"/>
              </w:rPr>
            </w:pPr>
            <w:r>
              <w:rPr>
                <w:rFonts w:ascii="Arial" w:cs="Arial" w:eastAsia="Arial" w:hAnsi="Arial"/>
                <w:sz w:val="16"/>
                <w:szCs w:val="16"/>
                <w:color w:val="auto"/>
              </w:rPr>
              <w:t>36.2 %</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40" w:firstLine="648"/>
        <w:spacing w:after="0" w:line="251" w:lineRule="auto"/>
        <w:rPr>
          <w:sz w:val="20"/>
          <w:szCs w:val="20"/>
          <w:color w:val="auto"/>
        </w:rPr>
      </w:pPr>
      <w:r>
        <w:rPr>
          <w:rFonts w:ascii="Arial" w:cs="Arial" w:eastAsia="Arial" w:hAnsi="Arial"/>
          <w:sz w:val="17"/>
          <w:szCs w:val="17"/>
          <w:color w:val="auto"/>
        </w:rPr>
        <w:t>For the six months ended July 31, 2019, revenues of $310.7 increased $ 82.5, or 36.2%, as compared with the prior year period and reflected the November 2018 acquisition of Motley and March 2019 acquisitions of Tecton and Red Bone, which did not contribute to prior period revenues. Growth reflected a 38.4% increase in Southwest revenues, a 27.4% increase in Rocky Mountains revenues and a 46.0% increase in Northeast/Mid-Con revenues. Revenue growth reflected an increase in the number of customers served, increased activity across substantially all product lines and improved adoption rates of proprietary tools, partially offset by six weeks of reduced activity in the Northeast/Mid-Con segment resulting from flooding and tornadoes as well as lower activity levels in the Southwest due to low utilization of wireline assets the Company chose not to deploy at prices being offered. On a product line basis, completion, intervention and production services revenues increased approximately 52.2%, 17.6% and 19.6%, respectively, as compared to the same period in the prior year.</w:t>
      </w:r>
    </w:p>
    <w:p>
      <w:pPr>
        <w:spacing w:after="0" w:line="184" w:lineRule="exact"/>
        <w:rPr>
          <w:sz w:val="20"/>
          <w:szCs w:val="20"/>
          <w:color w:val="auto"/>
        </w:rPr>
      </w:pPr>
    </w:p>
    <w:p>
      <w:pPr>
        <w:ind w:right="460" w:firstLine="648"/>
        <w:spacing w:after="0" w:line="237" w:lineRule="auto"/>
        <w:rPr>
          <w:sz w:val="20"/>
          <w:szCs w:val="20"/>
          <w:color w:val="auto"/>
        </w:rPr>
      </w:pPr>
      <w:r>
        <w:rPr>
          <w:rFonts w:ascii="Arial" w:cs="Arial" w:eastAsia="Arial" w:hAnsi="Arial"/>
          <w:sz w:val="18"/>
          <w:szCs w:val="18"/>
          <w:color w:val="auto"/>
        </w:rPr>
        <w:t>Cost of sales for the period was $248.3, or 79.9% of sales, as compared to the prior year period of $167.7, or 73.5% of sales. Cost of sales as a percentage of revenues increased by approximately 640 basis points primarily due to the reduced activity in the Northeast/Mid-Con and Southwest segments previously discussed, which was the result of severe weather in the Northeast/Mid-Con segment, and the pricing environment and the roll out of flowback and testing services, the roll out of greaseless wireline services and coiled tubing costs incurred by the Southwest in support of the coiled tubing roll out in the Rockies and Northeast/Mid-Con segments, resulting in higher cost of sales as a percentage of revenues.</w:t>
      </w:r>
    </w:p>
    <w:p>
      <w:pPr>
        <w:spacing w:after="0" w:line="190" w:lineRule="exact"/>
        <w:rPr>
          <w:sz w:val="20"/>
          <w:szCs w:val="20"/>
          <w:color w:val="auto"/>
        </w:rPr>
      </w:pPr>
    </w:p>
    <w:p>
      <w:pPr>
        <w:ind w:right="180" w:firstLine="648"/>
        <w:spacing w:after="0" w:line="239" w:lineRule="auto"/>
        <w:rPr>
          <w:sz w:val="20"/>
          <w:szCs w:val="20"/>
          <w:color w:val="auto"/>
        </w:rPr>
      </w:pPr>
      <w:r>
        <w:rPr>
          <w:rFonts w:ascii="Arial" w:cs="Arial" w:eastAsia="Arial" w:hAnsi="Arial"/>
          <w:sz w:val="18"/>
          <w:szCs w:val="18"/>
          <w:color w:val="auto"/>
        </w:rPr>
        <w:t>Selling, general and administrative (“SG&amp;A”) expenses during the six months ended July 31, 2019 were $47.5, or 15.3% of revenues, as compared with $39.7, or 17.4% of revenues, in the prior year period. Research and development costs for the period were $1.5 reflecting our continued focus on in-house research and development to deploy new specialized and proprietary tools and equipment.</w:t>
      </w:r>
    </w:p>
    <w:p>
      <w:pPr>
        <w:spacing w:after="0" w:line="188" w:lineRule="exact"/>
        <w:rPr>
          <w:sz w:val="20"/>
          <w:szCs w:val="20"/>
          <w:color w:val="auto"/>
        </w:rPr>
      </w:pPr>
    </w:p>
    <w:p>
      <w:pPr>
        <w:ind w:right="60" w:firstLine="648"/>
        <w:spacing w:after="0" w:line="237" w:lineRule="auto"/>
        <w:rPr>
          <w:sz w:val="20"/>
          <w:szCs w:val="20"/>
          <w:color w:val="auto"/>
        </w:rPr>
      </w:pPr>
      <w:r>
        <w:rPr>
          <w:rFonts w:ascii="Arial" w:cs="Arial" w:eastAsia="Arial" w:hAnsi="Arial"/>
          <w:sz w:val="18"/>
          <w:szCs w:val="18"/>
          <w:color w:val="auto"/>
        </w:rPr>
        <w:t>Operating earnings and operating margin were $13.4 and 4.3%, respectively. Operating earnings decreased 31.3% as compared to the prior year period. As previously discussed, operating earnings and margins were negatively impacted by the six weeks of substantially reduced activity in the Northeast/Mid-Con segment, and the Southwest segment was impacted by low utilization of wireline assets as well as the startup costs associated with the roll out of flowback and testing services, greaseless wireline services and the expansion of the coiled tubing PSL in the Northeast/Mid-Con and Rocky Mountains segments.</w:t>
      </w:r>
    </w:p>
    <w:p>
      <w:pPr>
        <w:spacing w:after="0" w:line="192" w:lineRule="exact"/>
        <w:rPr>
          <w:sz w:val="20"/>
          <w:szCs w:val="20"/>
          <w:color w:val="auto"/>
        </w:rPr>
      </w:pPr>
    </w:p>
    <w:p>
      <w:pPr>
        <w:ind w:right="60" w:firstLine="648"/>
        <w:spacing w:after="0" w:line="238" w:lineRule="auto"/>
        <w:rPr>
          <w:sz w:val="20"/>
          <w:szCs w:val="20"/>
          <w:color w:val="auto"/>
        </w:rPr>
      </w:pPr>
      <w:r>
        <w:rPr>
          <w:rFonts w:ascii="Arial" w:cs="Arial" w:eastAsia="Arial" w:hAnsi="Arial"/>
          <w:sz w:val="18"/>
          <w:szCs w:val="18"/>
          <w:color w:val="auto"/>
        </w:rPr>
        <w:t>Income tax expense was $ 0.4 for the six months ended July 31, 2019 and was comprised primarily of state and local taxes, compared to $0.1 in the prior year period. Due to the fact that the Company has a valuation allowance against its deferred tax balances, it was unable to recognize a tax benefit on its year to date losses. The Company has established a valuation allowance against the majority of its deferred tax balances with a net deferred tax liability remaining related to the recent acquisitions.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40" w:right="1419" w:bottom="1440" w:gutter="0" w:footer="0" w:header="0"/>
        </w:sectPr>
      </w:pPr>
    </w:p>
    <w:bookmarkStart w:id="24" w:name="page25"/>
    <w:bookmarkEnd w:id="2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35" w:lineRule="exact"/>
        <w:rPr>
          <w:sz w:val="20"/>
          <w:szCs w:val="20"/>
          <w:color w:val="auto"/>
        </w:rPr>
      </w:pPr>
    </w:p>
    <w:p>
      <w:pPr>
        <w:ind w:right="80" w:firstLine="648"/>
        <w:spacing w:after="0"/>
        <w:rPr>
          <w:sz w:val="20"/>
          <w:szCs w:val="20"/>
          <w:color w:val="auto"/>
        </w:rPr>
      </w:pPr>
      <w:r>
        <w:rPr>
          <w:rFonts w:ascii="Arial" w:cs="Arial" w:eastAsia="Arial" w:hAnsi="Arial"/>
          <w:sz w:val="18"/>
          <w:szCs w:val="18"/>
          <w:color w:val="auto"/>
        </w:rPr>
        <w:t>Net loss for the six months ended July 31, 2019 was $1.5 as compared to net earnings of $19.4 in the prior year period for the reasons mentioned above and $14.5 of interest expense in the current period associated with the Company’s Notes.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summary of operating earnings (loss) by segment:</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0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4"/>
          </w:tcPr>
          <w:p>
            <w:pPr>
              <w:jc w:val="right"/>
              <w:ind w:right="79"/>
              <w:spacing w:after="0"/>
              <w:rPr>
                <w:sz w:val="20"/>
                <w:szCs w:val="20"/>
                <w:color w:val="auto"/>
              </w:rPr>
            </w:pPr>
            <w:r>
              <w:rPr>
                <w:rFonts w:ascii="Arial" w:cs="Arial" w:eastAsia="Arial" w:hAnsi="Arial"/>
                <w:sz w:val="16"/>
                <w:szCs w:val="16"/>
                <w:b w:val="1"/>
                <w:bCs w:val="1"/>
                <w:color w:val="auto"/>
              </w:rPr>
              <w:t>Six Months Ended</w:t>
            </w:r>
          </w:p>
        </w:tc>
        <w:tc>
          <w:tcPr>
            <w:tcW w:w="200" w:type="dxa"/>
            <w:vAlign w:val="bottom"/>
          </w:tcPr>
          <w:p>
            <w:pPr>
              <w:spacing w:after="0"/>
              <w:rPr>
                <w:sz w:val="18"/>
                <w:szCs w:val="18"/>
                <w:color w:val="auto"/>
              </w:rPr>
            </w:pPr>
          </w:p>
        </w:tc>
        <w:tc>
          <w:tcPr>
            <w:tcW w:w="88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rPr>
              <w:t>Percent</w:t>
            </w:r>
          </w:p>
        </w:tc>
        <w:tc>
          <w:tcPr>
            <w:tcW w:w="0" w:type="dxa"/>
            <w:vAlign w:val="bottom"/>
          </w:tcPr>
          <w:p>
            <w:pPr>
              <w:spacing w:after="0"/>
              <w:rPr>
                <w:sz w:val="1"/>
                <w:szCs w:val="1"/>
                <w:color w:val="auto"/>
              </w:rPr>
            </w:pPr>
          </w:p>
        </w:tc>
      </w:tr>
      <w:tr>
        <w:trPr>
          <w:trHeight w:val="164"/>
        </w:trPr>
        <w:tc>
          <w:tcPr>
            <w:tcW w:w="400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980" w:type="dxa"/>
            <w:vAlign w:val="bottom"/>
            <w:gridSpan w:val="3"/>
          </w:tcPr>
          <w:p>
            <w:pPr>
              <w:ind w:left="80"/>
              <w:spacing w:after="0" w:line="165" w:lineRule="exact"/>
              <w:rPr>
                <w:sz w:val="20"/>
                <w:szCs w:val="20"/>
                <w:color w:val="auto"/>
              </w:rPr>
            </w:pPr>
            <w:r>
              <w:rPr>
                <w:rFonts w:ascii="Arial" w:cs="Arial" w:eastAsia="Arial" w:hAnsi="Arial"/>
                <w:sz w:val="16"/>
                <w:szCs w:val="16"/>
                <w:b w:val="1"/>
                <w:bCs w:val="1"/>
                <w:color w:val="auto"/>
              </w:rPr>
              <w:t>July 31,</w:t>
            </w:r>
          </w:p>
        </w:tc>
        <w:tc>
          <w:tcPr>
            <w:tcW w:w="740" w:type="dxa"/>
            <w:vAlign w:val="bottom"/>
            <w:gridSpan w:val="2"/>
          </w:tcPr>
          <w:p>
            <w:pPr>
              <w:jc w:val="right"/>
              <w:ind w:right="19"/>
              <w:spacing w:after="0" w:line="165" w:lineRule="exact"/>
              <w:rPr>
                <w:sz w:val="20"/>
                <w:szCs w:val="20"/>
                <w:color w:val="auto"/>
              </w:rPr>
            </w:pPr>
            <w:r>
              <w:rPr>
                <w:rFonts w:ascii="Arial" w:cs="Arial" w:eastAsia="Arial" w:hAnsi="Arial"/>
                <w:sz w:val="16"/>
                <w:szCs w:val="16"/>
                <w:b w:val="1"/>
                <w:bCs w:val="1"/>
                <w:color w:val="auto"/>
              </w:rPr>
              <w:t>July 31,</w:t>
            </w:r>
          </w:p>
        </w:tc>
        <w:tc>
          <w:tcPr>
            <w:tcW w:w="20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4000" w:type="dxa"/>
            <w:vAlign w:val="bottom"/>
            <w:tcBorders>
              <w:bottom w:val="single" w:sz="8" w:color="CCEEFF"/>
            </w:tcBorders>
          </w:tcPr>
          <w:p>
            <w:pPr>
              <w:spacing w:after="0"/>
              <w:rPr>
                <w:sz w:val="18"/>
                <w:szCs w:val="18"/>
                <w:color w:val="auto"/>
              </w:rPr>
            </w:pPr>
          </w:p>
        </w:tc>
        <w:tc>
          <w:tcPr>
            <w:tcW w:w="22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2019</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2018</w:t>
            </w:r>
          </w:p>
        </w:tc>
        <w:tc>
          <w:tcPr>
            <w:tcW w:w="20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183"/>
        </w:trPr>
        <w:tc>
          <w:tcPr>
            <w:tcW w:w="400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Southwest</w:t>
            </w:r>
          </w:p>
        </w:tc>
        <w:tc>
          <w:tcPr>
            <w:tcW w:w="2400" w:type="dxa"/>
            <w:vAlign w:val="bottom"/>
            <w:gridSpan w:val="2"/>
            <w:shd w:val="clear" w:color="auto" w:fill="CCEEFF"/>
          </w:tcPr>
          <w:p>
            <w:pPr>
              <w:jc w:val="right"/>
              <w:spacing w:after="0" w:line="183" w:lineRule="exact"/>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(5.6)</w:t>
            </w: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w w:val="89"/>
              </w:rPr>
              <w:t>$</w:t>
            </w:r>
          </w:p>
        </w:tc>
        <w:tc>
          <w:tcPr>
            <w:tcW w:w="60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5.2</w:t>
            </w:r>
          </w:p>
        </w:tc>
        <w:tc>
          <w:tcPr>
            <w:tcW w:w="1080" w:type="dxa"/>
            <w:vAlign w:val="bottom"/>
            <w:gridSpan w:val="2"/>
            <w:shd w:val="clear" w:color="auto" w:fill="CCEEFF"/>
          </w:tcPr>
          <w:p>
            <w:pPr>
              <w:jc w:val="right"/>
              <w:spacing w:after="0" w:line="183" w:lineRule="exact"/>
              <w:rPr>
                <w:sz w:val="20"/>
                <w:szCs w:val="20"/>
                <w:color w:val="auto"/>
              </w:rPr>
            </w:pPr>
            <w:r>
              <w:rPr>
                <w:rFonts w:ascii="Arial" w:cs="Arial" w:eastAsia="Arial" w:hAnsi="Arial"/>
                <w:sz w:val="16"/>
                <w:szCs w:val="16"/>
                <w:color w:val="auto"/>
              </w:rPr>
              <w:t>(207.7)%</w:t>
            </w:r>
          </w:p>
        </w:tc>
        <w:tc>
          <w:tcPr>
            <w:tcW w:w="0" w:type="dxa"/>
            <w:vAlign w:val="bottom"/>
          </w:tcPr>
          <w:p>
            <w:pPr>
              <w:spacing w:after="0"/>
              <w:rPr>
                <w:sz w:val="1"/>
                <w:szCs w:val="1"/>
                <w:color w:val="auto"/>
              </w:rPr>
            </w:pPr>
          </w:p>
        </w:tc>
      </w:tr>
      <w:tr>
        <w:trPr>
          <w:trHeight w:val="189"/>
        </w:trPr>
        <w:tc>
          <w:tcPr>
            <w:tcW w:w="4000" w:type="dxa"/>
            <w:vAlign w:val="bottom"/>
          </w:tcPr>
          <w:p>
            <w:pPr>
              <w:spacing w:after="0"/>
              <w:rPr>
                <w:sz w:val="20"/>
                <w:szCs w:val="20"/>
                <w:color w:val="auto"/>
              </w:rPr>
            </w:pPr>
            <w:r>
              <w:rPr>
                <w:rFonts w:ascii="Arial" w:cs="Arial" w:eastAsia="Arial" w:hAnsi="Arial"/>
                <w:sz w:val="16"/>
                <w:szCs w:val="16"/>
                <w:color w:val="auto"/>
              </w:rPr>
              <w:t>Rocky Mountains</w:t>
            </w:r>
          </w:p>
        </w:tc>
        <w:tc>
          <w:tcPr>
            <w:tcW w:w="2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11.6</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6.5</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78.5 %</w:t>
            </w:r>
          </w:p>
        </w:tc>
        <w:tc>
          <w:tcPr>
            <w:tcW w:w="0" w:type="dxa"/>
            <w:vAlign w:val="bottom"/>
          </w:tcPr>
          <w:p>
            <w:pPr>
              <w:spacing w:after="0"/>
              <w:rPr>
                <w:sz w:val="1"/>
                <w:szCs w:val="1"/>
                <w:color w:val="auto"/>
              </w:rPr>
            </w:pPr>
          </w:p>
        </w:tc>
      </w:tr>
      <w:tr>
        <w:trPr>
          <w:trHeight w:val="189"/>
        </w:trPr>
        <w:tc>
          <w:tcPr>
            <w:tcW w:w="4000" w:type="dxa"/>
            <w:vAlign w:val="bottom"/>
            <w:shd w:val="clear" w:color="auto" w:fill="CCEEFF"/>
          </w:tcPr>
          <w:p>
            <w:pPr>
              <w:spacing w:after="0"/>
              <w:rPr>
                <w:sz w:val="20"/>
                <w:szCs w:val="20"/>
                <w:color w:val="auto"/>
              </w:rPr>
            </w:pPr>
            <w:r>
              <w:rPr>
                <w:rFonts w:ascii="Arial" w:cs="Arial" w:eastAsia="Arial" w:hAnsi="Arial"/>
                <w:sz w:val="16"/>
                <w:szCs w:val="16"/>
                <w:color w:val="auto"/>
              </w:rPr>
              <w:t>Northeast/Mid-Con</w:t>
            </w:r>
          </w:p>
        </w:tc>
        <w:tc>
          <w:tcPr>
            <w:tcW w:w="226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w:t>
            </w:r>
          </w:p>
        </w:tc>
        <w:tc>
          <w:tcPr>
            <w:tcW w:w="2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0" w:type="dxa"/>
            <w:vAlign w:val="bottom"/>
          </w:tcPr>
          <w:p>
            <w:pPr>
              <w:spacing w:after="0"/>
              <w:rPr>
                <w:sz w:val="1"/>
                <w:szCs w:val="1"/>
                <w:color w:val="auto"/>
              </w:rPr>
            </w:pPr>
          </w:p>
        </w:tc>
      </w:tr>
      <w:tr>
        <w:trPr>
          <w:trHeight w:val="190"/>
        </w:trPr>
        <w:tc>
          <w:tcPr>
            <w:tcW w:w="4000" w:type="dxa"/>
            <w:vAlign w:val="bottom"/>
          </w:tcPr>
          <w:p>
            <w:pPr>
              <w:spacing w:after="0" w:line="183" w:lineRule="exact"/>
              <w:rPr>
                <w:sz w:val="20"/>
                <w:szCs w:val="20"/>
                <w:color w:val="auto"/>
              </w:rPr>
            </w:pPr>
            <w:r>
              <w:rPr>
                <w:rFonts w:ascii="Arial" w:cs="Arial" w:eastAsia="Arial" w:hAnsi="Arial"/>
                <w:sz w:val="16"/>
                <w:szCs w:val="16"/>
                <w:color w:val="auto"/>
              </w:rPr>
              <w:t>Total operating earnings</w:t>
            </w:r>
          </w:p>
        </w:tc>
        <w:tc>
          <w:tcPr>
            <w:tcW w:w="2260" w:type="dxa"/>
            <w:vAlign w:val="bottom"/>
          </w:tcPr>
          <w:p>
            <w:pPr>
              <w:spacing w:after="0"/>
              <w:rPr>
                <w:sz w:val="16"/>
                <w:szCs w:val="16"/>
                <w:color w:val="auto"/>
              </w:rPr>
            </w:pPr>
          </w:p>
        </w:tc>
        <w:tc>
          <w:tcPr>
            <w:tcW w:w="1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13.4</w:t>
            </w:r>
          </w:p>
        </w:tc>
        <w:tc>
          <w:tcPr>
            <w:tcW w:w="200" w:type="dxa"/>
            <w:vAlign w:val="bottom"/>
          </w:tcPr>
          <w:p>
            <w:pPr>
              <w:spacing w:after="0"/>
              <w:rPr>
                <w:sz w:val="16"/>
                <w:szCs w:val="16"/>
                <w:color w:val="auto"/>
              </w:rPr>
            </w:pPr>
          </w:p>
        </w:tc>
        <w:tc>
          <w:tcPr>
            <w:tcW w:w="1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19.5</w:t>
            </w:r>
          </w:p>
        </w:tc>
        <w:tc>
          <w:tcPr>
            <w:tcW w:w="1080" w:type="dxa"/>
            <w:vAlign w:val="bottom"/>
            <w:gridSpan w:val="2"/>
          </w:tcPr>
          <w:p>
            <w:pPr>
              <w:jc w:val="right"/>
              <w:spacing w:after="0" w:line="183" w:lineRule="exact"/>
              <w:rPr>
                <w:sz w:val="20"/>
                <w:szCs w:val="20"/>
                <w:color w:val="auto"/>
              </w:rPr>
            </w:pPr>
            <w:r>
              <w:rPr>
                <w:rFonts w:ascii="Arial" w:cs="Arial" w:eastAsia="Arial" w:hAnsi="Arial"/>
                <w:sz w:val="16"/>
                <w:szCs w:val="16"/>
                <w:color w:val="auto"/>
              </w:rPr>
              <w:t>(31.3)%</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40" w:firstLine="648"/>
        <w:spacing w:after="0" w:line="251" w:lineRule="auto"/>
        <w:rPr>
          <w:sz w:val="20"/>
          <w:szCs w:val="20"/>
          <w:color w:val="auto"/>
        </w:rPr>
      </w:pPr>
      <w:r>
        <w:rPr>
          <w:rFonts w:ascii="Arial" w:cs="Arial" w:eastAsia="Arial" w:hAnsi="Arial"/>
          <w:sz w:val="17"/>
          <w:szCs w:val="17"/>
          <w:color w:val="auto"/>
        </w:rPr>
        <w:t>For the six months ended July 31, 2019, Rocky Mountains segment revenues of $112.1 increased by 27.4%, driven by increases in completions, intervention and production of 46.1%, 7.8% and 8.8%, respectively. The Rocky Mountains segment experienced an increase in the number of customers served, increased activity across substantially all product lines, improved adoption rates of recently introduced proprietary tools, including the HydroPull</w:t>
      </w:r>
      <w:r>
        <w:rPr>
          <w:rFonts w:ascii="Arial" w:cs="Arial" w:eastAsia="Arial" w:hAnsi="Arial"/>
          <w:sz w:val="8"/>
          <w:szCs w:val="8"/>
          <w:color w:val="auto"/>
        </w:rPr>
        <w:t>TM</w:t>
      </w:r>
      <w:r>
        <w:rPr>
          <w:rFonts w:ascii="Arial" w:cs="Arial" w:eastAsia="Arial" w:hAnsi="Arial"/>
          <w:sz w:val="17"/>
          <w:szCs w:val="17"/>
          <w:color w:val="auto"/>
        </w:rPr>
        <w:t xml:space="preserve"> tool in combination with the Company’s proprietary motor bearing assembly, and dissolvable plugs. The Company has also built on its differentiation in technology and efficiency by having completed the roll out of greaseless wireline and a fully addressable plug and play disposable gun system in the Rocky Mountains segment. Operating earnings and operating margin were approximately $11.6 and 10.3%, increases of 78.5% and 290 basis points, respectively, as compared to the prior year period reflecting increases in the number of customers served and activity across all product lines as well as improved adoption rates of proprietary tools.</w:t>
      </w:r>
    </w:p>
    <w:p>
      <w:pPr>
        <w:spacing w:after="0" w:line="184" w:lineRule="exact"/>
        <w:rPr>
          <w:sz w:val="20"/>
          <w:szCs w:val="20"/>
          <w:color w:val="auto"/>
        </w:rPr>
      </w:pPr>
    </w:p>
    <w:p>
      <w:pPr>
        <w:ind w:right="20" w:firstLine="648"/>
        <w:spacing w:after="0" w:line="251" w:lineRule="auto"/>
        <w:rPr>
          <w:sz w:val="20"/>
          <w:szCs w:val="20"/>
          <w:color w:val="auto"/>
        </w:rPr>
      </w:pPr>
      <w:r>
        <w:rPr>
          <w:rFonts w:ascii="Arial" w:cs="Arial" w:eastAsia="Arial" w:hAnsi="Arial"/>
          <w:sz w:val="17"/>
          <w:szCs w:val="17"/>
          <w:color w:val="auto"/>
        </w:rPr>
        <w:t>For the six months ended July 31, 2019, Northeast/Mid-Con segment revenues of $87.3 increased by approximately 46.0% driven by increases in completions, intervention and production of 29.0%, 70.5% and 54.5%, respectively. The Northeast/Mid-Con segment experienced a significant increase in the number of customers served, improved adoption rates of proprietary tools and the March 2019 acquisition of Red Bone. The contribution to growth from the addition of Red Bone revenues was substantially offset by flooding and tornadoes in May and June in the Mid-Con, which resulted in six weeks of substantially reduced activity. Operating efficiency and operating earnings were severely impacted by the near stoppage in activity by several of our customers due to the severe flooding, and as a result, operating margin was a depressed 8.5%. Operating earnings and operating margin were approximately $7.4 and 8.5%, reflecting the additional fixed costs resulting from the Red Bone acquisition and negative impact of the six weeks of flooding and tornadoes previously discussed.</w:t>
      </w:r>
    </w:p>
    <w:p>
      <w:pPr>
        <w:spacing w:after="0" w:line="184" w:lineRule="exact"/>
        <w:rPr>
          <w:sz w:val="20"/>
          <w:szCs w:val="20"/>
          <w:color w:val="auto"/>
        </w:rPr>
      </w:pPr>
    </w:p>
    <w:p>
      <w:pPr>
        <w:ind w:right="60" w:firstLine="648"/>
        <w:spacing w:after="0" w:line="236" w:lineRule="auto"/>
        <w:rPr>
          <w:sz w:val="20"/>
          <w:szCs w:val="20"/>
          <w:color w:val="auto"/>
        </w:rPr>
      </w:pPr>
      <w:r>
        <w:rPr>
          <w:rFonts w:ascii="Arial" w:cs="Arial" w:eastAsia="Arial" w:hAnsi="Arial"/>
          <w:sz w:val="18"/>
          <w:szCs w:val="18"/>
          <w:color w:val="auto"/>
        </w:rPr>
        <w:t>For the six months ended July 31, 2019, Southwest segment revenues of $ 111.3 increased 38.4% driven by an increase in completions of 73.5% partially offset by decreases in intervention and production of 9.9% and 1.6%, respectively. The increase in Southwest segment revenues was driven by the Motley acquisition in the fourth quarter of 2018 as well as an increase in the number of customers served, both of which were partially offset by lower activity levels by certain of its customers and low utilization of wireline assets as the Company chose not to deploy these assets at prices being offered. The Southwest segment is also incurring the additional cost of rolling out flowback and testing services and rolling out greaseless wireline and a fully addressable plug and play disposable gun system in the Permian that has already been successfully rolled out in the Rocky Mountains segment. The Southwest segment also continues to incur costs to support the rollout of the coiled tubing PSL in both the Northeast/Mid-Con and the Rocky Mountains segments. Operating loss of $5.6 in the current year reflects the negative impact of lower activity levels by certain of its customers, acquisition and integration costs and the additional fixed costs resulting from the acquisition and deployment of two additional coiled tubing units and low utilization of wireline assets previously discussed.</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40" w:right="1419" w:bottom="1440" w:gutter="0" w:footer="0" w:header="0"/>
        </w:sectPr>
      </w:pPr>
    </w:p>
    <w:bookmarkStart w:id="25" w:name="page26"/>
    <w:bookmarkEnd w:id="2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98"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Current Financial Condition</w:t>
      </w:r>
    </w:p>
    <w:p>
      <w:pPr>
        <w:spacing w:after="0" w:line="220" w:lineRule="exact"/>
        <w:rPr>
          <w:sz w:val="20"/>
          <w:szCs w:val="20"/>
          <w:color w:val="auto"/>
        </w:rPr>
      </w:pPr>
    </w:p>
    <w:p>
      <w:pPr>
        <w:ind w:right="59" w:firstLine="648"/>
        <w:spacing w:after="0" w:line="237" w:lineRule="auto"/>
        <w:rPr>
          <w:sz w:val="20"/>
          <w:szCs w:val="20"/>
          <w:color w:val="auto"/>
        </w:rPr>
      </w:pPr>
      <w:r>
        <w:rPr>
          <w:rFonts w:ascii="Arial" w:cs="Arial" w:eastAsia="Arial" w:hAnsi="Arial"/>
          <w:sz w:val="18"/>
          <w:szCs w:val="18"/>
          <w:color w:val="auto"/>
        </w:rPr>
        <w:t>At July 31, 2019, we had $ 92.4 of cash and cash equivalents. Cash on hand at July 31, 2019 decreased by $71.4 as compared with $163.8 cash on hand at January 31, 2019 as a result of cash used to fund acquisitions of $ 27.6 and capital expenditures of $56.8, principally related to new coiled tubing units, offset by cash flows from operating activities of $11.9. Our liquidity requirements consist of working capital needs and ongoing capital expenditure requirements. Our primary requirements for working capital are directly related to the level of our operations. Our sources of liquidity were historically from advances from KLX and cash flow from operations.</w:t>
      </w:r>
    </w:p>
    <w:p>
      <w:pPr>
        <w:spacing w:after="0" w:line="190" w:lineRule="exact"/>
        <w:rPr>
          <w:sz w:val="20"/>
          <w:szCs w:val="20"/>
          <w:color w:val="auto"/>
        </w:rPr>
      </w:pPr>
    </w:p>
    <w:p>
      <w:pPr>
        <w:ind w:right="39" w:firstLine="648"/>
        <w:spacing w:after="0" w:line="234" w:lineRule="auto"/>
        <w:rPr>
          <w:sz w:val="20"/>
          <w:szCs w:val="20"/>
          <w:color w:val="auto"/>
        </w:rPr>
      </w:pPr>
      <w:r>
        <w:rPr>
          <w:rFonts w:ascii="Arial" w:cs="Arial" w:eastAsia="Arial" w:hAnsi="Arial"/>
          <w:sz w:val="18"/>
          <w:szCs w:val="18"/>
          <w:color w:val="auto"/>
        </w:rPr>
        <w:t>Working capital as of July 31, 2019 was $187.3, a decrease of $35.8 as compared with working capital at January 31, 2019. As of July 31, 2019, total current assets decreased by $38.7 and total current liabilities decreased by $2.9. The decrease in current assets was primarily related to a decrease in cash of $71.4 partially offset by an increase in accounts receivable of $33.8. The decrease in total current liabilities was primarily due to</w:t>
      </w:r>
    </w:p>
    <w:p>
      <w:pPr>
        <w:spacing w:after="0" w:line="3" w:lineRule="exact"/>
        <w:rPr>
          <w:sz w:val="20"/>
          <w:szCs w:val="20"/>
          <w:color w:val="auto"/>
        </w:rPr>
      </w:pPr>
    </w:p>
    <w:p>
      <w:pPr>
        <w:ind w:left="160" w:hanging="157"/>
        <w:spacing w:after="0"/>
        <w:tabs>
          <w:tab w:leader="none" w:pos="160" w:val="left"/>
        </w:tabs>
        <w:numPr>
          <w:ilvl w:val="0"/>
          <w:numId w:val="7"/>
        </w:numPr>
        <w:rPr>
          <w:rFonts w:ascii="Arial" w:cs="Arial" w:eastAsia="Arial" w:hAnsi="Arial"/>
          <w:sz w:val="18"/>
          <w:szCs w:val="18"/>
          <w:color w:val="auto"/>
        </w:rPr>
      </w:pPr>
      <w:r>
        <w:rPr>
          <w:rFonts w:ascii="Arial" w:cs="Arial" w:eastAsia="Arial" w:hAnsi="Arial"/>
          <w:sz w:val="18"/>
          <w:szCs w:val="18"/>
          <w:color w:val="auto"/>
        </w:rPr>
        <w:t>$4.5 decrease in accrued liabilities.</w:t>
      </w:r>
    </w:p>
    <w:p>
      <w:pPr>
        <w:spacing w:after="0" w:line="176" w:lineRule="exact"/>
        <w:rPr>
          <w:rFonts w:ascii="Arial" w:cs="Arial" w:eastAsia="Arial" w:hAnsi="Arial"/>
          <w:sz w:val="18"/>
          <w:szCs w:val="18"/>
          <w:color w:val="auto"/>
        </w:rPr>
      </w:pPr>
    </w:p>
    <w:p>
      <w:pPr>
        <w:ind w:left="240"/>
        <w:spacing w:after="0"/>
        <w:rPr>
          <w:rFonts w:ascii="Arial" w:cs="Arial" w:eastAsia="Arial" w:hAnsi="Arial"/>
          <w:sz w:val="18"/>
          <w:szCs w:val="18"/>
          <w:color w:val="auto"/>
        </w:rPr>
      </w:pPr>
      <w:r>
        <w:rPr>
          <w:rFonts w:ascii="Arial" w:cs="Arial" w:eastAsia="Arial" w:hAnsi="Arial"/>
          <w:sz w:val="18"/>
          <w:szCs w:val="18"/>
          <w:b w:val="1"/>
          <w:bCs w:val="1"/>
          <w:color w:val="auto"/>
        </w:rPr>
        <w:t>Cash Flows</w:t>
      </w:r>
    </w:p>
    <w:p>
      <w:pPr>
        <w:spacing w:after="0" w:line="220" w:lineRule="exact"/>
        <w:rPr>
          <w:sz w:val="20"/>
          <w:szCs w:val="20"/>
          <w:color w:val="auto"/>
        </w:rPr>
      </w:pPr>
    </w:p>
    <w:p>
      <w:pPr>
        <w:ind w:right="59" w:firstLine="648"/>
        <w:spacing w:after="0" w:line="236" w:lineRule="auto"/>
        <w:rPr>
          <w:sz w:val="20"/>
          <w:szCs w:val="20"/>
          <w:color w:val="auto"/>
        </w:rPr>
      </w:pPr>
      <w:r>
        <w:rPr>
          <w:rFonts w:ascii="Arial" w:cs="Arial" w:eastAsia="Arial" w:hAnsi="Arial"/>
          <w:sz w:val="18"/>
          <w:szCs w:val="18"/>
          <w:color w:val="auto"/>
        </w:rPr>
        <w:t>As of July 31, 2019, our cash and cash equivalents were $92.4 as compared to $ 163.8 at January 31, 2019. Net cash flows provided by operating activities was $11.9 for the six months ended July 31, 2019 as compared to $29.7 in the prior year, reflecting a $20.9 decrease in net earnings, a $26.5 increase in accounts receivable ($11.3 increase in the prior year) and a $6.9 decrease in accounts payable and other current and non-current liabilities in the current period ($2.4 increase in the prior year) partially offset by a $13.1 increase in depreciation and amortization. Cash used in investing activities consists of $27.6 used for the Tecton and Red Bone acquisitions (none in the prior year) and capital expenditures of $56.8 and $ 36.2 for the six months ended July 31, 2019 and 2018, respectively, and reflects our strategic decision to roll out our product service lines from acquired businesses to each of our business segments. Cash flows from financing activities were $0.8 in the current year period compared to $5.8 for the six months ended July 31, 2018, which reflect the net transfers from our Former Parent.</w:t>
      </w:r>
    </w:p>
    <w:p>
      <w:pPr>
        <w:spacing w:after="0" w:line="170"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Capital Spending</w:t>
      </w:r>
    </w:p>
    <w:p>
      <w:pPr>
        <w:spacing w:after="0" w:line="220" w:lineRule="exact"/>
        <w:rPr>
          <w:sz w:val="20"/>
          <w:szCs w:val="20"/>
          <w:color w:val="auto"/>
        </w:rPr>
      </w:pPr>
    </w:p>
    <w:p>
      <w:pPr>
        <w:ind w:right="79" w:firstLine="648"/>
        <w:spacing w:after="0" w:line="236" w:lineRule="auto"/>
        <w:rPr>
          <w:sz w:val="20"/>
          <w:szCs w:val="20"/>
          <w:color w:val="auto"/>
        </w:rPr>
      </w:pPr>
      <w:r>
        <w:rPr>
          <w:rFonts w:ascii="Arial" w:cs="Arial" w:eastAsia="Arial" w:hAnsi="Arial"/>
          <w:sz w:val="18"/>
          <w:szCs w:val="18"/>
          <w:color w:val="auto"/>
        </w:rPr>
        <w:t>Our capital expenditures were $56.8 and $36.2 during the six months ended July 31, 2019 and 2018, respectively. We expect to incur approximately $100.0 in capital expenditures for the year ending January 31, 2020, consistent with expanding the breadth of our services footprint in each of our geographical segments and as we roll out our coiled tubing and related services as well as filtration, testing and flowback in additional geographic regions. The nature of our capital expenditures is comprised of a base level of investment required to support our current operations and amounts related to growth and company initiatives. Capital expenditures for growth and company initiatives are discretionary. We continually evaluate our capital expenditures, and the amount we ultimately spend will depend on a number of factors, including expected industry activity levels and company initiatives. We expect to fund future capital expenditures from cash on hand and cash flow from operations. We have funds available from our secured $100.0 ABL Facility, none of which was drawn at July 31, 2019.</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40" w:right="1440" w:bottom="1440" w:gutter="0" w:footer="0" w:header="0"/>
        </w:sectPr>
      </w:pPr>
    </w:p>
    <w:bookmarkStart w:id="26" w:name="page27"/>
    <w:bookmarkEnd w:id="2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13"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New Financing Arrangements</w:t>
      </w:r>
    </w:p>
    <w:p>
      <w:pPr>
        <w:spacing w:after="0" w:line="220"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In connection with the Spin-Off, we entered into a $100.0 ABL Facility on August 10, 2018. The ABL Facility became effective on September 14, 2018, the date of the Spin-Off, and is scheduled to mature in September 2023. Borrowings under the ABL Facility bear interest at a rate equal to the London Interbank Offered Rate (“LIBOR”) plus the applicable margin (as defined in the ABL Facility). Availability under the ABL Facility is tied to a borrowing base formula and the ABL Facility has no maintenance financial covenants. The ABL Facility is secured by, among other things, a first priority lien on our accounts receivable and inventory and contains customary conditions precedent to borrowing and affirmative and negative covenants, all of which were met as of July 31, 2019. No amounts were outstanding under the ABL Facility as of July 31, 2019. The effective interest rate under the ABL Facility would have been approximately 4.3% on July 31, 2019.</w:t>
      </w:r>
    </w:p>
    <w:p>
      <w:pPr>
        <w:spacing w:after="0" w:line="194" w:lineRule="exact"/>
        <w:rPr>
          <w:sz w:val="20"/>
          <w:szCs w:val="20"/>
          <w:color w:val="auto"/>
        </w:rPr>
      </w:pPr>
    </w:p>
    <w:p>
      <w:pPr>
        <w:jc w:val="both"/>
        <w:ind w:firstLine="729"/>
        <w:spacing w:after="0"/>
        <w:rPr>
          <w:sz w:val="20"/>
          <w:szCs w:val="20"/>
          <w:color w:val="auto"/>
        </w:rPr>
      </w:pPr>
      <w:r>
        <w:rPr>
          <w:rFonts w:ascii="Arial" w:cs="Arial" w:eastAsia="Arial" w:hAnsi="Arial"/>
          <w:sz w:val="18"/>
          <w:szCs w:val="18"/>
          <w:color w:val="auto"/>
        </w:rPr>
        <w:t>In conjunction with the acquisition of Motley, we issued $250.0 of Notes due 2025 offered pursuant to Rule 144A under the Securities Act and to certain non-U.S. persons outside the United States in compliance with Regulation S under the Securities Act.</w:t>
      </w:r>
    </w:p>
    <w:p>
      <w:pPr>
        <w:spacing w:after="0" w:line="189" w:lineRule="exact"/>
        <w:rPr>
          <w:sz w:val="20"/>
          <w:szCs w:val="20"/>
          <w:color w:val="auto"/>
        </w:rPr>
      </w:pPr>
    </w:p>
    <w:p>
      <w:pPr>
        <w:ind w:right="220" w:firstLine="648"/>
        <w:spacing w:after="0" w:line="239" w:lineRule="auto"/>
        <w:rPr>
          <w:sz w:val="20"/>
          <w:szCs w:val="20"/>
          <w:color w:val="auto"/>
        </w:rPr>
      </w:pPr>
      <w:r>
        <w:rPr>
          <w:rFonts w:ascii="Arial" w:cs="Arial" w:eastAsia="Arial" w:hAnsi="Arial"/>
          <w:sz w:val="18"/>
          <w:szCs w:val="18"/>
          <w:color w:val="auto"/>
        </w:rPr>
        <w:t>We believe our cash on hand, cash from operating activities, our financial plans for Fiscal 2019 and the approximately $99.2 of availability under our $100 undrawn ABL Facility, provide us with the ability to fund our operations, make planned capital expenditures, meet our debt service obligations and provide funding for potential future acquisitions.</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Contractual Obligations</w:t>
      </w:r>
    </w:p>
    <w:p>
      <w:pPr>
        <w:spacing w:after="0" w:line="220" w:lineRule="exact"/>
        <w:rPr>
          <w:sz w:val="20"/>
          <w:szCs w:val="20"/>
          <w:color w:val="auto"/>
        </w:rPr>
      </w:pPr>
    </w:p>
    <w:p>
      <w:pPr>
        <w:ind w:right="60" w:firstLine="648"/>
        <w:spacing w:after="0"/>
        <w:rPr>
          <w:sz w:val="20"/>
          <w:szCs w:val="20"/>
          <w:color w:val="auto"/>
        </w:rPr>
      </w:pPr>
      <w:r>
        <w:rPr>
          <w:rFonts w:ascii="Arial" w:cs="Arial" w:eastAsia="Arial" w:hAnsi="Arial"/>
          <w:sz w:val="18"/>
          <w:szCs w:val="18"/>
          <w:color w:val="auto"/>
        </w:rPr>
        <w:t>The following chart reflects our contractual obligations and commercial commitments as of July 31, 2019. Commercial commitments include lines of credit, guarantees and other potential cash outflows resulting from a contingent event that requires performance by us or our subsidiaries pursuant to a funding commitment.</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140" w:type="dxa"/>
            <w:vAlign w:val="bottom"/>
            <w:vMerge w:val="restart"/>
          </w:tcPr>
          <w:p>
            <w:pPr>
              <w:spacing w:after="0"/>
              <w:rPr>
                <w:sz w:val="20"/>
                <w:szCs w:val="20"/>
                <w:color w:val="auto"/>
              </w:rPr>
            </w:pPr>
            <w:r>
              <w:rPr>
                <w:rFonts w:ascii="Arial" w:cs="Arial" w:eastAsia="Arial" w:hAnsi="Arial"/>
                <w:sz w:val="16"/>
                <w:szCs w:val="16"/>
                <w:b w:val="1"/>
                <w:bCs w:val="1"/>
                <w:color w:val="auto"/>
              </w:rPr>
              <w:t>Contractual Obligations</w:t>
            </w:r>
          </w:p>
        </w:tc>
        <w:tc>
          <w:tcPr>
            <w:tcW w:w="1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gridSpan w:val="9"/>
          </w:tcPr>
          <w:p>
            <w:pPr>
              <w:ind w:left="80"/>
              <w:spacing w:after="0"/>
              <w:rPr>
                <w:sz w:val="20"/>
                <w:szCs w:val="20"/>
                <w:color w:val="auto"/>
              </w:rPr>
            </w:pPr>
            <w:r>
              <w:rPr>
                <w:rFonts w:ascii="Arial" w:cs="Arial" w:eastAsia="Arial" w:hAnsi="Arial"/>
                <w:sz w:val="16"/>
                <w:szCs w:val="16"/>
                <w:b w:val="1"/>
                <w:bCs w:val="1"/>
                <w:color w:val="auto"/>
              </w:rPr>
              <w:t>Year Ending January 31,</w:t>
            </w:r>
          </w:p>
        </w:tc>
        <w:tc>
          <w:tcPr>
            <w:tcW w:w="5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4140" w:type="dxa"/>
            <w:vAlign w:val="bottom"/>
            <w:vMerge w:val="continue"/>
          </w:tcPr>
          <w:p>
            <w:pPr>
              <w:spacing w:after="0"/>
              <w:rPr>
                <w:sz w:val="15"/>
                <w:szCs w:val="15"/>
                <w:color w:val="auto"/>
              </w:rPr>
            </w:pPr>
          </w:p>
        </w:tc>
        <w:tc>
          <w:tcPr>
            <w:tcW w:w="500" w:type="dxa"/>
            <w:vAlign w:val="bottom"/>
            <w:gridSpan w:val="2"/>
          </w:tcPr>
          <w:p>
            <w:pPr>
              <w:jc w:val="right"/>
              <w:spacing w:after="0" w:line="183" w:lineRule="exact"/>
              <w:rPr>
                <w:sz w:val="20"/>
                <w:szCs w:val="20"/>
                <w:color w:val="auto"/>
              </w:rPr>
            </w:pPr>
            <w:r>
              <w:rPr>
                <w:rFonts w:ascii="Arial" w:cs="Arial" w:eastAsia="Arial" w:hAnsi="Arial"/>
                <w:sz w:val="16"/>
                <w:szCs w:val="16"/>
                <w:b w:val="1"/>
                <w:bCs w:val="1"/>
                <w:color w:val="auto"/>
              </w:rPr>
              <w:t>2020</w:t>
            </w:r>
          </w:p>
        </w:tc>
        <w:tc>
          <w:tcPr>
            <w:tcW w:w="180" w:type="dxa"/>
            <w:vAlign w:val="bottom"/>
          </w:tcPr>
          <w:p>
            <w:pPr>
              <w:spacing w:after="0"/>
              <w:rPr>
                <w:sz w:val="15"/>
                <w:szCs w:val="15"/>
                <w:color w:val="auto"/>
              </w:rPr>
            </w:pPr>
          </w:p>
        </w:tc>
        <w:tc>
          <w:tcPr>
            <w:tcW w:w="500" w:type="dxa"/>
            <w:vAlign w:val="bottom"/>
            <w:gridSpan w:val="2"/>
          </w:tcPr>
          <w:p>
            <w:pPr>
              <w:jc w:val="right"/>
              <w:spacing w:after="0" w:line="183" w:lineRule="exact"/>
              <w:rPr>
                <w:sz w:val="20"/>
                <w:szCs w:val="20"/>
                <w:color w:val="auto"/>
              </w:rPr>
            </w:pPr>
            <w:r>
              <w:rPr>
                <w:rFonts w:ascii="Arial" w:cs="Arial" w:eastAsia="Arial" w:hAnsi="Arial"/>
                <w:sz w:val="16"/>
                <w:szCs w:val="16"/>
                <w:b w:val="1"/>
                <w:bCs w:val="1"/>
                <w:color w:val="auto"/>
              </w:rPr>
              <w:t>2021</w:t>
            </w:r>
          </w:p>
        </w:tc>
        <w:tc>
          <w:tcPr>
            <w:tcW w:w="180" w:type="dxa"/>
            <w:vAlign w:val="bottom"/>
          </w:tcPr>
          <w:p>
            <w:pPr>
              <w:spacing w:after="0"/>
              <w:rPr>
                <w:sz w:val="15"/>
                <w:szCs w:val="15"/>
                <w:color w:val="auto"/>
              </w:rPr>
            </w:pPr>
          </w:p>
        </w:tc>
        <w:tc>
          <w:tcPr>
            <w:tcW w:w="480" w:type="dxa"/>
            <w:vAlign w:val="bottom"/>
            <w:gridSpan w:val="2"/>
          </w:tcPr>
          <w:p>
            <w:pPr>
              <w:jc w:val="right"/>
              <w:spacing w:after="0" w:line="183" w:lineRule="exact"/>
              <w:rPr>
                <w:sz w:val="20"/>
                <w:szCs w:val="20"/>
                <w:color w:val="auto"/>
              </w:rPr>
            </w:pPr>
            <w:r>
              <w:rPr>
                <w:rFonts w:ascii="Arial" w:cs="Arial" w:eastAsia="Arial" w:hAnsi="Arial"/>
                <w:sz w:val="16"/>
                <w:szCs w:val="16"/>
                <w:b w:val="1"/>
                <w:bCs w:val="1"/>
                <w:color w:val="auto"/>
              </w:rPr>
              <w:t>2022</w:t>
            </w:r>
          </w:p>
        </w:tc>
        <w:tc>
          <w:tcPr>
            <w:tcW w:w="200" w:type="dxa"/>
            <w:vAlign w:val="bottom"/>
          </w:tcPr>
          <w:p>
            <w:pPr>
              <w:spacing w:after="0"/>
              <w:rPr>
                <w:sz w:val="15"/>
                <w:szCs w:val="15"/>
                <w:color w:val="auto"/>
              </w:rPr>
            </w:pPr>
          </w:p>
        </w:tc>
        <w:tc>
          <w:tcPr>
            <w:tcW w:w="480" w:type="dxa"/>
            <w:vAlign w:val="bottom"/>
            <w:gridSpan w:val="2"/>
          </w:tcPr>
          <w:p>
            <w:pPr>
              <w:jc w:val="right"/>
              <w:spacing w:after="0" w:line="183" w:lineRule="exact"/>
              <w:rPr>
                <w:sz w:val="20"/>
                <w:szCs w:val="20"/>
                <w:color w:val="auto"/>
              </w:rPr>
            </w:pPr>
            <w:r>
              <w:rPr>
                <w:rFonts w:ascii="Arial" w:cs="Arial" w:eastAsia="Arial" w:hAnsi="Arial"/>
                <w:sz w:val="16"/>
                <w:szCs w:val="16"/>
                <w:b w:val="1"/>
                <w:bCs w:val="1"/>
                <w:color w:val="auto"/>
              </w:rPr>
              <w:t>2023</w:t>
            </w:r>
          </w:p>
        </w:tc>
        <w:tc>
          <w:tcPr>
            <w:tcW w:w="200" w:type="dxa"/>
            <w:vAlign w:val="bottom"/>
          </w:tcPr>
          <w:p>
            <w:pPr>
              <w:spacing w:after="0"/>
              <w:rPr>
                <w:sz w:val="15"/>
                <w:szCs w:val="15"/>
                <w:color w:val="auto"/>
              </w:rPr>
            </w:pPr>
          </w:p>
        </w:tc>
        <w:tc>
          <w:tcPr>
            <w:tcW w:w="480" w:type="dxa"/>
            <w:vAlign w:val="bottom"/>
            <w:gridSpan w:val="2"/>
          </w:tcPr>
          <w:p>
            <w:pPr>
              <w:jc w:val="right"/>
              <w:spacing w:after="0" w:line="183" w:lineRule="exact"/>
              <w:rPr>
                <w:sz w:val="20"/>
                <w:szCs w:val="20"/>
                <w:color w:val="auto"/>
              </w:rPr>
            </w:pPr>
            <w:r>
              <w:rPr>
                <w:rFonts w:ascii="Arial" w:cs="Arial" w:eastAsia="Arial" w:hAnsi="Arial"/>
                <w:sz w:val="16"/>
                <w:szCs w:val="16"/>
                <w:b w:val="1"/>
                <w:bCs w:val="1"/>
                <w:color w:val="auto"/>
              </w:rPr>
              <w:t>2024</w:t>
            </w:r>
          </w:p>
        </w:tc>
        <w:tc>
          <w:tcPr>
            <w:tcW w:w="180" w:type="dxa"/>
            <w:vAlign w:val="bottom"/>
          </w:tcPr>
          <w:p>
            <w:pPr>
              <w:spacing w:after="0"/>
              <w:rPr>
                <w:sz w:val="15"/>
                <w:szCs w:val="15"/>
                <w:color w:val="auto"/>
              </w:rPr>
            </w:pPr>
          </w:p>
        </w:tc>
        <w:tc>
          <w:tcPr>
            <w:tcW w:w="980" w:type="dxa"/>
            <w:vAlign w:val="bottom"/>
            <w:gridSpan w:val="3"/>
          </w:tcPr>
          <w:p>
            <w:pPr>
              <w:spacing w:after="0" w:line="183" w:lineRule="exact"/>
              <w:rPr>
                <w:sz w:val="20"/>
                <w:szCs w:val="20"/>
                <w:color w:val="auto"/>
              </w:rPr>
            </w:pPr>
            <w:r>
              <w:rPr>
                <w:rFonts w:ascii="Arial" w:cs="Arial" w:eastAsia="Arial" w:hAnsi="Arial"/>
                <w:sz w:val="16"/>
                <w:szCs w:val="16"/>
                <w:b w:val="1"/>
                <w:bCs w:val="1"/>
                <w:color w:val="auto"/>
              </w:rPr>
              <w:t>Thereafter</w:t>
            </w:r>
          </w:p>
        </w:tc>
        <w:tc>
          <w:tcPr>
            <w:tcW w:w="100" w:type="dxa"/>
            <w:vAlign w:val="bottom"/>
          </w:tcPr>
          <w:p>
            <w:pPr>
              <w:spacing w:after="0"/>
              <w:rPr>
                <w:sz w:val="15"/>
                <w:szCs w:val="15"/>
                <w:color w:val="auto"/>
              </w:rPr>
            </w:pPr>
          </w:p>
        </w:tc>
        <w:tc>
          <w:tcPr>
            <w:tcW w:w="460" w:type="dxa"/>
            <w:vAlign w:val="bottom"/>
          </w:tcPr>
          <w:p>
            <w:pPr>
              <w:jc w:val="right"/>
              <w:ind w:right="19"/>
              <w:spacing w:after="0" w:line="183" w:lineRule="exact"/>
              <w:rPr>
                <w:sz w:val="20"/>
                <w:szCs w:val="20"/>
                <w:color w:val="auto"/>
              </w:rPr>
            </w:pPr>
            <w:r>
              <w:rPr>
                <w:rFonts w:ascii="Arial" w:cs="Arial" w:eastAsia="Arial" w:hAnsi="Arial"/>
                <w:sz w:val="16"/>
                <w:szCs w:val="16"/>
                <w:b w:val="1"/>
                <w:bCs w:val="1"/>
                <w:color w:val="auto"/>
                <w:w w:val="88"/>
              </w:rPr>
              <w:t>Total</w:t>
            </w:r>
          </w:p>
        </w:tc>
        <w:tc>
          <w:tcPr>
            <w:tcW w:w="0" w:type="dxa"/>
            <w:vAlign w:val="bottom"/>
          </w:tcPr>
          <w:p>
            <w:pPr>
              <w:spacing w:after="0"/>
              <w:rPr>
                <w:sz w:val="1"/>
                <w:szCs w:val="1"/>
                <w:color w:val="auto"/>
              </w:rPr>
            </w:pPr>
          </w:p>
        </w:tc>
      </w:tr>
      <w:tr>
        <w:trPr>
          <w:trHeight w:val="20"/>
        </w:trPr>
        <w:tc>
          <w:tcPr>
            <w:tcW w:w="4140" w:type="dxa"/>
            <w:vAlign w:val="bottom"/>
            <w:vMerge w:val="restart"/>
            <w:shd w:val="clear" w:color="auto" w:fill="CCEEFF"/>
          </w:tcPr>
          <w:p>
            <w:pPr>
              <w:spacing w:after="0"/>
              <w:rPr>
                <w:sz w:val="20"/>
                <w:szCs w:val="20"/>
                <w:color w:val="auto"/>
              </w:rPr>
            </w:pPr>
            <w:r>
              <w:rPr>
                <w:rFonts w:ascii="Arial" w:cs="Arial" w:eastAsia="Arial" w:hAnsi="Arial"/>
                <w:sz w:val="16"/>
                <w:szCs w:val="16"/>
                <w:color w:val="auto"/>
              </w:rPr>
              <w:t>Long-term debt and other non-current liabilities</w:t>
            </w: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14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w w:val="89"/>
              </w:rPr>
              <w:t>$</w:t>
            </w:r>
          </w:p>
        </w:tc>
        <w:tc>
          <w:tcPr>
            <w:tcW w:w="38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w w:val="89"/>
              </w:rPr>
              <w:t>$</w:t>
            </w:r>
          </w:p>
        </w:tc>
        <w:tc>
          <w:tcPr>
            <w:tcW w:w="40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3.1</w:t>
            </w:r>
          </w:p>
        </w:tc>
        <w:tc>
          <w:tcPr>
            <w:tcW w:w="280" w:type="dxa"/>
            <w:vAlign w:val="bottom"/>
            <w:gridSpan w:val="2"/>
            <w:shd w:val="clear" w:color="auto" w:fill="CCEEFF"/>
          </w:tcPr>
          <w:p>
            <w:pPr>
              <w:jc w:val="right"/>
              <w:spacing w:after="0" w:line="183" w:lineRule="exact"/>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0.1</w:t>
            </w:r>
          </w:p>
        </w:tc>
        <w:tc>
          <w:tcPr>
            <w:tcW w:w="300" w:type="dxa"/>
            <w:vAlign w:val="bottom"/>
            <w:gridSpan w:val="2"/>
            <w:shd w:val="clear" w:color="auto" w:fill="CCEEFF"/>
          </w:tcPr>
          <w:p>
            <w:pPr>
              <w:jc w:val="right"/>
              <w:spacing w:after="0" w:line="183" w:lineRule="exact"/>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0.2</w:t>
            </w: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0.2</w:t>
            </w:r>
          </w:p>
        </w:tc>
        <w:tc>
          <w:tcPr>
            <w:tcW w:w="400" w:type="dxa"/>
            <w:vAlign w:val="bottom"/>
            <w:gridSpan w:val="2"/>
            <w:shd w:val="clear" w:color="auto" w:fill="CCEEFF"/>
          </w:tcPr>
          <w:p>
            <w:pPr>
              <w:ind w:left="180"/>
              <w:spacing w:after="0" w:line="183" w:lineRule="exact"/>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252.2</w:t>
            </w: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w w:val="99"/>
              </w:rPr>
              <w:t>255.8</w:t>
            </w:r>
          </w:p>
        </w:tc>
        <w:tc>
          <w:tcPr>
            <w:tcW w:w="0" w:type="dxa"/>
            <w:vAlign w:val="bottom"/>
          </w:tcPr>
          <w:p>
            <w:pPr>
              <w:spacing w:after="0"/>
              <w:rPr>
                <w:sz w:val="1"/>
                <w:szCs w:val="1"/>
                <w:color w:val="auto"/>
              </w:rPr>
            </w:pPr>
          </w:p>
        </w:tc>
      </w:tr>
      <w:tr>
        <w:trPr>
          <w:trHeight w:val="189"/>
        </w:trPr>
        <w:tc>
          <w:tcPr>
            <w:tcW w:w="4140" w:type="dxa"/>
            <w:vAlign w:val="bottom"/>
          </w:tcPr>
          <w:p>
            <w:pPr>
              <w:spacing w:after="0"/>
              <w:rPr>
                <w:sz w:val="20"/>
                <w:szCs w:val="20"/>
                <w:color w:val="auto"/>
              </w:rPr>
            </w:pPr>
            <w:r>
              <w:rPr>
                <w:rFonts w:ascii="Arial" w:cs="Arial" w:eastAsia="Arial" w:hAnsi="Arial"/>
                <w:sz w:val="16"/>
                <w:szCs w:val="16"/>
                <w:color w:val="auto"/>
              </w:rPr>
              <w:t>Operating leases</w:t>
            </w:r>
          </w:p>
        </w:tc>
        <w:tc>
          <w:tcPr>
            <w:tcW w:w="12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w w:val="96"/>
              </w:rPr>
              <w:t>12.2</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19.3</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10.0</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3.9</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2.5</w:t>
            </w: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4.1</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52.0</w:t>
            </w:r>
          </w:p>
        </w:tc>
        <w:tc>
          <w:tcPr>
            <w:tcW w:w="0" w:type="dxa"/>
            <w:vAlign w:val="bottom"/>
          </w:tcPr>
          <w:p>
            <w:pPr>
              <w:spacing w:after="0"/>
              <w:rPr>
                <w:sz w:val="1"/>
                <w:szCs w:val="1"/>
                <w:color w:val="auto"/>
              </w:rPr>
            </w:pPr>
          </w:p>
        </w:tc>
      </w:tr>
      <w:tr>
        <w:trPr>
          <w:trHeight w:val="189"/>
        </w:trPr>
        <w:tc>
          <w:tcPr>
            <w:tcW w:w="4140" w:type="dxa"/>
            <w:vAlign w:val="bottom"/>
            <w:shd w:val="clear" w:color="auto" w:fill="CCEEFF"/>
          </w:tcPr>
          <w:p>
            <w:pPr>
              <w:spacing w:after="0" w:line="189" w:lineRule="exact"/>
              <w:rPr>
                <w:sz w:val="20"/>
                <w:szCs w:val="20"/>
                <w:color w:val="auto"/>
              </w:rPr>
            </w:pPr>
            <w:r>
              <w:rPr>
                <w:rFonts w:ascii="Arial" w:cs="Arial" w:eastAsia="Arial" w:hAnsi="Arial"/>
                <w:sz w:val="16"/>
                <w:szCs w:val="16"/>
                <w:color w:val="auto"/>
              </w:rPr>
              <w:t xml:space="preserve">Future interest and fees on outstanding debt </w:t>
            </w:r>
            <w:r>
              <w:rPr>
                <w:rFonts w:ascii="Arial" w:cs="Arial" w:eastAsia="Arial" w:hAnsi="Arial"/>
                <w:sz w:val="17"/>
                <w:szCs w:val="17"/>
                <w:color w:val="auto"/>
                <w:vertAlign w:val="superscript"/>
              </w:rPr>
              <w:t>(1)</w:t>
            </w:r>
          </w:p>
        </w:tc>
        <w:tc>
          <w:tcPr>
            <w:tcW w:w="120" w:type="dxa"/>
            <w:vAlign w:val="bottom"/>
            <w:tcBorders>
              <w:bottom w:val="single" w:sz="8" w:color="auto"/>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6"/>
              </w:rPr>
              <w:t>14.7</w:t>
            </w:r>
          </w:p>
        </w:tc>
        <w:tc>
          <w:tcPr>
            <w:tcW w:w="18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29.3</w:t>
            </w:r>
          </w:p>
        </w:tc>
        <w:tc>
          <w:tcPr>
            <w:tcW w:w="18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29.3</w:t>
            </w:r>
          </w:p>
        </w:tc>
        <w:tc>
          <w:tcPr>
            <w:tcW w:w="2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6"/>
              </w:rPr>
              <w:t>29.3</w:t>
            </w:r>
          </w:p>
        </w:tc>
        <w:tc>
          <w:tcPr>
            <w:tcW w:w="2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6"/>
              </w:rPr>
              <w:t>29.1</w:t>
            </w:r>
          </w:p>
        </w:tc>
        <w:tc>
          <w:tcPr>
            <w:tcW w:w="18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57.5</w:t>
            </w:r>
          </w:p>
        </w:tc>
        <w:tc>
          <w:tcPr>
            <w:tcW w:w="2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9"/>
              </w:rPr>
              <w:t>189.2</w:t>
            </w:r>
          </w:p>
        </w:tc>
        <w:tc>
          <w:tcPr>
            <w:tcW w:w="0" w:type="dxa"/>
            <w:vAlign w:val="bottom"/>
          </w:tcPr>
          <w:p>
            <w:pPr>
              <w:spacing w:after="0"/>
              <w:rPr>
                <w:sz w:val="1"/>
                <w:szCs w:val="1"/>
                <w:color w:val="auto"/>
              </w:rPr>
            </w:pPr>
          </w:p>
        </w:tc>
      </w:tr>
      <w:tr>
        <w:trPr>
          <w:trHeight w:val="190"/>
        </w:trPr>
        <w:tc>
          <w:tcPr>
            <w:tcW w:w="4140" w:type="dxa"/>
            <w:vAlign w:val="bottom"/>
          </w:tcPr>
          <w:p>
            <w:pPr>
              <w:spacing w:after="0" w:line="177" w:lineRule="exact"/>
              <w:rPr>
                <w:sz w:val="20"/>
                <w:szCs w:val="20"/>
                <w:color w:val="auto"/>
              </w:rPr>
            </w:pPr>
            <w:r>
              <w:rPr>
                <w:rFonts w:ascii="Arial" w:cs="Arial" w:eastAsia="Arial" w:hAnsi="Arial"/>
                <w:sz w:val="16"/>
                <w:szCs w:val="16"/>
                <w:color w:val="auto"/>
              </w:rPr>
              <w:t>Total</w:t>
            </w:r>
          </w:p>
        </w:tc>
        <w:tc>
          <w:tcPr>
            <w:tcW w:w="120" w:type="dxa"/>
            <w:vAlign w:val="bottom"/>
          </w:tcPr>
          <w:p>
            <w:pPr>
              <w:jc w:val="right"/>
              <w:spacing w:after="0" w:line="183" w:lineRule="exact"/>
              <w:rPr>
                <w:sz w:val="20"/>
                <w:szCs w:val="20"/>
                <w:color w:val="auto"/>
              </w:rPr>
            </w:pPr>
            <w:r>
              <w:rPr>
                <w:rFonts w:ascii="Arial" w:cs="Arial" w:eastAsia="Arial" w:hAnsi="Arial"/>
                <w:sz w:val="16"/>
                <w:szCs w:val="16"/>
                <w:color w:val="auto"/>
                <w:w w:val="89"/>
              </w:rPr>
              <w:t>$</w:t>
            </w:r>
          </w:p>
        </w:tc>
        <w:tc>
          <w:tcPr>
            <w:tcW w:w="380" w:type="dxa"/>
            <w:vAlign w:val="bottom"/>
          </w:tcPr>
          <w:p>
            <w:pPr>
              <w:jc w:val="right"/>
              <w:spacing w:after="0" w:line="183" w:lineRule="exact"/>
              <w:rPr>
                <w:sz w:val="20"/>
                <w:szCs w:val="20"/>
                <w:color w:val="auto"/>
              </w:rPr>
            </w:pPr>
            <w:r>
              <w:rPr>
                <w:rFonts w:ascii="Arial" w:cs="Arial" w:eastAsia="Arial" w:hAnsi="Arial"/>
                <w:sz w:val="16"/>
                <w:szCs w:val="16"/>
                <w:color w:val="auto"/>
                <w:w w:val="96"/>
              </w:rPr>
              <w:t>26.9</w:t>
            </w:r>
          </w:p>
        </w:tc>
        <w:tc>
          <w:tcPr>
            <w:tcW w:w="180" w:type="dxa"/>
            <w:vAlign w:val="bottom"/>
          </w:tcPr>
          <w:p>
            <w:pPr>
              <w:spacing w:after="0"/>
              <w:rPr>
                <w:sz w:val="16"/>
                <w:szCs w:val="16"/>
                <w:color w:val="auto"/>
              </w:rPr>
            </w:pPr>
          </w:p>
        </w:tc>
        <w:tc>
          <w:tcPr>
            <w:tcW w:w="100" w:type="dxa"/>
            <w:vAlign w:val="bottom"/>
          </w:tcPr>
          <w:p>
            <w:pPr>
              <w:jc w:val="right"/>
              <w:spacing w:after="0" w:line="183" w:lineRule="exact"/>
              <w:rPr>
                <w:sz w:val="20"/>
                <w:szCs w:val="20"/>
                <w:color w:val="auto"/>
              </w:rPr>
            </w:pPr>
            <w:r>
              <w:rPr>
                <w:rFonts w:ascii="Arial" w:cs="Arial" w:eastAsia="Arial" w:hAnsi="Arial"/>
                <w:sz w:val="16"/>
                <w:szCs w:val="16"/>
                <w:color w:val="auto"/>
                <w:w w:val="89"/>
              </w:rPr>
              <w:t>$</w:t>
            </w:r>
          </w:p>
        </w:tc>
        <w:tc>
          <w:tcPr>
            <w:tcW w:w="400" w:type="dxa"/>
            <w:vAlign w:val="bottom"/>
          </w:tcPr>
          <w:p>
            <w:pPr>
              <w:jc w:val="right"/>
              <w:spacing w:after="0" w:line="183" w:lineRule="exact"/>
              <w:rPr>
                <w:sz w:val="20"/>
                <w:szCs w:val="20"/>
                <w:color w:val="auto"/>
              </w:rPr>
            </w:pPr>
            <w:r>
              <w:rPr>
                <w:rFonts w:ascii="Arial" w:cs="Arial" w:eastAsia="Arial" w:hAnsi="Arial"/>
                <w:sz w:val="16"/>
                <w:szCs w:val="16"/>
                <w:color w:val="auto"/>
              </w:rPr>
              <w:t>51.7</w:t>
            </w:r>
          </w:p>
        </w:tc>
        <w:tc>
          <w:tcPr>
            <w:tcW w:w="280" w:type="dxa"/>
            <w:vAlign w:val="bottom"/>
            <w:gridSpan w:val="2"/>
          </w:tcPr>
          <w:p>
            <w:pPr>
              <w:jc w:val="right"/>
              <w:spacing w:after="0" w:line="183" w:lineRule="exact"/>
              <w:rPr>
                <w:sz w:val="20"/>
                <w:szCs w:val="20"/>
                <w:color w:val="auto"/>
              </w:rPr>
            </w:pPr>
            <w:r>
              <w:rPr>
                <w:rFonts w:ascii="Arial" w:cs="Arial" w:eastAsia="Arial" w:hAnsi="Arial"/>
                <w:sz w:val="16"/>
                <w:szCs w:val="16"/>
                <w:color w:val="auto"/>
              </w:rPr>
              <w:t>$</w:t>
            </w:r>
          </w:p>
        </w:tc>
        <w:tc>
          <w:tcPr>
            <w:tcW w:w="380" w:type="dxa"/>
            <w:vAlign w:val="bottom"/>
          </w:tcPr>
          <w:p>
            <w:pPr>
              <w:jc w:val="right"/>
              <w:spacing w:after="0" w:line="183" w:lineRule="exact"/>
              <w:rPr>
                <w:sz w:val="20"/>
                <w:szCs w:val="20"/>
                <w:color w:val="auto"/>
              </w:rPr>
            </w:pPr>
            <w:r>
              <w:rPr>
                <w:rFonts w:ascii="Arial" w:cs="Arial" w:eastAsia="Arial" w:hAnsi="Arial"/>
                <w:sz w:val="16"/>
                <w:szCs w:val="16"/>
                <w:color w:val="auto"/>
              </w:rPr>
              <w:t>39.4</w:t>
            </w:r>
          </w:p>
        </w:tc>
        <w:tc>
          <w:tcPr>
            <w:tcW w:w="300" w:type="dxa"/>
            <w:vAlign w:val="bottom"/>
            <w:gridSpan w:val="2"/>
          </w:tcPr>
          <w:p>
            <w:pPr>
              <w:jc w:val="right"/>
              <w:spacing w:after="0" w:line="183" w:lineRule="exact"/>
              <w:rPr>
                <w:sz w:val="20"/>
                <w:szCs w:val="20"/>
                <w:color w:val="auto"/>
              </w:rPr>
            </w:pPr>
            <w:r>
              <w:rPr>
                <w:rFonts w:ascii="Arial" w:cs="Arial" w:eastAsia="Arial" w:hAnsi="Arial"/>
                <w:sz w:val="16"/>
                <w:szCs w:val="16"/>
                <w:color w:val="auto"/>
              </w:rPr>
              <w:t>$</w:t>
            </w:r>
          </w:p>
        </w:tc>
        <w:tc>
          <w:tcPr>
            <w:tcW w:w="380" w:type="dxa"/>
            <w:vAlign w:val="bottom"/>
          </w:tcPr>
          <w:p>
            <w:pPr>
              <w:jc w:val="right"/>
              <w:spacing w:after="0" w:line="183" w:lineRule="exact"/>
              <w:rPr>
                <w:sz w:val="20"/>
                <w:szCs w:val="20"/>
                <w:color w:val="auto"/>
              </w:rPr>
            </w:pPr>
            <w:r>
              <w:rPr>
                <w:rFonts w:ascii="Arial" w:cs="Arial" w:eastAsia="Arial" w:hAnsi="Arial"/>
                <w:sz w:val="16"/>
                <w:szCs w:val="16"/>
                <w:color w:val="auto"/>
                <w:w w:val="96"/>
              </w:rPr>
              <w:t>33.4</w:t>
            </w:r>
          </w:p>
        </w:tc>
        <w:tc>
          <w:tcPr>
            <w:tcW w:w="2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tcPr>
          <w:p>
            <w:pPr>
              <w:jc w:val="right"/>
              <w:spacing w:after="0" w:line="183" w:lineRule="exact"/>
              <w:rPr>
                <w:sz w:val="20"/>
                <w:szCs w:val="20"/>
                <w:color w:val="auto"/>
              </w:rPr>
            </w:pPr>
            <w:r>
              <w:rPr>
                <w:rFonts w:ascii="Arial" w:cs="Arial" w:eastAsia="Arial" w:hAnsi="Arial"/>
                <w:sz w:val="16"/>
                <w:szCs w:val="16"/>
                <w:color w:val="auto"/>
                <w:w w:val="96"/>
              </w:rPr>
              <w:t>31.8</w:t>
            </w:r>
          </w:p>
        </w:tc>
        <w:tc>
          <w:tcPr>
            <w:tcW w:w="400" w:type="dxa"/>
            <w:vAlign w:val="bottom"/>
            <w:gridSpan w:val="2"/>
          </w:tcPr>
          <w:p>
            <w:pPr>
              <w:ind w:left="180"/>
              <w:spacing w:after="0" w:line="183" w:lineRule="exact"/>
              <w:rPr>
                <w:sz w:val="20"/>
                <w:szCs w:val="20"/>
                <w:color w:val="auto"/>
              </w:rPr>
            </w:pPr>
            <w:r>
              <w:rPr>
                <w:rFonts w:ascii="Arial" w:cs="Arial" w:eastAsia="Arial" w:hAnsi="Arial"/>
                <w:sz w:val="16"/>
                <w:szCs w:val="16"/>
                <w:color w:val="auto"/>
              </w:rPr>
              <w:t>$</w:t>
            </w:r>
          </w:p>
        </w:tc>
        <w:tc>
          <w:tcPr>
            <w:tcW w:w="560" w:type="dxa"/>
            <w:vAlign w:val="bottom"/>
          </w:tcPr>
          <w:p>
            <w:pPr>
              <w:jc w:val="right"/>
              <w:spacing w:after="0" w:line="183" w:lineRule="exact"/>
              <w:rPr>
                <w:sz w:val="20"/>
                <w:szCs w:val="20"/>
                <w:color w:val="auto"/>
              </w:rPr>
            </w:pPr>
            <w:r>
              <w:rPr>
                <w:rFonts w:ascii="Arial" w:cs="Arial" w:eastAsia="Arial" w:hAnsi="Arial"/>
                <w:sz w:val="16"/>
                <w:szCs w:val="16"/>
                <w:color w:val="auto"/>
              </w:rPr>
              <w:t>313.8</w:t>
            </w:r>
          </w:p>
        </w:tc>
        <w:tc>
          <w:tcPr>
            <w:tcW w:w="2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460" w:type="dxa"/>
            <w:vAlign w:val="bottom"/>
          </w:tcPr>
          <w:p>
            <w:pPr>
              <w:jc w:val="right"/>
              <w:spacing w:after="0" w:line="183" w:lineRule="exact"/>
              <w:rPr>
                <w:sz w:val="20"/>
                <w:szCs w:val="20"/>
                <w:color w:val="auto"/>
              </w:rPr>
            </w:pPr>
            <w:r>
              <w:rPr>
                <w:rFonts w:ascii="Arial" w:cs="Arial" w:eastAsia="Arial" w:hAnsi="Arial"/>
                <w:sz w:val="16"/>
                <w:szCs w:val="16"/>
                <w:color w:val="auto"/>
                <w:w w:val="99"/>
              </w:rPr>
              <w:t>497.0</w:t>
            </w:r>
          </w:p>
        </w:tc>
        <w:tc>
          <w:tcPr>
            <w:tcW w:w="0" w:type="dxa"/>
            <w:vAlign w:val="bottom"/>
          </w:tcPr>
          <w:p>
            <w:pPr>
              <w:spacing w:after="0"/>
              <w:rPr>
                <w:sz w:val="1"/>
                <w:szCs w:val="1"/>
                <w:color w:val="auto"/>
              </w:rPr>
            </w:pPr>
          </w:p>
        </w:tc>
      </w:tr>
      <w:tr>
        <w:trPr>
          <w:trHeight w:val="189"/>
        </w:trPr>
        <w:tc>
          <w:tcPr>
            <w:tcW w:w="41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140" w:type="dxa"/>
            <w:vAlign w:val="bottom"/>
          </w:tcPr>
          <w:p>
            <w:pPr>
              <w:spacing w:after="0"/>
              <w:rPr>
                <w:sz w:val="20"/>
                <w:szCs w:val="20"/>
                <w:color w:val="auto"/>
              </w:rPr>
            </w:pPr>
            <w:r>
              <w:rPr>
                <w:rFonts w:ascii="Arial" w:cs="Arial" w:eastAsia="Arial" w:hAnsi="Arial"/>
                <w:sz w:val="16"/>
                <w:szCs w:val="16"/>
                <w:b w:val="1"/>
                <w:bCs w:val="1"/>
                <w:color w:val="auto"/>
              </w:rPr>
              <w:t>Commercial Commitments</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140" w:type="dxa"/>
            <w:vAlign w:val="bottom"/>
            <w:shd w:val="clear" w:color="auto" w:fill="CCEEFF"/>
          </w:tcPr>
          <w:p>
            <w:pPr>
              <w:spacing w:after="0"/>
              <w:rPr>
                <w:sz w:val="20"/>
                <w:szCs w:val="20"/>
                <w:color w:val="auto"/>
              </w:rPr>
            </w:pPr>
            <w:r>
              <w:rPr>
                <w:rFonts w:ascii="Arial" w:cs="Arial" w:eastAsia="Arial" w:hAnsi="Arial"/>
                <w:sz w:val="16"/>
                <w:szCs w:val="16"/>
                <w:color w:val="auto"/>
              </w:rPr>
              <w:t>Letters of credit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w:t>
            </w:r>
          </w:p>
        </w:tc>
        <w:tc>
          <w:tcPr>
            <w:tcW w:w="0" w:type="dxa"/>
            <w:vAlign w:val="bottom"/>
          </w:tcPr>
          <w:p>
            <w:pPr>
              <w:spacing w:after="0"/>
              <w:rPr>
                <w:sz w:val="1"/>
                <w:szCs w:val="1"/>
                <w:color w:val="auto"/>
              </w:rPr>
            </w:pPr>
          </w:p>
        </w:tc>
      </w:tr>
    </w:tbl>
    <w:p>
      <w:pPr>
        <w:spacing w:after="0" w:line="167" w:lineRule="exact"/>
        <w:rPr>
          <w:sz w:val="20"/>
          <w:szCs w:val="20"/>
          <w:color w:val="auto"/>
        </w:rPr>
      </w:pPr>
    </w:p>
    <w:p>
      <w:pPr>
        <w:ind w:left="660" w:right="60" w:hanging="333"/>
        <w:spacing w:after="0" w:line="258" w:lineRule="auto"/>
        <w:tabs>
          <w:tab w:leader="none" w:pos="660" w:val="left"/>
        </w:tabs>
        <w:numPr>
          <w:ilvl w:val="0"/>
          <w:numId w:val="8"/>
        </w:numPr>
        <w:rPr>
          <w:rFonts w:ascii="Arial" w:cs="Arial" w:eastAsia="Arial" w:hAnsi="Arial"/>
          <w:sz w:val="14"/>
          <w:szCs w:val="14"/>
          <w:color w:val="auto"/>
        </w:rPr>
      </w:pPr>
      <w:r>
        <w:rPr>
          <w:rFonts w:ascii="Arial" w:cs="Arial" w:eastAsia="Arial" w:hAnsi="Arial"/>
          <w:sz w:val="14"/>
          <w:szCs w:val="14"/>
          <w:color w:val="auto"/>
        </w:rPr>
        <w:t>Interest payments include interest payments due on the Notes based on the stated rate of 11.5%. To the extent we incur interest on the ABL Facility, interest payments would fluctuate based on LIBOR or the prime rate pursuant to the terms of the ABL Facility.</w:t>
      </w:r>
    </w:p>
    <w:p>
      <w:pPr>
        <w:spacing w:after="0" w:line="153"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Off-Balance Sheet Arrangements</w:t>
      </w:r>
    </w:p>
    <w:p>
      <w:pPr>
        <w:spacing w:after="0" w:line="20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Lease Arrangements</w:t>
      </w:r>
    </w:p>
    <w:p>
      <w:pPr>
        <w:spacing w:after="0" w:line="216" w:lineRule="exact"/>
        <w:rPr>
          <w:sz w:val="20"/>
          <w:szCs w:val="20"/>
          <w:color w:val="auto"/>
        </w:rPr>
      </w:pPr>
    </w:p>
    <w:p>
      <w:pPr>
        <w:ind w:right="100" w:firstLine="648"/>
        <w:spacing w:after="0" w:line="238" w:lineRule="auto"/>
        <w:rPr>
          <w:sz w:val="20"/>
          <w:szCs w:val="20"/>
          <w:color w:val="auto"/>
        </w:rPr>
      </w:pPr>
      <w:r>
        <w:rPr>
          <w:rFonts w:ascii="Arial" w:cs="Arial" w:eastAsia="Arial" w:hAnsi="Arial"/>
          <w:sz w:val="18"/>
          <w:szCs w:val="18"/>
          <w:color w:val="auto"/>
        </w:rPr>
        <w:t>We finance our use of certain facilities and equipment under committed lease arrangements provided by various institutions. Since the terms of these arrangements meet the accounting definition of operating lease arrangements, the aggregate sum of future minimum lease payments is not reflected on our balance sheets. At July 31, 2019, future minimum lease payments under these arrangements approximated $52.0, of which $22.9 is related to long-term real estate leases.</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Indemnities, Commitments and Guarantees</w:t>
      </w:r>
    </w:p>
    <w:p>
      <w:pPr>
        <w:spacing w:after="0" w:line="216" w:lineRule="exact"/>
        <w:rPr>
          <w:sz w:val="20"/>
          <w:szCs w:val="20"/>
          <w:color w:val="auto"/>
        </w:rPr>
      </w:pPr>
    </w:p>
    <w:p>
      <w:pPr>
        <w:ind w:right="140" w:firstLine="648"/>
        <w:spacing w:after="0" w:line="246" w:lineRule="auto"/>
        <w:rPr>
          <w:sz w:val="20"/>
          <w:szCs w:val="20"/>
          <w:color w:val="auto"/>
        </w:rPr>
      </w:pPr>
      <w:r>
        <w:rPr>
          <w:rFonts w:ascii="Arial" w:cs="Arial" w:eastAsia="Arial" w:hAnsi="Arial"/>
          <w:sz w:val="18"/>
          <w:szCs w:val="18"/>
          <w:color w:val="auto"/>
        </w:rPr>
        <w:t>In the normal course of our business, we make certain indemnities, commitments and guarantees under which we may be required to make payments in relation to certain transactions. These indemnities</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40" w:right="1419" w:bottom="1440" w:gutter="0" w:footer="0" w:header="0"/>
        </w:sectPr>
      </w:pPr>
    </w:p>
    <w:bookmarkStart w:id="27" w:name="page28"/>
    <w:bookmarkEnd w:id="2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35"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include indemnities to various lessors in connection with facility leases for certain claims arising from such facility or lease and indemnities to other parties to certain acquisition agreements. The duration of these indemnities, commitments and guarantees varies and, in certain cases, is indefinite. Many of these indemnities, commitments and guarantees provide for limitations on the maximum potential future payments we could be obligated to make. However, we are unable to estimate the maximum amount of liability related to our indemnities, commitments and guarantees because such liabilities are contingent upon the occurrence of events that are not reasonably determinable. Our management believes that any liability for these indemnities, commitments and guarantees would not be material to our financial statements. Accordingly, no significant amounts have been accrued for indemnities, commitments and guarantees.</w:t>
      </w:r>
    </w:p>
    <w:p>
      <w:pPr>
        <w:spacing w:after="0" w:line="194" w:lineRule="exact"/>
        <w:rPr>
          <w:sz w:val="20"/>
          <w:szCs w:val="20"/>
          <w:color w:val="auto"/>
        </w:rPr>
      </w:pPr>
    </w:p>
    <w:p>
      <w:pPr>
        <w:jc w:val="both"/>
        <w:ind w:right="160" w:firstLine="648"/>
        <w:spacing w:after="0" w:line="239" w:lineRule="auto"/>
        <w:rPr>
          <w:sz w:val="20"/>
          <w:szCs w:val="20"/>
          <w:color w:val="auto"/>
        </w:rPr>
      </w:pPr>
      <w:r>
        <w:rPr>
          <w:rFonts w:ascii="Arial" w:cs="Arial" w:eastAsia="Arial" w:hAnsi="Arial"/>
          <w:sz w:val="18"/>
          <w:szCs w:val="18"/>
          <w:color w:val="auto"/>
        </w:rPr>
        <w:t>We have employment agreements with certain key members of management expiring on various dates. Our employment agreements generally provide for certain protections in the event of a change of control. These protections generally include the payment of severance and related benefits under certain circumstances in the event of a change of control.</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Seasonality</w:t>
      </w:r>
    </w:p>
    <w:p>
      <w:pPr>
        <w:spacing w:after="0" w:line="220"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Our operations are subject to seasonal factors and our overall financial results reflect seasonal variations. Specifically, we typically have experienced a pause by our customers around the holiday season in the fourth quarter, which may be compounded as our customers exhaust their annual capital spending budgets towards year end. Additionally, our operations are directly affected by weather conditions. During the winter months (first and fourth quarters) and periods of heavy snow, ice or rain, particularly in our Rocky Mountains and Northeast/Mid-Con segments, our customers may delay operations or we may not be able to operate or move our equipment between locations. Also, during the spring thaw, which normally starts in late March and continues through June, some areas may impose transportation restrictions to prevent damage caused by the spring thaw. Lastly, throughout the year, heavy rains adversely affect activity levels, as well locations and dirt access roads can become impassible in wet conditions. Weather conditions also affect the demand for, and prices of, oil and natural gas and, as a result, demand for our services. Demand for oil and natural gas is typically higher in the first and fourth quarters, resulting in higher prices in these quarters.</w:t>
      </w:r>
    </w:p>
    <w:p>
      <w:pPr>
        <w:spacing w:after="0" w:line="169"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Backlog</w:t>
      </w:r>
    </w:p>
    <w:p>
      <w:pPr>
        <w:spacing w:after="0" w:line="220" w:lineRule="exact"/>
        <w:rPr>
          <w:sz w:val="20"/>
          <w:szCs w:val="20"/>
          <w:color w:val="auto"/>
        </w:rPr>
      </w:pPr>
    </w:p>
    <w:p>
      <w:pPr>
        <w:ind w:right="220" w:firstLine="648"/>
        <w:spacing w:after="0" w:line="239" w:lineRule="auto"/>
        <w:rPr>
          <w:sz w:val="20"/>
          <w:szCs w:val="20"/>
          <w:color w:val="auto"/>
        </w:rPr>
      </w:pPr>
      <w:r>
        <w:rPr>
          <w:rFonts w:ascii="Arial" w:cs="Arial" w:eastAsia="Arial" w:hAnsi="Arial"/>
          <w:sz w:val="18"/>
          <w:szCs w:val="18"/>
          <w:color w:val="auto"/>
        </w:rPr>
        <w:t>We operate under master service agreements (“MSAs”) with our E&amp;P customers, which set forth the terms and conditions for the provision of services and related tools and equipment. Completion services are typically based on a day rate with rates based on the type of equipment and competitive conditions. As a result, we do not record backlog.</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Effect of Inflation</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Inflation has not had and is not expected to have a significant effect on our operations.</w:t>
      </w:r>
    </w:p>
    <w:p>
      <w:pPr>
        <w:spacing w:after="0" w:line="176"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Critical Accounting Policies</w:t>
      </w:r>
    </w:p>
    <w:p>
      <w:pPr>
        <w:spacing w:after="0" w:line="220" w:lineRule="exact"/>
        <w:rPr>
          <w:sz w:val="20"/>
          <w:szCs w:val="20"/>
          <w:color w:val="auto"/>
        </w:rPr>
      </w:pPr>
    </w:p>
    <w:p>
      <w:pPr>
        <w:ind w:right="160" w:firstLine="648"/>
        <w:spacing w:after="0" w:line="237" w:lineRule="auto"/>
        <w:rPr>
          <w:sz w:val="20"/>
          <w:szCs w:val="20"/>
          <w:color w:val="auto"/>
        </w:rPr>
      </w:pPr>
      <w:r>
        <w:rPr>
          <w:rFonts w:ascii="Arial" w:cs="Arial" w:eastAsia="Arial" w:hAnsi="Arial"/>
          <w:sz w:val="18"/>
          <w:szCs w:val="18"/>
          <w:color w:val="auto"/>
        </w:rPr>
        <w:t>Critical accounting policies are defined as those that are reflective of significant judgments and uncertainties, and potentially result in materially different results under different assumptions and conditions. We believe that our critical accounting policies are limited to those described in the Critical Accounting Policies section of Management’s Discussion and Analysis of Financial Condition and Results of Operations included in our 2018 Form 10-K. Except for the changes below, there have been no changes to our critical accounting policies since January 31, 2019.</w:t>
      </w:r>
    </w:p>
    <w:p>
      <w:pPr>
        <w:spacing w:after="0" w:line="192" w:lineRule="exact"/>
        <w:rPr>
          <w:sz w:val="20"/>
          <w:szCs w:val="20"/>
          <w:color w:val="auto"/>
        </w:rPr>
      </w:pPr>
    </w:p>
    <w:p>
      <w:pPr>
        <w:ind w:right="280" w:firstLine="648"/>
        <w:spacing w:after="0" w:line="239" w:lineRule="auto"/>
        <w:rPr>
          <w:sz w:val="20"/>
          <w:szCs w:val="20"/>
          <w:color w:val="auto"/>
        </w:rPr>
      </w:pPr>
      <w:r>
        <w:rPr>
          <w:rFonts w:ascii="Arial" w:cs="Arial" w:eastAsia="Arial" w:hAnsi="Arial"/>
          <w:sz w:val="18"/>
          <w:szCs w:val="18"/>
          <w:color w:val="auto"/>
        </w:rPr>
        <w:t>The discussion and analysis of our financial condition and results of operations are based upon our condensed consolidated financial statements, which have been prepared in accordance with GAAP. The preparation of our financial statements requires us to make estimates and assumptions that affect the reported amounts of assets, liabilities, revenues and expenses and related disclosure of contingent assets</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40" w:right="1419" w:bottom="1440" w:gutter="0" w:footer="0" w:header="0"/>
        </w:sectPr>
      </w:pPr>
    </w:p>
    <w:bookmarkStart w:id="28" w:name="page29"/>
    <w:bookmarkEnd w:id="2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35"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and liabilities. Certain accounting policies involve judgments and uncertainties to such an extent that there is a reasonable likelihood that materially different amounts could have been reported under different conditions, or if different assumptions had been used. We evaluate our estimates and assumptions on a regular basis. We base our estimates on historical experience and various other assumptions that are believed to be reasonable under the circumstances, the results of which form the basis for making judgments about the carrying values of assets and liabilities that are not readily apparent from other sources. Actual results may differ from these estimates and assumptions used in preparation of our financial statements. We provide expanded discussion of our more significant accounting policies, estimates and judgments below. We believe that most of these accounting policies reflect our more significant estimates and assumptions used in preparation of our financial statements.</w:t>
      </w:r>
    </w:p>
    <w:p>
      <w:pPr>
        <w:spacing w:after="0" w:line="17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Revenue from Contracts with Customers</w:t>
      </w:r>
    </w:p>
    <w:p>
      <w:pPr>
        <w:spacing w:after="0" w:line="216" w:lineRule="exact"/>
        <w:rPr>
          <w:sz w:val="20"/>
          <w:szCs w:val="20"/>
          <w:color w:val="auto"/>
        </w:rPr>
      </w:pPr>
    </w:p>
    <w:p>
      <w:pPr>
        <w:ind w:right="140" w:firstLine="648"/>
        <w:spacing w:after="0" w:line="236" w:lineRule="auto"/>
        <w:rPr>
          <w:sz w:val="20"/>
          <w:szCs w:val="20"/>
          <w:color w:val="auto"/>
        </w:rPr>
      </w:pPr>
      <w:r>
        <w:rPr>
          <w:rFonts w:ascii="Arial" w:cs="Arial" w:eastAsia="Arial" w:hAnsi="Arial"/>
          <w:sz w:val="18"/>
          <w:szCs w:val="18"/>
          <w:color w:val="auto"/>
        </w:rPr>
        <w:t>Under ASC Topic 606, we recognize revenue when our customer obtains control of promised goods or services, in an amount that reflects the consideration which we expect to receive in exchange for those goods or services. To determine revenue recognition for arrangements that we determine are within the scope of ASC Topic 606, we perform the following five steps: (i) identify the contract(s) with a customer; (ii) identify the performance obligations in the contract; (iii) determine the transaction price; (iv) allocate the transaction price to the performance obligations in the contract; and (v) recognize revenue when (or as) the Company satisfies a performance obligation. We recognize revenue in the amount of the transaction price that is allocated to the respective performance obligation when (or as) the performance obligation is satisfied.</w:t>
      </w:r>
    </w:p>
    <w:p>
      <w:pPr>
        <w:spacing w:after="0" w:line="195" w:lineRule="exact"/>
        <w:rPr>
          <w:sz w:val="20"/>
          <w:szCs w:val="20"/>
          <w:color w:val="auto"/>
        </w:rPr>
      </w:pPr>
    </w:p>
    <w:p>
      <w:pPr>
        <w:ind w:right="100" w:firstLine="648"/>
        <w:spacing w:after="0"/>
        <w:rPr>
          <w:sz w:val="20"/>
          <w:szCs w:val="20"/>
          <w:color w:val="auto"/>
        </w:rPr>
      </w:pPr>
      <w:r>
        <w:rPr>
          <w:rFonts w:ascii="Arial" w:cs="Arial" w:eastAsia="Arial" w:hAnsi="Arial"/>
          <w:sz w:val="18"/>
          <w:szCs w:val="18"/>
          <w:color w:val="auto"/>
        </w:rPr>
        <w:t>Service revenues are recorded over time throughout and for the duration of the service period. Contracts are pursuant to a MSA combined with a completed field ticket or a work order, which sets forth the details of the specific transaction, including pricing.</w:t>
      </w:r>
    </w:p>
    <w:p>
      <w:pPr>
        <w:spacing w:after="0" w:line="189" w:lineRule="exact"/>
        <w:rPr>
          <w:sz w:val="20"/>
          <w:szCs w:val="20"/>
          <w:color w:val="auto"/>
        </w:rPr>
      </w:pPr>
    </w:p>
    <w:p>
      <w:pPr>
        <w:ind w:right="140" w:firstLine="648"/>
        <w:spacing w:after="0" w:line="239" w:lineRule="auto"/>
        <w:rPr>
          <w:sz w:val="20"/>
          <w:szCs w:val="20"/>
          <w:color w:val="auto"/>
        </w:rPr>
      </w:pPr>
      <w:r>
        <w:rPr>
          <w:rFonts w:ascii="Arial" w:cs="Arial" w:eastAsia="Arial" w:hAnsi="Arial"/>
          <w:sz w:val="18"/>
          <w:szCs w:val="18"/>
          <w:color w:val="auto"/>
        </w:rPr>
        <w:t>Revenues from product sales are recognized when the customer obtains control of our product, which occurs at a point in time, typically upon delivery in accordance with the terms of the field ticket or work order. We provide allowances for credits, based on historic experience, and adjust such allowances as considered necessary.</w:t>
      </w:r>
    </w:p>
    <w:p>
      <w:pPr>
        <w:spacing w:after="0" w:line="188" w:lineRule="exact"/>
        <w:rPr>
          <w:sz w:val="20"/>
          <w:szCs w:val="20"/>
          <w:color w:val="auto"/>
        </w:rPr>
      </w:pPr>
    </w:p>
    <w:p>
      <w:pPr>
        <w:ind w:right="120" w:firstLine="648"/>
        <w:spacing w:after="0"/>
        <w:rPr>
          <w:sz w:val="20"/>
          <w:szCs w:val="20"/>
          <w:color w:val="auto"/>
        </w:rPr>
      </w:pPr>
      <w:r>
        <w:rPr>
          <w:rFonts w:ascii="Arial" w:cs="Arial" w:eastAsia="Arial" w:hAnsi="Arial"/>
          <w:sz w:val="18"/>
          <w:szCs w:val="18"/>
          <w:color w:val="auto"/>
        </w:rPr>
        <w:t>We operate under MSAs with our oil and gas customers, which set forth the terms and conditions for the provision of services. Service contracts are typically based on a day rate with rates based on the type of equipment and competitive conditions. As a result, we do not record backlog.</w:t>
      </w:r>
    </w:p>
    <w:p>
      <w:pPr>
        <w:spacing w:after="0" w:line="167"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Recent Accounting Pronouncements</w:t>
      </w:r>
    </w:p>
    <w:p>
      <w:pPr>
        <w:spacing w:after="0" w:line="220"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See Note 2 “Recent Accounting Pronouncements” for a discussion of recently issued accounting pronouncements. As an “emerging growth company” under the JOBS Act, we are offered an opportunity to use an extended transition period for the adoption of new or revised financial accounting standards. We operate under the reduced reporting requirements and exemptions, including the longer phase-in periods for the adoption of new or revised financial accounting standards, until we are no longer an emerging growth company. Our election to use the phase-in periods permitted by this election may make it difficult to compare our financial statements to those of non-emerging growth companies and other emerging growth companies that have opted out of the longer phase-in periods under Section 107 of the JOBS Act and who will comply with new or revised financial accounting standards. If we were to subsequently elect instead to comply with these public company effective dates, such election would be irrevocable pursuant to Section 107 of the JOBS Act.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0" w:lineRule="exact"/>
        <w:rPr>
          <w:sz w:val="20"/>
          <w:szCs w:val="20"/>
          <w:color w:val="auto"/>
        </w:rPr>
      </w:pPr>
    </w:p>
    <w:p>
      <w:pPr>
        <w:ind w:right="360" w:firstLine="648"/>
        <w:spacing w:after="0"/>
        <w:rPr>
          <w:sz w:val="20"/>
          <w:szCs w:val="20"/>
          <w:color w:val="auto"/>
        </w:rPr>
      </w:pPr>
      <w:r>
        <w:rPr>
          <w:rFonts w:ascii="Arial" w:cs="Arial" w:eastAsia="Arial" w:hAnsi="Arial"/>
          <w:sz w:val="18"/>
          <w:szCs w:val="18"/>
          <w:color w:val="auto"/>
        </w:rPr>
        <w:t>The Private Securities Litigation Reform Act of 1995 provides a "safe harbor" for forward-looking statements to encourage companies to provide prospective information to investors. This Quarterly Report on Form 10-Q (this “Form 10-Q”) includes forward-looking statements that reflect our current expectations and</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40" w:right="1419" w:bottom="1440" w:gutter="0" w:footer="0" w:header="0"/>
        </w:sectPr>
      </w:pPr>
    </w:p>
    <w:bookmarkStart w:id="29" w:name="page30"/>
    <w:bookmarkEnd w:id="2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35" w:lineRule="exact"/>
        <w:rPr>
          <w:sz w:val="20"/>
          <w:szCs w:val="20"/>
          <w:color w:val="auto"/>
        </w:rPr>
      </w:pPr>
    </w:p>
    <w:p>
      <w:pPr>
        <w:ind w:right="19"/>
        <w:spacing w:after="0" w:line="238" w:lineRule="auto"/>
        <w:rPr>
          <w:sz w:val="20"/>
          <w:szCs w:val="20"/>
          <w:color w:val="auto"/>
        </w:rPr>
      </w:pPr>
      <w:r>
        <w:rPr>
          <w:rFonts w:ascii="Arial" w:cs="Arial" w:eastAsia="Arial" w:hAnsi="Arial"/>
          <w:sz w:val="18"/>
          <w:szCs w:val="18"/>
          <w:color w:val="auto"/>
        </w:rPr>
        <w:t>projections about our future results, performance and prospects. Forward-looking statements include all statements that are not historical in nature or are not current facts. We have tried to identify these forward-looking statements by using forward-looking words including "believe," "expect," "plan," "intend," "anticipate," "estimate," "predict," "potential," "continue," "may," "might," "should," "could," "will" or the negative of these terms or similar expressions.</w:t>
      </w:r>
    </w:p>
    <w:p>
      <w:pPr>
        <w:spacing w:after="0" w:line="189" w:lineRule="exact"/>
        <w:rPr>
          <w:sz w:val="20"/>
          <w:szCs w:val="20"/>
          <w:color w:val="auto"/>
        </w:rPr>
      </w:pPr>
    </w:p>
    <w:p>
      <w:pPr>
        <w:ind w:right="79" w:firstLine="648"/>
        <w:spacing w:after="0" w:line="255" w:lineRule="auto"/>
        <w:rPr>
          <w:sz w:val="20"/>
          <w:szCs w:val="20"/>
          <w:color w:val="auto"/>
        </w:rPr>
      </w:pPr>
      <w:r>
        <w:rPr>
          <w:rFonts w:ascii="Arial" w:cs="Arial" w:eastAsia="Arial" w:hAnsi="Arial"/>
          <w:sz w:val="17"/>
          <w:szCs w:val="17"/>
          <w:color w:val="auto"/>
        </w:rPr>
        <w:t>These forward-looking statements are subject to a number of risks, uncertainties, assumptions and other factors that could cause our actual results, performance and prospects to differ materially from those expressed in, or implied by, these forward-looking statements. Factors that might cause such a difference include those discussed in our filings with the SEC, in particular those discussed under the headings “Risk Factors” in our Annual Report on Form 10-K for the fiscal year ended January 31, 2019, including the following factors:</w:t>
      </w:r>
    </w:p>
    <w:p>
      <w:pPr>
        <w:spacing w:after="0" w:line="177" w:lineRule="exact"/>
        <w:rPr>
          <w:sz w:val="20"/>
          <w:szCs w:val="20"/>
          <w:color w:val="auto"/>
        </w:rPr>
      </w:pPr>
    </w:p>
    <w:p>
      <w:pPr>
        <w:ind w:left="820" w:hanging="169"/>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regulation of and dependence upon the energy industry;</w:t>
      </w:r>
    </w:p>
    <w:p>
      <w:pPr>
        <w:spacing w:after="0" w:line="9" w:lineRule="exact"/>
        <w:rPr>
          <w:rFonts w:ascii="Arial" w:cs="Arial" w:eastAsia="Arial" w:hAnsi="Arial"/>
          <w:sz w:val="18"/>
          <w:szCs w:val="18"/>
          <w:color w:val="auto"/>
        </w:rPr>
      </w:pPr>
    </w:p>
    <w:p>
      <w:pPr>
        <w:ind w:left="820" w:hanging="169"/>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cyclical nature of the energy industry;</w:t>
      </w:r>
    </w:p>
    <w:p>
      <w:pPr>
        <w:spacing w:after="0" w:line="9" w:lineRule="exact"/>
        <w:rPr>
          <w:rFonts w:ascii="Arial" w:cs="Arial" w:eastAsia="Arial" w:hAnsi="Arial"/>
          <w:sz w:val="18"/>
          <w:szCs w:val="18"/>
          <w:color w:val="auto"/>
        </w:rPr>
      </w:pPr>
    </w:p>
    <w:p>
      <w:pPr>
        <w:ind w:left="820" w:hanging="169"/>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market prices for fuel, oil and natural gas;</w:t>
      </w:r>
    </w:p>
    <w:p>
      <w:pPr>
        <w:spacing w:after="0" w:line="9" w:lineRule="exact"/>
        <w:rPr>
          <w:rFonts w:ascii="Arial" w:cs="Arial" w:eastAsia="Arial" w:hAnsi="Arial"/>
          <w:sz w:val="18"/>
          <w:szCs w:val="18"/>
          <w:color w:val="auto"/>
        </w:rPr>
      </w:pPr>
    </w:p>
    <w:p>
      <w:pPr>
        <w:ind w:left="820" w:hanging="169"/>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competitive conditions;</w:t>
      </w:r>
    </w:p>
    <w:p>
      <w:pPr>
        <w:spacing w:after="0" w:line="9" w:lineRule="exact"/>
        <w:rPr>
          <w:rFonts w:ascii="Arial" w:cs="Arial" w:eastAsia="Arial" w:hAnsi="Arial"/>
          <w:sz w:val="18"/>
          <w:szCs w:val="18"/>
          <w:color w:val="auto"/>
        </w:rPr>
      </w:pPr>
    </w:p>
    <w:p>
      <w:pPr>
        <w:ind w:left="820" w:hanging="169"/>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legislative or regulatory changes and potential liability under federal and state laws and regulations;</w:t>
      </w:r>
    </w:p>
    <w:p>
      <w:pPr>
        <w:spacing w:after="0" w:line="9" w:lineRule="exact"/>
        <w:rPr>
          <w:rFonts w:ascii="Arial" w:cs="Arial" w:eastAsia="Arial" w:hAnsi="Arial"/>
          <w:sz w:val="18"/>
          <w:szCs w:val="18"/>
          <w:color w:val="auto"/>
        </w:rPr>
      </w:pPr>
    </w:p>
    <w:p>
      <w:pPr>
        <w:ind w:left="820" w:hanging="169"/>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decreases in the rate at which oil or natural gas reserves are discovered or developed;</w:t>
      </w:r>
    </w:p>
    <w:p>
      <w:pPr>
        <w:spacing w:after="0" w:line="9" w:lineRule="exact"/>
        <w:rPr>
          <w:rFonts w:ascii="Arial" w:cs="Arial" w:eastAsia="Arial" w:hAnsi="Arial"/>
          <w:sz w:val="18"/>
          <w:szCs w:val="18"/>
          <w:color w:val="auto"/>
        </w:rPr>
      </w:pPr>
    </w:p>
    <w:p>
      <w:pPr>
        <w:ind w:left="820" w:hanging="169"/>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impact of technological advances on the demand for our products and services;</w:t>
      </w:r>
    </w:p>
    <w:p>
      <w:pPr>
        <w:spacing w:after="0" w:line="9" w:lineRule="exact"/>
        <w:rPr>
          <w:rFonts w:ascii="Arial" w:cs="Arial" w:eastAsia="Arial" w:hAnsi="Arial"/>
          <w:sz w:val="18"/>
          <w:szCs w:val="18"/>
          <w:color w:val="auto"/>
        </w:rPr>
      </w:pPr>
    </w:p>
    <w:p>
      <w:pPr>
        <w:ind w:left="820" w:hanging="169"/>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delays of customers obtaining permits for their operations;</w:t>
      </w:r>
    </w:p>
    <w:p>
      <w:pPr>
        <w:spacing w:after="0" w:line="9" w:lineRule="exact"/>
        <w:rPr>
          <w:rFonts w:ascii="Arial" w:cs="Arial" w:eastAsia="Arial" w:hAnsi="Arial"/>
          <w:sz w:val="18"/>
          <w:szCs w:val="18"/>
          <w:color w:val="auto"/>
        </w:rPr>
      </w:pPr>
    </w:p>
    <w:p>
      <w:pPr>
        <w:ind w:left="820" w:hanging="169"/>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hazards and operational risks that may not be fully covered by insurance;</w:t>
      </w:r>
    </w:p>
    <w:p>
      <w:pPr>
        <w:spacing w:after="0" w:line="9" w:lineRule="exact"/>
        <w:rPr>
          <w:rFonts w:ascii="Arial" w:cs="Arial" w:eastAsia="Arial" w:hAnsi="Arial"/>
          <w:sz w:val="18"/>
          <w:szCs w:val="18"/>
          <w:color w:val="auto"/>
        </w:rPr>
      </w:pPr>
    </w:p>
    <w:p>
      <w:pPr>
        <w:ind w:left="820" w:hanging="169"/>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write-off of a significant portion of intangible assets;</w:t>
      </w:r>
    </w:p>
    <w:p>
      <w:pPr>
        <w:spacing w:after="0" w:line="9" w:lineRule="exact"/>
        <w:rPr>
          <w:rFonts w:ascii="Arial" w:cs="Arial" w:eastAsia="Arial" w:hAnsi="Arial"/>
          <w:sz w:val="18"/>
          <w:szCs w:val="18"/>
          <w:color w:val="auto"/>
        </w:rPr>
      </w:pPr>
    </w:p>
    <w:p>
      <w:pPr>
        <w:ind w:left="820" w:right="479" w:hanging="169"/>
        <w:spacing w:after="0" w:line="234" w:lineRule="auto"/>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need to obtain additional capital or financing, and the availability and/or cost of obtaining such capital or financing;</w:t>
      </w:r>
    </w:p>
    <w:p>
      <w:pPr>
        <w:spacing w:after="0" w:line="1" w:lineRule="exact"/>
        <w:rPr>
          <w:rFonts w:ascii="Arial" w:cs="Arial" w:eastAsia="Arial" w:hAnsi="Arial"/>
          <w:sz w:val="18"/>
          <w:szCs w:val="18"/>
          <w:color w:val="auto"/>
        </w:rPr>
      </w:pPr>
    </w:p>
    <w:p>
      <w:pPr>
        <w:ind w:left="820" w:right="179" w:hanging="169"/>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limitations that our organizational documents, debt instruments and U.S. federal income tax requirements may have on our financial flexibility, our ability to engage in strategic transactions or our ability to declare and pay cash dividends on our common stock;</w:t>
      </w:r>
    </w:p>
    <w:p>
      <w:pPr>
        <w:ind w:left="820" w:hanging="169"/>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credit profile;</w:t>
      </w:r>
    </w:p>
    <w:p>
      <w:pPr>
        <w:spacing w:after="0" w:line="9" w:lineRule="exact"/>
        <w:rPr>
          <w:rFonts w:ascii="Arial" w:cs="Arial" w:eastAsia="Arial" w:hAnsi="Arial"/>
          <w:sz w:val="18"/>
          <w:szCs w:val="18"/>
          <w:color w:val="auto"/>
        </w:rPr>
      </w:pPr>
    </w:p>
    <w:p>
      <w:pPr>
        <w:ind w:left="820" w:hanging="169"/>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supply and demand of equipment;</w:t>
      </w:r>
    </w:p>
    <w:p>
      <w:pPr>
        <w:spacing w:after="0" w:line="9" w:lineRule="exact"/>
        <w:rPr>
          <w:rFonts w:ascii="Arial" w:cs="Arial" w:eastAsia="Arial" w:hAnsi="Arial"/>
          <w:sz w:val="18"/>
          <w:szCs w:val="18"/>
          <w:color w:val="auto"/>
        </w:rPr>
      </w:pPr>
    </w:p>
    <w:p>
      <w:pPr>
        <w:ind w:left="820" w:hanging="169"/>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oilfield anti-indemnity provisions;</w:t>
      </w:r>
    </w:p>
    <w:p>
      <w:pPr>
        <w:spacing w:after="0" w:line="9" w:lineRule="exact"/>
        <w:rPr>
          <w:rFonts w:ascii="Arial" w:cs="Arial" w:eastAsia="Arial" w:hAnsi="Arial"/>
          <w:sz w:val="18"/>
          <w:szCs w:val="18"/>
          <w:color w:val="auto"/>
        </w:rPr>
      </w:pPr>
    </w:p>
    <w:p>
      <w:pPr>
        <w:ind w:left="820" w:hanging="169"/>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severe weather;</w:t>
      </w:r>
    </w:p>
    <w:p>
      <w:pPr>
        <w:spacing w:after="0" w:line="9" w:lineRule="exact"/>
        <w:rPr>
          <w:rFonts w:ascii="Arial" w:cs="Arial" w:eastAsia="Arial" w:hAnsi="Arial"/>
          <w:sz w:val="18"/>
          <w:szCs w:val="18"/>
          <w:color w:val="auto"/>
        </w:rPr>
      </w:pPr>
    </w:p>
    <w:p>
      <w:pPr>
        <w:ind w:left="820" w:hanging="169"/>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reliance on information technology resources and the inability to implement new technology;</w:t>
      </w:r>
    </w:p>
    <w:p>
      <w:pPr>
        <w:spacing w:after="0" w:line="9" w:lineRule="exact"/>
        <w:rPr>
          <w:rFonts w:ascii="Arial" w:cs="Arial" w:eastAsia="Arial" w:hAnsi="Arial"/>
          <w:sz w:val="18"/>
          <w:szCs w:val="18"/>
          <w:color w:val="auto"/>
        </w:rPr>
      </w:pPr>
    </w:p>
    <w:p>
      <w:pPr>
        <w:ind w:left="820" w:hanging="169"/>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increased labor costs or the unavailability of skilled workers;</w:t>
      </w:r>
    </w:p>
    <w:p>
      <w:pPr>
        <w:spacing w:after="0" w:line="9" w:lineRule="exact"/>
        <w:rPr>
          <w:rFonts w:ascii="Arial" w:cs="Arial" w:eastAsia="Arial" w:hAnsi="Arial"/>
          <w:sz w:val="18"/>
          <w:szCs w:val="18"/>
          <w:color w:val="auto"/>
        </w:rPr>
      </w:pPr>
    </w:p>
    <w:p>
      <w:pPr>
        <w:ind w:left="820" w:hanging="169"/>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inability to successfully consummate acquisitions or inability to manage potential growth; and</w:t>
      </w:r>
    </w:p>
    <w:p>
      <w:pPr>
        <w:spacing w:after="0" w:line="9" w:lineRule="exact"/>
        <w:rPr>
          <w:rFonts w:ascii="Arial" w:cs="Arial" w:eastAsia="Arial" w:hAnsi="Arial"/>
          <w:sz w:val="18"/>
          <w:szCs w:val="18"/>
          <w:color w:val="auto"/>
        </w:rPr>
      </w:pPr>
    </w:p>
    <w:p>
      <w:pPr>
        <w:ind w:left="820" w:hanging="169"/>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inability to achieve some or all of the benefits of the Spin-Off.</w:t>
      </w:r>
    </w:p>
    <w:p>
      <w:pPr>
        <w:spacing w:after="0" w:line="212" w:lineRule="exact"/>
        <w:rPr>
          <w:sz w:val="20"/>
          <w:szCs w:val="20"/>
          <w:color w:val="auto"/>
        </w:rPr>
      </w:pPr>
    </w:p>
    <w:p>
      <w:pPr>
        <w:ind w:right="119" w:firstLine="648"/>
        <w:spacing w:after="0" w:line="253" w:lineRule="auto"/>
        <w:rPr>
          <w:sz w:val="20"/>
          <w:szCs w:val="20"/>
          <w:color w:val="auto"/>
        </w:rPr>
      </w:pPr>
      <w:r>
        <w:rPr>
          <w:rFonts w:ascii="Arial" w:cs="Arial" w:eastAsia="Arial" w:hAnsi="Arial"/>
          <w:sz w:val="17"/>
          <w:szCs w:val="17"/>
          <w:color w:val="auto"/>
        </w:rPr>
        <w:t>In light of these risks and uncertainties, you are cautioned not to put undue reliance on any forward-looking statements in this Form 10-Q. These statements should be considered only after carefully reading this entire Form 10-Q. Except as required under the federal securities laws and rules and regulations of the SEC, we undertake no obligation to publicly update or revise any forward-looking statements, whether as a result of new information, future events or otherwise. Additional risks that we may currently deem immaterial or that are not presently known to us could also cause the forward-looking events discussed in this Form 10-Q not to occur.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3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 July 31, 2019 and January 31, 2019, we held no significant derivative instruments.</w:t>
      </w:r>
    </w:p>
    <w:p>
      <w:pPr>
        <w:spacing w:after="0" w:line="180" w:lineRule="exact"/>
        <w:rPr>
          <w:sz w:val="20"/>
          <w:szCs w:val="20"/>
          <w:color w:val="auto"/>
        </w:rPr>
      </w:pPr>
    </w:p>
    <w:p>
      <w:pPr>
        <w:ind w:right="119" w:firstLine="648"/>
        <w:spacing w:after="0" w:line="267" w:lineRule="auto"/>
        <w:rPr>
          <w:sz w:val="20"/>
          <w:szCs w:val="20"/>
          <w:color w:val="auto"/>
        </w:rPr>
      </w:pPr>
      <w:r>
        <w:rPr>
          <w:rFonts w:ascii="Arial" w:cs="Arial" w:eastAsia="Arial" w:hAnsi="Arial"/>
          <w:sz w:val="18"/>
          <w:szCs w:val="18"/>
          <w:i w:val="1"/>
          <w:iCs w:val="1"/>
          <w:color w:val="auto"/>
        </w:rPr>
        <w:t xml:space="preserve">Interest Rate Risk </w:t>
      </w:r>
      <w:r>
        <w:rPr>
          <w:rFonts w:ascii="Arial" w:cs="Arial" w:eastAsia="Arial" w:hAnsi="Arial"/>
          <w:sz w:val="18"/>
          <w:szCs w:val="18"/>
          <w:color w:val="auto"/>
        </w:rPr>
        <w:t>– We will have interest rate exposure arising from variable interest with respect to our</w:t>
      </w:r>
      <w:r>
        <w:rPr>
          <w:rFonts w:ascii="Arial" w:cs="Arial" w:eastAsia="Arial" w:hAnsi="Arial"/>
          <w:sz w:val="18"/>
          <w:szCs w:val="18"/>
          <w:i w:val="1"/>
          <w:iCs w:val="1"/>
          <w:color w:val="auto"/>
        </w:rPr>
        <w:t xml:space="preserve"> </w:t>
      </w:r>
      <w:r>
        <w:rPr>
          <w:rFonts w:ascii="Arial" w:cs="Arial" w:eastAsia="Arial" w:hAnsi="Arial"/>
          <w:sz w:val="18"/>
          <w:szCs w:val="18"/>
          <w:color w:val="auto"/>
        </w:rPr>
        <w:t>ABL Facility as any borrowings would be impacted by changes in short-term interest rates.</w:t>
      </w:r>
    </w:p>
    <w:p>
      <w:pPr>
        <w:spacing w:after="0" w:line="200" w:lineRule="exact"/>
        <w:rPr>
          <w:sz w:val="20"/>
          <w:szCs w:val="20"/>
          <w:color w:val="auto"/>
        </w:rPr>
      </w:pPr>
    </w:p>
    <w:p>
      <w:pPr>
        <w:spacing w:after="0" w:line="39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40" w:right="1440" w:bottom="1440" w:gutter="0" w:footer="0" w:header="0"/>
        </w:sectPr>
      </w:pPr>
    </w:p>
    <w:bookmarkStart w:id="30" w:name="page31"/>
    <w:bookmarkEnd w:id="3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35" w:lineRule="exact"/>
        <w:rPr>
          <w:sz w:val="20"/>
          <w:szCs w:val="20"/>
          <w:color w:val="auto"/>
        </w:rPr>
      </w:pPr>
    </w:p>
    <w:p>
      <w:pPr>
        <w:ind w:right="79" w:firstLine="648"/>
        <w:spacing w:after="0" w:line="239" w:lineRule="auto"/>
        <w:rPr>
          <w:sz w:val="20"/>
          <w:szCs w:val="20"/>
          <w:color w:val="auto"/>
        </w:rPr>
      </w:pPr>
      <w:r>
        <w:rPr>
          <w:rFonts w:ascii="Arial" w:cs="Arial" w:eastAsia="Arial" w:hAnsi="Arial"/>
          <w:sz w:val="18"/>
          <w:szCs w:val="18"/>
          <w:color w:val="auto"/>
        </w:rPr>
        <w:t>As of July 31, 2019, we maintained a portfolio of cash and securities consisting mainly of taxable, interest-bearing deposits with weighted average maturities of less than three months. If short-term interest rates were to increase or decrease by 10%, we estimate interest income would increase or decrease by approximately $0.1.</w:t>
      </w:r>
    </w:p>
    <w:p>
      <w:pPr>
        <w:spacing w:after="0" w:line="170" w:lineRule="exact"/>
        <w:rPr>
          <w:sz w:val="20"/>
          <w:szCs w:val="20"/>
          <w:color w:val="auto"/>
        </w:rPr>
      </w:pPr>
    </w:p>
    <w:p>
      <w:pPr>
        <w:ind w:right="139" w:firstLine="648"/>
        <w:spacing w:after="0" w:line="242" w:lineRule="auto"/>
        <w:rPr>
          <w:sz w:val="20"/>
          <w:szCs w:val="20"/>
          <w:color w:val="auto"/>
        </w:rPr>
      </w:pPr>
      <w:r>
        <w:rPr>
          <w:rFonts w:ascii="Arial" w:cs="Arial" w:eastAsia="Arial" w:hAnsi="Arial"/>
          <w:sz w:val="18"/>
          <w:szCs w:val="18"/>
          <w:i w:val="1"/>
          <w:iCs w:val="1"/>
          <w:color w:val="auto"/>
        </w:rPr>
        <w:t xml:space="preserve">Commodity Price Risk </w:t>
      </w:r>
      <w:r>
        <w:rPr>
          <w:rFonts w:ascii="Arial" w:cs="Arial" w:eastAsia="Arial" w:hAnsi="Arial"/>
          <w:sz w:val="18"/>
          <w:szCs w:val="18"/>
          <w:color w:val="auto"/>
        </w:rPr>
        <w:t>– Our fuel purchases expose us to commodity price risk. Our fuel costs consist</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of diesel fuel used by our various trucks and other motorized equipment. The prices for fuel are volatile and are impacted by changes in supply and demand, as well as market uncertainty and regional shortages. Recently, we have been able to pass along price increases to our customers, but we may be unable to do so in the future. We generally do not engage in commodity price hedging activities.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98"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Disclosure Controls and Procedures</w:t>
      </w:r>
    </w:p>
    <w:p>
      <w:pPr>
        <w:spacing w:after="0" w:line="261" w:lineRule="exact"/>
        <w:rPr>
          <w:sz w:val="20"/>
          <w:szCs w:val="20"/>
          <w:color w:val="auto"/>
        </w:rPr>
      </w:pPr>
    </w:p>
    <w:p>
      <w:pPr>
        <w:ind w:right="119" w:firstLine="648"/>
        <w:spacing w:after="0" w:line="237" w:lineRule="auto"/>
        <w:rPr>
          <w:sz w:val="20"/>
          <w:szCs w:val="20"/>
          <w:color w:val="auto"/>
        </w:rPr>
      </w:pPr>
      <w:r>
        <w:rPr>
          <w:rFonts w:ascii="Arial" w:cs="Arial" w:eastAsia="Arial" w:hAnsi="Arial"/>
          <w:sz w:val="18"/>
          <w:szCs w:val="18"/>
          <w:color w:val="auto"/>
        </w:rPr>
        <w:t>We carried out an evaluation, under the supervision and with the participation of our management, including our Chairman and Chief Executive Officer and Senior Vice President and Chief Financial Officer, of the effectiveness, as of July 31, 2019, of the design and operation of our disclosure controls and procedures (as defined in Rule 13a-15(e) of the Exchange Act). Based upon that evaluation, our Chairman and Chief Executive Officer and Senior Vice President and Chief Financial Officer concluded that our disclosure controls and procedures were effective as of July 31, 2019.</w:t>
      </w:r>
    </w:p>
    <w:p>
      <w:pPr>
        <w:spacing w:after="0" w:line="170"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Internal Control Over Financial Reporting</w:t>
      </w:r>
    </w:p>
    <w:p>
      <w:pPr>
        <w:spacing w:after="0" w:line="220" w:lineRule="exact"/>
        <w:rPr>
          <w:sz w:val="20"/>
          <w:szCs w:val="20"/>
          <w:color w:val="auto"/>
        </w:rPr>
      </w:pPr>
    </w:p>
    <w:p>
      <w:pPr>
        <w:jc w:val="both"/>
        <w:ind w:right="259" w:firstLine="648"/>
        <w:spacing w:after="0"/>
        <w:rPr>
          <w:sz w:val="20"/>
          <w:szCs w:val="20"/>
          <w:color w:val="auto"/>
        </w:rPr>
      </w:pPr>
      <w:r>
        <w:rPr>
          <w:rFonts w:ascii="Arial" w:cs="Arial" w:eastAsia="Arial" w:hAnsi="Arial"/>
          <w:sz w:val="18"/>
          <w:szCs w:val="18"/>
          <w:color w:val="auto"/>
        </w:rPr>
        <w:t>There were no changes in our internal control over financial reporting that occurred during the second fiscal quarter that have materially affected, or are reasonably likely to materially affect, our internal control over financial reporting.</w:t>
      </w:r>
    </w:p>
    <w:p>
      <w:pPr>
        <w:spacing w:after="0" w:line="200" w:lineRule="exact"/>
        <w:rPr>
          <w:sz w:val="20"/>
          <w:szCs w:val="20"/>
          <w:color w:val="auto"/>
        </w:rPr>
      </w:pPr>
    </w:p>
    <w:p>
      <w:pPr>
        <w:spacing w:after="0" w:line="21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40" w:right="1440" w:bottom="1440" w:gutter="0" w:footer="0" w:header="0"/>
        </w:sectPr>
      </w:pPr>
    </w:p>
    <w:bookmarkStart w:id="31" w:name="page32"/>
    <w:bookmarkEnd w:id="3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Submission of Matters to a Vote of Security Holders.</w:t>
      </w:r>
    </w:p>
    <w:p>
      <w:pPr>
        <w:spacing w:after="0" w:line="220" w:lineRule="exact"/>
        <w:rPr>
          <w:sz w:val="20"/>
          <w:szCs w:val="20"/>
          <w:color w:val="auto"/>
        </w:rPr>
      </w:pPr>
    </w:p>
    <w:p>
      <w:pPr>
        <w:ind w:right="40" w:firstLine="648"/>
        <w:spacing w:after="0" w:line="239" w:lineRule="auto"/>
        <w:rPr>
          <w:sz w:val="20"/>
          <w:szCs w:val="20"/>
          <w:color w:val="auto"/>
        </w:rPr>
      </w:pPr>
      <w:r>
        <w:rPr>
          <w:rFonts w:ascii="Arial" w:cs="Arial" w:eastAsia="Arial" w:hAnsi="Arial"/>
          <w:sz w:val="18"/>
          <w:szCs w:val="18"/>
          <w:color w:val="auto"/>
        </w:rPr>
        <w:t>The Annual Meeting of Stockholders of the Company took place on August 22, 2019. Proxies for the meeting were solicited and the proposals described below were submitted to a vote of the Company’s stockholders at the annual meeting. The following is a brief description of each matter voted on and the results of voting.</w:t>
      </w:r>
    </w:p>
    <w:p>
      <w:pPr>
        <w:spacing w:after="0" w:line="391" w:lineRule="exact"/>
        <w:rPr>
          <w:sz w:val="20"/>
          <w:szCs w:val="20"/>
          <w:color w:val="auto"/>
        </w:rPr>
      </w:pPr>
    </w:p>
    <w:p>
      <w:pPr>
        <w:ind w:left="700" w:hanging="373"/>
        <w:spacing w:after="0"/>
        <w:tabs>
          <w:tab w:leader="none" w:pos="7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Election of three Class I Directors.</w:t>
      </w:r>
    </w:p>
    <w:p>
      <w:pPr>
        <w:spacing w:after="0" w:line="211" w:lineRule="exact"/>
        <w:rPr>
          <w:rFonts w:ascii="Arial" w:cs="Arial" w:eastAsia="Arial" w:hAnsi="Arial"/>
          <w:sz w:val="18"/>
          <w:szCs w:val="18"/>
          <w:color w:val="auto"/>
        </w:rPr>
      </w:pPr>
    </w:p>
    <w:p>
      <w:pPr>
        <w:ind w:left="660" w:right="420" w:hanging="333"/>
        <w:spacing w:after="0" w:line="262" w:lineRule="auto"/>
        <w:tabs>
          <w:tab w:leader="none" w:pos="702" w:val="left"/>
        </w:tabs>
        <w:numPr>
          <w:ilvl w:val="0"/>
          <w:numId w:val="10"/>
        </w:numPr>
        <w:rPr>
          <w:rFonts w:ascii="Arial" w:cs="Arial" w:eastAsia="Arial" w:hAnsi="Arial"/>
          <w:sz w:val="18"/>
          <w:szCs w:val="18"/>
          <w:color w:val="auto"/>
        </w:rPr>
      </w:pPr>
      <w:r>
        <w:rPr>
          <w:rFonts w:ascii="Arial" w:cs="Arial" w:eastAsia="Arial" w:hAnsi="Arial"/>
          <w:sz w:val="18"/>
          <w:szCs w:val="18"/>
          <w:color w:val="auto"/>
        </w:rPr>
        <w:t>Ratification of the Appointment of Deloitte &amp; Touche LLP as the Company’s Independent Registered Public Accounting Firm for the 2019 Fiscal Year.</w:t>
      </w:r>
    </w:p>
    <w:p>
      <w:pPr>
        <w:spacing w:after="0" w:line="372" w:lineRule="exact"/>
        <w:rPr>
          <w:sz w:val="20"/>
          <w:szCs w:val="20"/>
          <w:color w:val="auto"/>
        </w:rPr>
      </w:pPr>
    </w:p>
    <w:p>
      <w:pPr>
        <w:ind w:right="320" w:firstLine="648"/>
        <w:spacing w:after="0" w:line="246" w:lineRule="auto"/>
        <w:rPr>
          <w:sz w:val="20"/>
          <w:szCs w:val="20"/>
          <w:color w:val="auto"/>
        </w:rPr>
      </w:pPr>
      <w:r>
        <w:rPr>
          <w:rFonts w:ascii="Arial" w:cs="Arial" w:eastAsia="Arial" w:hAnsi="Arial"/>
          <w:sz w:val="18"/>
          <w:szCs w:val="18"/>
          <w:color w:val="auto"/>
        </w:rPr>
        <w:t>The number of shares voted for, against and abstained/withheld, as well as the number of broker non-votes, were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6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rPr>
              <w:t>Abstained/</w:t>
            </w:r>
          </w:p>
        </w:tc>
        <w:tc>
          <w:tcPr>
            <w:tcW w:w="920" w:type="dxa"/>
            <w:vAlign w:val="bottom"/>
            <w:gridSpan w:val="2"/>
            <w:vMerge w:val="restart"/>
          </w:tcPr>
          <w:p>
            <w:pPr>
              <w:jc w:val="center"/>
              <w:ind w:right="140"/>
              <w:spacing w:after="0"/>
              <w:rPr>
                <w:sz w:val="20"/>
                <w:szCs w:val="20"/>
                <w:color w:val="auto"/>
              </w:rPr>
            </w:pPr>
            <w:r>
              <w:rPr>
                <w:rFonts w:ascii="Arial" w:cs="Arial" w:eastAsia="Arial" w:hAnsi="Arial"/>
                <w:sz w:val="16"/>
                <w:szCs w:val="16"/>
                <w:b w:val="1"/>
                <w:bCs w:val="1"/>
                <w:color w:val="auto"/>
              </w:rPr>
              <w:t>Non-</w:t>
            </w: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16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16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102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rPr>
              <w:t>For</w:t>
            </w:r>
          </w:p>
        </w:tc>
        <w:tc>
          <w:tcPr>
            <w:tcW w:w="900" w:type="dxa"/>
            <w:vAlign w:val="bottom"/>
            <w:gridSpan w:val="2"/>
          </w:tcPr>
          <w:p>
            <w:pPr>
              <w:ind w:left="80"/>
              <w:spacing w:after="0"/>
              <w:rPr>
                <w:sz w:val="20"/>
                <w:szCs w:val="20"/>
                <w:color w:val="auto"/>
              </w:rPr>
            </w:pPr>
            <w:r>
              <w:rPr>
                <w:rFonts w:ascii="Arial" w:cs="Arial" w:eastAsia="Arial" w:hAnsi="Arial"/>
                <w:sz w:val="16"/>
                <w:szCs w:val="16"/>
                <w:b w:val="1"/>
                <w:bCs w:val="1"/>
                <w:color w:val="auto"/>
              </w:rPr>
              <w:t>Against</w:t>
            </w:r>
          </w:p>
        </w:tc>
        <w:tc>
          <w:tcPr>
            <w:tcW w:w="106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rPr>
              <w:t>Withheld</w:t>
            </w:r>
          </w:p>
        </w:tc>
        <w:tc>
          <w:tcPr>
            <w:tcW w:w="92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6"/>
              </w:rPr>
              <w:t>Votes</w:t>
            </w: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Uncast</w:t>
            </w:r>
          </w:p>
        </w:tc>
        <w:tc>
          <w:tcPr>
            <w:tcW w:w="0" w:type="dxa"/>
            <w:vAlign w:val="bottom"/>
          </w:tcPr>
          <w:p>
            <w:pPr>
              <w:spacing w:after="0"/>
              <w:rPr>
                <w:sz w:val="1"/>
                <w:szCs w:val="1"/>
                <w:color w:val="auto"/>
              </w:rPr>
            </w:pPr>
          </w:p>
        </w:tc>
      </w:tr>
      <w:tr>
        <w:trPr>
          <w:trHeight w:val="183"/>
        </w:trPr>
        <w:tc>
          <w:tcPr>
            <w:tcW w:w="160" w:type="dxa"/>
            <w:vAlign w:val="bottom"/>
            <w:tcBorders>
              <w:top w:val="single" w:sz="8" w:color="CCEEFF"/>
            </w:tcBorders>
            <w:shd w:val="clear" w:color="auto" w:fill="CCEEFF"/>
          </w:tcPr>
          <w:p>
            <w:pPr>
              <w:jc w:val="right"/>
              <w:spacing w:after="0" w:line="183" w:lineRule="exact"/>
              <w:rPr>
                <w:sz w:val="20"/>
                <w:szCs w:val="20"/>
                <w:color w:val="auto"/>
              </w:rPr>
            </w:pPr>
            <w:r>
              <w:rPr>
                <w:rFonts w:ascii="Arial" w:cs="Arial" w:eastAsia="Arial" w:hAnsi="Arial"/>
                <w:sz w:val="16"/>
                <w:szCs w:val="16"/>
                <w:color w:val="auto"/>
                <w:w w:val="89"/>
              </w:rPr>
              <w:t>1.</w:t>
            </w:r>
          </w:p>
        </w:tc>
        <w:tc>
          <w:tcPr>
            <w:tcW w:w="4280" w:type="dxa"/>
            <w:vAlign w:val="bottom"/>
            <w:tcBorders>
              <w:top w:val="single" w:sz="8" w:color="CCEEFF"/>
            </w:tcBorders>
            <w:shd w:val="clear" w:color="auto" w:fill="CCEEFF"/>
          </w:tcPr>
          <w:p>
            <w:pPr>
              <w:ind w:left="20"/>
              <w:spacing w:after="0" w:line="183" w:lineRule="exact"/>
              <w:rPr>
                <w:sz w:val="20"/>
                <w:szCs w:val="20"/>
                <w:color w:val="auto"/>
              </w:rPr>
            </w:pPr>
            <w:r>
              <w:rPr>
                <w:rFonts w:ascii="Arial" w:cs="Arial" w:eastAsia="Arial" w:hAnsi="Arial"/>
                <w:sz w:val="16"/>
                <w:szCs w:val="16"/>
                <w:color w:val="auto"/>
              </w:rPr>
              <w:t>Election of Class I Directors</w:t>
            </w:r>
          </w:p>
        </w:tc>
        <w:tc>
          <w:tcPr>
            <w:tcW w:w="88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60" w:type="dxa"/>
            <w:vAlign w:val="bottom"/>
          </w:tcPr>
          <w:p>
            <w:pPr>
              <w:spacing w:after="0"/>
              <w:rPr>
                <w:sz w:val="16"/>
                <w:szCs w:val="16"/>
                <w:color w:val="auto"/>
              </w:rPr>
            </w:pPr>
          </w:p>
        </w:tc>
        <w:tc>
          <w:tcPr>
            <w:tcW w:w="4280" w:type="dxa"/>
            <w:vAlign w:val="bottom"/>
          </w:tcPr>
          <w:p>
            <w:pPr>
              <w:ind w:left="60"/>
              <w:spacing w:after="0"/>
              <w:rPr>
                <w:sz w:val="20"/>
                <w:szCs w:val="20"/>
                <w:color w:val="auto"/>
              </w:rPr>
            </w:pPr>
            <w:r>
              <w:rPr>
                <w:rFonts w:ascii="Arial" w:cs="Arial" w:eastAsia="Arial" w:hAnsi="Arial"/>
                <w:sz w:val="16"/>
                <w:szCs w:val="16"/>
                <w:color w:val="auto"/>
              </w:rPr>
              <w:t>Richard G. Hamermesh</w:t>
            </w:r>
          </w:p>
        </w:tc>
        <w:tc>
          <w:tcPr>
            <w:tcW w:w="880" w:type="dxa"/>
            <w:vAlign w:val="bottom"/>
          </w:tcPr>
          <w:p>
            <w:pPr>
              <w:jc w:val="center"/>
              <w:spacing w:after="0"/>
              <w:rPr>
                <w:sz w:val="20"/>
                <w:szCs w:val="20"/>
                <w:color w:val="auto"/>
              </w:rPr>
            </w:pPr>
            <w:r>
              <w:rPr>
                <w:rFonts w:ascii="Arial" w:cs="Arial" w:eastAsia="Arial" w:hAnsi="Arial"/>
                <w:sz w:val="16"/>
                <w:szCs w:val="16"/>
                <w:color w:val="auto"/>
              </w:rPr>
              <w:t>10,839,317</w:t>
            </w: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10,085,336</w:t>
            </w: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w w:val="98"/>
              </w:rPr>
              <w:t>1,201,455</w:t>
            </w: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189"/>
        </w:trPr>
        <w:tc>
          <w:tcPr>
            <w:tcW w:w="160" w:type="dxa"/>
            <w:vAlign w:val="bottom"/>
            <w:shd w:val="clear" w:color="auto" w:fill="CCEEFF"/>
          </w:tcPr>
          <w:p>
            <w:pPr>
              <w:spacing w:after="0"/>
              <w:rPr>
                <w:sz w:val="16"/>
                <w:szCs w:val="16"/>
                <w:color w:val="auto"/>
              </w:rPr>
            </w:pPr>
          </w:p>
        </w:tc>
        <w:tc>
          <w:tcPr>
            <w:tcW w:w="4280" w:type="dxa"/>
            <w:vAlign w:val="bottom"/>
            <w:shd w:val="clear" w:color="auto" w:fill="CCEEFF"/>
          </w:tcPr>
          <w:p>
            <w:pPr>
              <w:ind w:left="60"/>
              <w:spacing w:after="0"/>
              <w:rPr>
                <w:sz w:val="20"/>
                <w:szCs w:val="20"/>
                <w:color w:val="auto"/>
              </w:rPr>
            </w:pPr>
            <w:r>
              <w:rPr>
                <w:rFonts w:ascii="Arial" w:cs="Arial" w:eastAsia="Arial" w:hAnsi="Arial"/>
                <w:sz w:val="16"/>
                <w:szCs w:val="16"/>
                <w:color w:val="auto"/>
              </w:rPr>
              <w:t>Theodore L. Weise</w:t>
            </w:r>
          </w:p>
        </w:tc>
        <w:tc>
          <w:tcPr>
            <w:tcW w:w="8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20,325,197</w:t>
            </w: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599,478</w:t>
            </w: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1,201,455</w:t>
            </w: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160" w:type="dxa"/>
            <w:vAlign w:val="bottom"/>
          </w:tcPr>
          <w:p>
            <w:pPr>
              <w:spacing w:after="0"/>
              <w:rPr>
                <w:sz w:val="16"/>
                <w:szCs w:val="16"/>
                <w:color w:val="auto"/>
              </w:rPr>
            </w:pPr>
          </w:p>
        </w:tc>
        <w:tc>
          <w:tcPr>
            <w:tcW w:w="4280" w:type="dxa"/>
            <w:vAlign w:val="bottom"/>
          </w:tcPr>
          <w:p>
            <w:pPr>
              <w:ind w:left="60"/>
              <w:spacing w:after="0"/>
              <w:rPr>
                <w:sz w:val="20"/>
                <w:szCs w:val="20"/>
                <w:color w:val="auto"/>
              </w:rPr>
            </w:pPr>
            <w:r>
              <w:rPr>
                <w:rFonts w:ascii="Arial" w:cs="Arial" w:eastAsia="Arial" w:hAnsi="Arial"/>
                <w:sz w:val="16"/>
                <w:szCs w:val="16"/>
                <w:color w:val="auto"/>
              </w:rPr>
              <w:t>John T. Whates, Esq.</w:t>
            </w:r>
          </w:p>
        </w:tc>
        <w:tc>
          <w:tcPr>
            <w:tcW w:w="880" w:type="dxa"/>
            <w:vAlign w:val="bottom"/>
          </w:tcPr>
          <w:p>
            <w:pPr>
              <w:jc w:val="center"/>
              <w:spacing w:after="0"/>
              <w:rPr>
                <w:sz w:val="20"/>
                <w:szCs w:val="20"/>
                <w:color w:val="auto"/>
              </w:rPr>
            </w:pPr>
            <w:r>
              <w:rPr>
                <w:rFonts w:ascii="Arial" w:cs="Arial" w:eastAsia="Arial" w:hAnsi="Arial"/>
                <w:sz w:val="16"/>
                <w:szCs w:val="16"/>
                <w:color w:val="auto"/>
              </w:rPr>
              <w:t>20,325,512</w:t>
            </w: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599,163</w:t>
            </w: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w w:val="98"/>
              </w:rPr>
              <w:t>1,201,455</w:t>
            </w: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2.</w:t>
            </w:r>
          </w:p>
        </w:tc>
        <w:tc>
          <w:tcPr>
            <w:tcW w:w="4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Ratification of Appointment of Deloitte &amp; Touche LLP</w:t>
            </w:r>
          </w:p>
        </w:tc>
        <w:tc>
          <w:tcPr>
            <w:tcW w:w="8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22,114,020</w:t>
            </w: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9,716</w:t>
            </w: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2,394</w:t>
            </w: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40" w:right="1419" w:bottom="1440" w:gutter="0" w:footer="0" w:header="0"/>
        </w:sectPr>
      </w:pPr>
    </w:p>
    <w:bookmarkStart w:id="32" w:name="page33"/>
    <w:bookmarkEnd w:id="3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Exhibit 4 – Instruments Defining the Rights of Security Holders, including Indentures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700" w:type="dxa"/>
            <w:vAlign w:val="bottom"/>
          </w:tcPr>
          <w:p>
            <w:pPr>
              <w:ind w:left="540"/>
              <w:spacing w:after="0"/>
              <w:rPr>
                <w:sz w:val="20"/>
                <w:szCs w:val="20"/>
                <w:color w:val="auto"/>
              </w:rPr>
            </w:pPr>
            <w:r>
              <w:rPr>
                <w:rFonts w:ascii="Arial" w:cs="Arial" w:eastAsia="Arial" w:hAnsi="Arial"/>
                <w:sz w:val="18"/>
                <w:szCs w:val="18"/>
                <w:color w:val="auto"/>
              </w:rPr>
              <w:t>4.1</w:t>
            </w:r>
          </w:p>
        </w:tc>
        <w:tc>
          <w:tcPr>
            <w:tcW w:w="7360" w:type="dxa"/>
            <w:vAlign w:val="bottom"/>
            <w:gridSpan w:val="12"/>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Second Supplemental Indenture, dated May 13, 2019, among KLX Energy Services</w:t>
              </w:r>
            </w:hyperlink>
          </w:p>
        </w:tc>
      </w:tr>
      <w:tr>
        <w:trPr>
          <w:trHeight w:val="20"/>
        </w:trPr>
        <w:tc>
          <w:tcPr>
            <w:tcW w:w="1700" w:type="dxa"/>
            <w:vAlign w:val="bottom"/>
          </w:tcPr>
          <w:p>
            <w:pPr>
              <w:spacing w:after="0" w:line="20" w:lineRule="exact"/>
              <w:rPr>
                <w:sz w:val="1"/>
                <w:szCs w:val="1"/>
                <w:color w:val="auto"/>
              </w:rPr>
            </w:pPr>
          </w:p>
        </w:tc>
        <w:tc>
          <w:tcPr>
            <w:tcW w:w="164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1700" w:type="dxa"/>
            <w:vAlign w:val="bottom"/>
          </w:tcPr>
          <w:p>
            <w:pPr>
              <w:spacing w:after="0"/>
              <w:rPr>
                <w:sz w:val="15"/>
                <w:szCs w:val="15"/>
                <w:color w:val="auto"/>
              </w:rPr>
            </w:pPr>
          </w:p>
        </w:tc>
        <w:tc>
          <w:tcPr>
            <w:tcW w:w="7080" w:type="dxa"/>
            <w:vAlign w:val="bottom"/>
            <w:tcBorders>
              <w:bottom w:val="single" w:sz="8" w:color="0000EE"/>
            </w:tcBorders>
            <w:gridSpan w:val="9"/>
          </w:tcPr>
          <w:p>
            <w:pPr>
              <w:spacing w:after="0" w:line="182" w:lineRule="exact"/>
              <w:rPr>
                <w:rFonts w:ascii="Arial" w:cs="Arial" w:eastAsia="Arial" w:hAnsi="Arial"/>
                <w:sz w:val="18"/>
                <w:szCs w:val="18"/>
                <w:color w:val="0000EE"/>
                <w:w w:val="99"/>
              </w:rPr>
            </w:pPr>
            <w:hyperlink w:anchor="page35">
              <w:r>
                <w:rPr>
                  <w:rFonts w:ascii="Arial" w:cs="Arial" w:eastAsia="Arial" w:hAnsi="Arial"/>
                  <w:sz w:val="18"/>
                  <w:szCs w:val="18"/>
                  <w:color w:val="0000EE"/>
                  <w:w w:val="99"/>
                </w:rPr>
                <w:t>Holdings, Inc., as the issuer, the Guaranteeing Subsidiary named therein and Wilmington</w:t>
              </w:r>
            </w:hyperlink>
          </w:p>
        </w:tc>
        <w:tc>
          <w:tcPr>
            <w:tcW w:w="280" w:type="dxa"/>
            <w:vAlign w:val="bottom"/>
            <w:gridSpan w:val="3"/>
          </w:tcPr>
          <w:p>
            <w:pPr>
              <w:spacing w:after="0"/>
              <w:rPr>
                <w:sz w:val="15"/>
                <w:szCs w:val="15"/>
                <w:color w:val="auto"/>
              </w:rPr>
            </w:pPr>
          </w:p>
        </w:tc>
      </w:tr>
      <w:tr>
        <w:trPr>
          <w:trHeight w:val="183"/>
        </w:trPr>
        <w:tc>
          <w:tcPr>
            <w:tcW w:w="1700" w:type="dxa"/>
            <w:vAlign w:val="bottom"/>
          </w:tcPr>
          <w:p>
            <w:pPr>
              <w:spacing w:after="0"/>
              <w:rPr>
                <w:sz w:val="15"/>
                <w:szCs w:val="15"/>
                <w:color w:val="auto"/>
              </w:rPr>
            </w:pPr>
          </w:p>
        </w:tc>
        <w:tc>
          <w:tcPr>
            <w:tcW w:w="4660" w:type="dxa"/>
            <w:vAlign w:val="bottom"/>
            <w:tcBorders>
              <w:bottom w:val="single" w:sz="8" w:color="0000EE"/>
            </w:tcBorders>
            <w:gridSpan w:val="4"/>
          </w:tcPr>
          <w:p>
            <w:pPr>
              <w:spacing w:after="0" w:line="182" w:lineRule="exact"/>
              <w:rPr>
                <w:rFonts w:ascii="Arial" w:cs="Arial" w:eastAsia="Arial" w:hAnsi="Arial"/>
                <w:sz w:val="18"/>
                <w:szCs w:val="18"/>
                <w:color w:val="0000EE"/>
                <w:w w:val="99"/>
              </w:rPr>
            </w:pPr>
            <w:hyperlink w:anchor="page35">
              <w:r>
                <w:rPr>
                  <w:rFonts w:ascii="Arial" w:cs="Arial" w:eastAsia="Arial" w:hAnsi="Arial"/>
                  <w:sz w:val="18"/>
                  <w:szCs w:val="18"/>
                  <w:color w:val="0000EE"/>
                  <w:w w:val="99"/>
                </w:rPr>
                <w:t>Trust, National Association, as trustee and collateral agent</w:t>
              </w:r>
            </w:hyperlink>
          </w:p>
        </w:tc>
        <w:tc>
          <w:tcPr>
            <w:tcW w:w="2700" w:type="dxa"/>
            <w:vAlign w:val="bottom"/>
            <w:gridSpan w:val="8"/>
          </w:tcPr>
          <w:p>
            <w:pPr>
              <w:spacing w:after="0"/>
              <w:rPr>
                <w:sz w:val="15"/>
                <w:szCs w:val="15"/>
                <w:color w:val="auto"/>
              </w:rPr>
            </w:pPr>
          </w:p>
        </w:tc>
      </w:tr>
      <w:tr>
        <w:trPr>
          <w:trHeight w:val="385"/>
        </w:trPr>
        <w:tc>
          <w:tcPr>
            <w:tcW w:w="9060" w:type="dxa"/>
            <w:vAlign w:val="bottom"/>
            <w:gridSpan w:val="13"/>
          </w:tcPr>
          <w:p>
            <w:pPr>
              <w:ind w:left="460"/>
              <w:spacing w:after="0"/>
              <w:rPr>
                <w:sz w:val="20"/>
                <w:szCs w:val="20"/>
                <w:color w:val="auto"/>
              </w:rPr>
            </w:pPr>
            <w:r>
              <w:rPr>
                <w:rFonts w:ascii="Arial" w:cs="Arial" w:eastAsia="Arial" w:hAnsi="Arial"/>
                <w:sz w:val="18"/>
                <w:szCs w:val="18"/>
                <w:b w:val="1"/>
                <w:bCs w:val="1"/>
                <w:color w:val="auto"/>
              </w:rPr>
              <w:t>Exhibit 10 – Material Contracts</w:t>
            </w:r>
          </w:p>
        </w:tc>
      </w:tr>
      <w:tr>
        <w:trPr>
          <w:trHeight w:val="324"/>
        </w:trPr>
        <w:tc>
          <w:tcPr>
            <w:tcW w:w="1700" w:type="dxa"/>
            <w:vAlign w:val="bottom"/>
          </w:tcPr>
          <w:p>
            <w:pPr>
              <w:ind w:left="540"/>
              <w:spacing w:after="0"/>
              <w:rPr>
                <w:sz w:val="20"/>
                <w:szCs w:val="20"/>
                <w:color w:val="auto"/>
              </w:rPr>
            </w:pPr>
            <w:r>
              <w:rPr>
                <w:rFonts w:ascii="Arial" w:cs="Arial" w:eastAsia="Arial" w:hAnsi="Arial"/>
                <w:sz w:val="18"/>
                <w:szCs w:val="18"/>
                <w:color w:val="auto"/>
              </w:rPr>
              <w:t>10.1</w:t>
            </w:r>
          </w:p>
        </w:tc>
        <w:tc>
          <w:tcPr>
            <w:tcW w:w="7360" w:type="dxa"/>
            <w:vAlign w:val="bottom"/>
            <w:gridSpan w:val="12"/>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Second Amendment, dated as of June 10, 2019, to Credit Agreement, dated as of August</w:t>
              </w:r>
            </w:hyperlink>
          </w:p>
        </w:tc>
      </w:tr>
      <w:tr>
        <w:trPr>
          <w:trHeight w:val="183"/>
        </w:trPr>
        <w:tc>
          <w:tcPr>
            <w:tcW w:w="1700" w:type="dxa"/>
            <w:vAlign w:val="bottom"/>
          </w:tcPr>
          <w:p>
            <w:pPr>
              <w:spacing w:after="0"/>
              <w:rPr>
                <w:sz w:val="15"/>
                <w:szCs w:val="15"/>
                <w:color w:val="auto"/>
              </w:rPr>
            </w:pPr>
          </w:p>
        </w:tc>
        <w:tc>
          <w:tcPr>
            <w:tcW w:w="7120" w:type="dxa"/>
            <w:vAlign w:val="bottom"/>
            <w:tcBorders>
              <w:top w:val="single" w:sz="8" w:color="0000EE"/>
            </w:tcBorders>
            <w:gridSpan w:val="10"/>
          </w:tcPr>
          <w:p>
            <w:pPr>
              <w:spacing w:after="0" w:line="182" w:lineRule="exact"/>
              <w:rPr>
                <w:rFonts w:ascii="Arial" w:cs="Arial" w:eastAsia="Arial" w:hAnsi="Arial"/>
                <w:sz w:val="18"/>
                <w:szCs w:val="18"/>
                <w:color w:val="0000EE"/>
              </w:rPr>
            </w:pPr>
            <w:hyperlink w:anchor="page39">
              <w:r>
                <w:rPr>
                  <w:rFonts w:ascii="Arial" w:cs="Arial" w:eastAsia="Arial" w:hAnsi="Arial"/>
                  <w:sz w:val="18"/>
                  <w:szCs w:val="18"/>
                  <w:color w:val="0000EE"/>
                </w:rPr>
                <w:t>10, 2018, by and among KLX Energy Services Holdings, Inc., the Subsidiary Guarantors</w:t>
              </w:r>
            </w:hyperlink>
          </w:p>
        </w:tc>
        <w:tc>
          <w:tcPr>
            <w:tcW w:w="240" w:type="dxa"/>
            <w:vAlign w:val="bottom"/>
            <w:gridSpan w:val="2"/>
          </w:tcPr>
          <w:p>
            <w:pPr>
              <w:spacing w:after="0"/>
              <w:rPr>
                <w:sz w:val="15"/>
                <w:szCs w:val="15"/>
                <w:color w:val="auto"/>
              </w:rPr>
            </w:pPr>
          </w:p>
        </w:tc>
      </w:tr>
      <w:tr>
        <w:trPr>
          <w:trHeight w:val="20"/>
        </w:trPr>
        <w:tc>
          <w:tcPr>
            <w:tcW w:w="1700" w:type="dxa"/>
            <w:vAlign w:val="bottom"/>
          </w:tcPr>
          <w:p>
            <w:pPr>
              <w:spacing w:after="0" w:line="20" w:lineRule="exact"/>
              <w:rPr>
                <w:sz w:val="1"/>
                <w:szCs w:val="1"/>
                <w:color w:val="auto"/>
              </w:rPr>
            </w:pPr>
          </w:p>
        </w:tc>
        <w:tc>
          <w:tcPr>
            <w:tcW w:w="164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1700" w:type="dxa"/>
            <w:vAlign w:val="bottom"/>
          </w:tcPr>
          <w:p>
            <w:pPr>
              <w:spacing w:after="0"/>
              <w:rPr>
                <w:sz w:val="15"/>
                <w:szCs w:val="15"/>
                <w:color w:val="auto"/>
              </w:rPr>
            </w:pPr>
          </w:p>
        </w:tc>
        <w:tc>
          <w:tcPr>
            <w:tcW w:w="7340" w:type="dxa"/>
            <w:vAlign w:val="bottom"/>
            <w:tcBorders>
              <w:bottom w:val="single" w:sz="8" w:color="0000EE"/>
            </w:tcBorders>
            <w:gridSpan w:val="11"/>
          </w:tcPr>
          <w:p>
            <w:pPr>
              <w:spacing w:after="0" w:line="182" w:lineRule="exact"/>
              <w:rPr>
                <w:rFonts w:ascii="Arial" w:cs="Arial" w:eastAsia="Arial" w:hAnsi="Arial"/>
                <w:sz w:val="18"/>
                <w:szCs w:val="18"/>
                <w:color w:val="0000EE"/>
                <w:w w:val="99"/>
              </w:rPr>
            </w:pPr>
            <w:hyperlink w:anchor="page39">
              <w:r>
                <w:rPr>
                  <w:rFonts w:ascii="Arial" w:cs="Arial" w:eastAsia="Arial" w:hAnsi="Arial"/>
                  <w:sz w:val="18"/>
                  <w:szCs w:val="18"/>
                  <w:color w:val="0000EE"/>
                  <w:w w:val="99"/>
                </w:rPr>
                <w:t>party thereto, the several Lenders and JPMorgan Chase Bank, N.A. as Administrative Agent</w:t>
              </w:r>
            </w:hyperlink>
          </w:p>
        </w:tc>
        <w:tc>
          <w:tcPr>
            <w:tcW w:w="20" w:type="dxa"/>
            <w:vAlign w:val="bottom"/>
          </w:tcPr>
          <w:p>
            <w:pPr>
              <w:spacing w:after="0"/>
              <w:rPr>
                <w:sz w:val="15"/>
                <w:szCs w:val="15"/>
                <w:color w:val="auto"/>
              </w:rPr>
            </w:pPr>
          </w:p>
        </w:tc>
      </w:tr>
      <w:tr>
        <w:trPr>
          <w:trHeight w:val="183"/>
        </w:trPr>
        <w:tc>
          <w:tcPr>
            <w:tcW w:w="1700" w:type="dxa"/>
            <w:vAlign w:val="bottom"/>
          </w:tcPr>
          <w:p>
            <w:pPr>
              <w:spacing w:after="0"/>
              <w:rPr>
                <w:sz w:val="15"/>
                <w:szCs w:val="15"/>
                <w:color w:val="auto"/>
              </w:rPr>
            </w:pPr>
          </w:p>
        </w:tc>
        <w:tc>
          <w:tcPr>
            <w:tcW w:w="1640" w:type="dxa"/>
            <w:vAlign w:val="bottom"/>
            <w:tcBorders>
              <w:bottom w:val="single" w:sz="8" w:color="0000EE"/>
            </w:tcBorders>
          </w:tcPr>
          <w:p>
            <w:pPr>
              <w:spacing w:after="0" w:line="182" w:lineRule="exact"/>
              <w:rPr>
                <w:rFonts w:ascii="Arial" w:cs="Arial" w:eastAsia="Arial" w:hAnsi="Arial"/>
                <w:sz w:val="18"/>
                <w:szCs w:val="18"/>
                <w:color w:val="0000EE"/>
                <w:w w:val="99"/>
              </w:rPr>
            </w:pPr>
            <w:hyperlink w:anchor="page39">
              <w:r>
                <w:rPr>
                  <w:rFonts w:ascii="Arial" w:cs="Arial" w:eastAsia="Arial" w:hAnsi="Arial"/>
                  <w:sz w:val="18"/>
                  <w:szCs w:val="18"/>
                  <w:color w:val="0000EE"/>
                  <w:w w:val="99"/>
                </w:rPr>
                <w:t>and Collateral Agent</w:t>
              </w:r>
            </w:hyperlink>
          </w:p>
        </w:tc>
        <w:tc>
          <w:tcPr>
            <w:tcW w:w="5720" w:type="dxa"/>
            <w:vAlign w:val="bottom"/>
            <w:gridSpan w:val="11"/>
          </w:tcPr>
          <w:p>
            <w:pPr>
              <w:spacing w:after="0"/>
              <w:rPr>
                <w:sz w:val="15"/>
                <w:szCs w:val="15"/>
                <w:color w:val="auto"/>
              </w:rPr>
            </w:pPr>
          </w:p>
        </w:tc>
      </w:tr>
      <w:tr>
        <w:trPr>
          <w:trHeight w:val="385"/>
        </w:trPr>
        <w:tc>
          <w:tcPr>
            <w:tcW w:w="9060" w:type="dxa"/>
            <w:vAlign w:val="bottom"/>
            <w:gridSpan w:val="13"/>
          </w:tcPr>
          <w:p>
            <w:pPr>
              <w:ind w:left="460"/>
              <w:spacing w:after="0"/>
              <w:rPr>
                <w:sz w:val="20"/>
                <w:szCs w:val="20"/>
                <w:color w:val="auto"/>
              </w:rPr>
            </w:pPr>
            <w:r>
              <w:rPr>
                <w:rFonts w:ascii="Arial" w:cs="Arial" w:eastAsia="Arial" w:hAnsi="Arial"/>
                <w:sz w:val="18"/>
                <w:szCs w:val="18"/>
                <w:b w:val="1"/>
                <w:bCs w:val="1"/>
                <w:color w:val="auto"/>
              </w:rPr>
              <w:t>Exhibit 31 – Rule 13a-14(a)/15d-14(a) Certifications</w:t>
            </w:r>
          </w:p>
        </w:tc>
      </w:tr>
      <w:tr>
        <w:trPr>
          <w:trHeight w:val="324"/>
        </w:trPr>
        <w:tc>
          <w:tcPr>
            <w:tcW w:w="1700" w:type="dxa"/>
            <w:vAlign w:val="bottom"/>
          </w:tcPr>
          <w:p>
            <w:pPr>
              <w:ind w:left="540"/>
              <w:spacing w:after="0"/>
              <w:rPr>
                <w:sz w:val="20"/>
                <w:szCs w:val="20"/>
                <w:color w:val="auto"/>
              </w:rPr>
            </w:pPr>
            <w:r>
              <w:rPr>
                <w:rFonts w:ascii="Arial" w:cs="Arial" w:eastAsia="Arial" w:hAnsi="Arial"/>
                <w:sz w:val="18"/>
                <w:szCs w:val="18"/>
                <w:color w:val="auto"/>
              </w:rPr>
              <w:t>31.1</w:t>
            </w:r>
          </w:p>
        </w:tc>
        <w:tc>
          <w:tcPr>
            <w:tcW w:w="3040" w:type="dxa"/>
            <w:vAlign w:val="bottom"/>
            <w:tcBorders>
              <w:bottom w:val="single" w:sz="8" w:color="0000EE"/>
            </w:tcBorders>
            <w:gridSpan w:val="3"/>
          </w:tcPr>
          <w:p>
            <w:pPr>
              <w:spacing w:after="0"/>
              <w:rPr>
                <w:rFonts w:ascii="Arial" w:cs="Arial" w:eastAsia="Arial" w:hAnsi="Arial"/>
                <w:sz w:val="18"/>
                <w:szCs w:val="18"/>
                <w:color w:val="0000EE"/>
                <w:w w:val="99"/>
              </w:rPr>
            </w:pPr>
            <w:hyperlink w:anchor="page48">
              <w:r>
                <w:rPr>
                  <w:rFonts w:ascii="Arial" w:cs="Arial" w:eastAsia="Arial" w:hAnsi="Arial"/>
                  <w:sz w:val="18"/>
                  <w:szCs w:val="18"/>
                  <w:color w:val="0000EE"/>
                  <w:w w:val="99"/>
                </w:rPr>
                <w:t>Certification of Chief Executive Officer</w:t>
              </w:r>
            </w:hyperlink>
          </w:p>
        </w:tc>
        <w:tc>
          <w:tcPr>
            <w:tcW w:w="4320" w:type="dxa"/>
            <w:vAlign w:val="bottom"/>
            <w:gridSpan w:val="9"/>
          </w:tcPr>
          <w:p>
            <w:pPr>
              <w:spacing w:after="0"/>
              <w:rPr>
                <w:sz w:val="24"/>
                <w:szCs w:val="24"/>
                <w:color w:val="auto"/>
              </w:rPr>
            </w:pPr>
          </w:p>
        </w:tc>
      </w:tr>
      <w:tr>
        <w:trPr>
          <w:trHeight w:val="345"/>
        </w:trPr>
        <w:tc>
          <w:tcPr>
            <w:tcW w:w="1700" w:type="dxa"/>
            <w:vAlign w:val="bottom"/>
          </w:tcPr>
          <w:p>
            <w:pPr>
              <w:ind w:left="540"/>
              <w:spacing w:after="0"/>
              <w:rPr>
                <w:sz w:val="20"/>
                <w:szCs w:val="20"/>
                <w:color w:val="auto"/>
              </w:rPr>
            </w:pPr>
            <w:r>
              <w:rPr>
                <w:rFonts w:ascii="Arial" w:cs="Arial" w:eastAsia="Arial" w:hAnsi="Arial"/>
                <w:sz w:val="18"/>
                <w:szCs w:val="18"/>
                <w:color w:val="auto"/>
              </w:rPr>
              <w:t>31.2</w:t>
            </w:r>
          </w:p>
        </w:tc>
        <w:tc>
          <w:tcPr>
            <w:tcW w:w="2980" w:type="dxa"/>
            <w:vAlign w:val="bottom"/>
            <w:tcBorders>
              <w:bottom w:val="single" w:sz="8" w:color="0000EE"/>
            </w:tcBorders>
            <w:gridSpan w:val="2"/>
          </w:tcPr>
          <w:p>
            <w:pPr>
              <w:spacing w:after="0"/>
              <w:rPr>
                <w:rFonts w:ascii="Arial" w:cs="Arial" w:eastAsia="Arial" w:hAnsi="Arial"/>
                <w:sz w:val="18"/>
                <w:szCs w:val="18"/>
                <w:color w:val="0000EE"/>
                <w:w w:val="99"/>
              </w:rPr>
            </w:pPr>
            <w:hyperlink w:anchor="page49">
              <w:r>
                <w:rPr>
                  <w:rFonts w:ascii="Arial" w:cs="Arial" w:eastAsia="Arial" w:hAnsi="Arial"/>
                  <w:sz w:val="18"/>
                  <w:szCs w:val="18"/>
                  <w:color w:val="0000EE"/>
                  <w:w w:val="99"/>
                </w:rPr>
                <w:t>Certification of Chief Financial Officer</w:t>
              </w:r>
            </w:hyperlink>
          </w:p>
        </w:tc>
        <w:tc>
          <w:tcPr>
            <w:tcW w:w="4380" w:type="dxa"/>
            <w:vAlign w:val="bottom"/>
            <w:gridSpan w:val="10"/>
          </w:tcPr>
          <w:p>
            <w:pPr>
              <w:spacing w:after="0"/>
              <w:rPr>
                <w:sz w:val="24"/>
                <w:szCs w:val="24"/>
                <w:color w:val="auto"/>
              </w:rPr>
            </w:pPr>
          </w:p>
        </w:tc>
      </w:tr>
      <w:tr>
        <w:trPr>
          <w:trHeight w:val="385"/>
        </w:trPr>
        <w:tc>
          <w:tcPr>
            <w:tcW w:w="9060" w:type="dxa"/>
            <w:vAlign w:val="bottom"/>
            <w:gridSpan w:val="13"/>
          </w:tcPr>
          <w:p>
            <w:pPr>
              <w:ind w:left="460"/>
              <w:spacing w:after="0"/>
              <w:rPr>
                <w:sz w:val="20"/>
                <w:szCs w:val="20"/>
                <w:color w:val="auto"/>
              </w:rPr>
            </w:pPr>
            <w:r>
              <w:rPr>
                <w:rFonts w:ascii="Arial" w:cs="Arial" w:eastAsia="Arial" w:hAnsi="Arial"/>
                <w:sz w:val="18"/>
                <w:szCs w:val="18"/>
                <w:b w:val="1"/>
                <w:bCs w:val="1"/>
                <w:color w:val="auto"/>
              </w:rPr>
              <w:t>Exhibit 32 – Section 1350 Certifications</w:t>
            </w:r>
          </w:p>
        </w:tc>
      </w:tr>
      <w:tr>
        <w:trPr>
          <w:trHeight w:val="324"/>
        </w:trPr>
        <w:tc>
          <w:tcPr>
            <w:tcW w:w="1700" w:type="dxa"/>
            <w:vAlign w:val="bottom"/>
          </w:tcPr>
          <w:p>
            <w:pPr>
              <w:ind w:left="540"/>
              <w:spacing w:after="0"/>
              <w:rPr>
                <w:sz w:val="20"/>
                <w:szCs w:val="20"/>
                <w:color w:val="auto"/>
              </w:rPr>
            </w:pPr>
            <w:r>
              <w:rPr>
                <w:rFonts w:ascii="Arial" w:cs="Arial" w:eastAsia="Arial" w:hAnsi="Arial"/>
                <w:sz w:val="18"/>
                <w:szCs w:val="18"/>
                <w:color w:val="auto"/>
              </w:rPr>
              <w:t>32.1</w:t>
            </w:r>
          </w:p>
        </w:tc>
        <w:tc>
          <w:tcPr>
            <w:tcW w:w="5920" w:type="dxa"/>
            <w:vAlign w:val="bottom"/>
            <w:tcBorders>
              <w:bottom w:val="single" w:sz="8" w:color="0000EE"/>
            </w:tcBorders>
            <w:gridSpan w:val="6"/>
          </w:tcPr>
          <w:p>
            <w:pPr>
              <w:spacing w:after="0"/>
              <w:rPr>
                <w:rFonts w:ascii="Arial" w:cs="Arial" w:eastAsia="Arial" w:hAnsi="Arial"/>
                <w:sz w:val="18"/>
                <w:szCs w:val="18"/>
                <w:color w:val="0000EE"/>
                <w:w w:val="99"/>
              </w:rPr>
            </w:pPr>
            <w:hyperlink w:anchor="page50">
              <w:r>
                <w:rPr>
                  <w:rFonts w:ascii="Arial" w:cs="Arial" w:eastAsia="Arial" w:hAnsi="Arial"/>
                  <w:sz w:val="18"/>
                  <w:szCs w:val="18"/>
                  <w:color w:val="0000EE"/>
                  <w:w w:val="99"/>
                </w:rPr>
                <w:t>Certification of Chief Executive Officer pursuant to 18 U.S.C. Section 1350</w:t>
              </w:r>
            </w:hyperlink>
          </w:p>
        </w:tc>
        <w:tc>
          <w:tcPr>
            <w:tcW w:w="1440" w:type="dxa"/>
            <w:vAlign w:val="bottom"/>
            <w:gridSpan w:val="6"/>
          </w:tcPr>
          <w:p>
            <w:pPr>
              <w:spacing w:after="0"/>
              <w:rPr>
                <w:sz w:val="24"/>
                <w:szCs w:val="24"/>
                <w:color w:val="auto"/>
              </w:rPr>
            </w:pPr>
          </w:p>
        </w:tc>
      </w:tr>
      <w:tr>
        <w:trPr>
          <w:trHeight w:val="345"/>
        </w:trPr>
        <w:tc>
          <w:tcPr>
            <w:tcW w:w="1700" w:type="dxa"/>
            <w:vAlign w:val="bottom"/>
          </w:tcPr>
          <w:p>
            <w:pPr>
              <w:ind w:left="540"/>
              <w:spacing w:after="0"/>
              <w:rPr>
                <w:sz w:val="20"/>
                <w:szCs w:val="20"/>
                <w:color w:val="auto"/>
              </w:rPr>
            </w:pPr>
            <w:r>
              <w:rPr>
                <w:rFonts w:ascii="Arial" w:cs="Arial" w:eastAsia="Arial" w:hAnsi="Arial"/>
                <w:sz w:val="18"/>
                <w:szCs w:val="18"/>
                <w:color w:val="auto"/>
              </w:rPr>
              <w:t>32.2</w:t>
            </w:r>
          </w:p>
        </w:tc>
        <w:tc>
          <w:tcPr>
            <w:tcW w:w="5860" w:type="dxa"/>
            <w:vAlign w:val="bottom"/>
            <w:tcBorders>
              <w:bottom w:val="single" w:sz="8" w:color="0000EE"/>
            </w:tcBorders>
            <w:gridSpan w:val="5"/>
          </w:tcPr>
          <w:p>
            <w:pPr>
              <w:spacing w:after="0"/>
              <w:rPr>
                <w:rFonts w:ascii="Arial" w:cs="Arial" w:eastAsia="Arial" w:hAnsi="Arial"/>
                <w:sz w:val="18"/>
                <w:szCs w:val="18"/>
                <w:color w:val="0000EE"/>
                <w:w w:val="99"/>
              </w:rPr>
            </w:pPr>
            <w:hyperlink w:anchor="page51">
              <w:r>
                <w:rPr>
                  <w:rFonts w:ascii="Arial" w:cs="Arial" w:eastAsia="Arial" w:hAnsi="Arial"/>
                  <w:sz w:val="18"/>
                  <w:szCs w:val="18"/>
                  <w:color w:val="0000EE"/>
                  <w:w w:val="99"/>
                </w:rPr>
                <w:t>Certification of Chief Financial Officer pursuant to 18 U.S.C. Section 1350</w:t>
              </w:r>
            </w:hyperlink>
          </w:p>
        </w:tc>
        <w:tc>
          <w:tcPr>
            <w:tcW w:w="1500" w:type="dxa"/>
            <w:vAlign w:val="bottom"/>
            <w:gridSpan w:val="7"/>
          </w:tcPr>
          <w:p>
            <w:pPr>
              <w:spacing w:after="0"/>
              <w:rPr>
                <w:sz w:val="24"/>
                <w:szCs w:val="24"/>
                <w:color w:val="auto"/>
              </w:rPr>
            </w:pPr>
          </w:p>
        </w:tc>
      </w:tr>
      <w:tr>
        <w:trPr>
          <w:trHeight w:val="385"/>
        </w:trPr>
        <w:tc>
          <w:tcPr>
            <w:tcW w:w="9060" w:type="dxa"/>
            <w:vAlign w:val="bottom"/>
            <w:gridSpan w:val="13"/>
          </w:tcPr>
          <w:p>
            <w:pPr>
              <w:ind w:left="460"/>
              <w:spacing w:after="0"/>
              <w:rPr>
                <w:sz w:val="20"/>
                <w:szCs w:val="20"/>
                <w:color w:val="auto"/>
              </w:rPr>
            </w:pPr>
            <w:r>
              <w:rPr>
                <w:rFonts w:ascii="Arial" w:cs="Arial" w:eastAsia="Arial" w:hAnsi="Arial"/>
                <w:sz w:val="18"/>
                <w:szCs w:val="18"/>
                <w:b w:val="1"/>
                <w:bCs w:val="1"/>
                <w:color w:val="auto"/>
              </w:rPr>
              <w:t>Exhibit 101 – Interactive Data Files</w:t>
            </w:r>
          </w:p>
        </w:tc>
      </w:tr>
      <w:tr>
        <w:trPr>
          <w:trHeight w:val="365"/>
        </w:trPr>
        <w:tc>
          <w:tcPr>
            <w:tcW w:w="1700" w:type="dxa"/>
            <w:vAlign w:val="bottom"/>
          </w:tcPr>
          <w:p>
            <w:pPr>
              <w:ind w:left="540"/>
              <w:spacing w:after="0"/>
              <w:rPr>
                <w:sz w:val="20"/>
                <w:szCs w:val="20"/>
                <w:color w:val="auto"/>
              </w:rPr>
            </w:pPr>
            <w:r>
              <w:rPr>
                <w:rFonts w:ascii="Arial" w:cs="Arial" w:eastAsia="Arial" w:hAnsi="Arial"/>
                <w:sz w:val="18"/>
                <w:szCs w:val="18"/>
                <w:color w:val="auto"/>
              </w:rPr>
              <w:t>101.INS</w:t>
            </w:r>
          </w:p>
        </w:tc>
        <w:tc>
          <w:tcPr>
            <w:tcW w:w="7360" w:type="dxa"/>
            <w:vAlign w:val="bottom"/>
            <w:gridSpan w:val="12"/>
          </w:tcPr>
          <w:p>
            <w:pPr>
              <w:spacing w:after="0"/>
              <w:rPr>
                <w:sz w:val="20"/>
                <w:szCs w:val="20"/>
                <w:color w:val="auto"/>
              </w:rPr>
            </w:pPr>
            <w:r>
              <w:rPr>
                <w:rFonts w:ascii="Arial" w:cs="Arial" w:eastAsia="Arial" w:hAnsi="Arial"/>
                <w:sz w:val="18"/>
                <w:szCs w:val="18"/>
                <w:color w:val="auto"/>
              </w:rPr>
              <w:t>XBRL Instance Document</w:t>
            </w:r>
          </w:p>
        </w:tc>
      </w:tr>
      <w:tr>
        <w:trPr>
          <w:trHeight w:val="365"/>
        </w:trPr>
        <w:tc>
          <w:tcPr>
            <w:tcW w:w="1700" w:type="dxa"/>
            <w:vAlign w:val="bottom"/>
          </w:tcPr>
          <w:p>
            <w:pPr>
              <w:ind w:left="540"/>
              <w:spacing w:after="0"/>
              <w:rPr>
                <w:sz w:val="20"/>
                <w:szCs w:val="20"/>
                <w:color w:val="auto"/>
              </w:rPr>
            </w:pPr>
            <w:r>
              <w:rPr>
                <w:rFonts w:ascii="Arial" w:cs="Arial" w:eastAsia="Arial" w:hAnsi="Arial"/>
                <w:sz w:val="18"/>
                <w:szCs w:val="18"/>
                <w:color w:val="auto"/>
              </w:rPr>
              <w:t>101.SCH</w:t>
            </w:r>
          </w:p>
        </w:tc>
        <w:tc>
          <w:tcPr>
            <w:tcW w:w="7360" w:type="dxa"/>
            <w:vAlign w:val="bottom"/>
            <w:gridSpan w:val="12"/>
          </w:tcPr>
          <w:p>
            <w:pPr>
              <w:spacing w:after="0"/>
              <w:rPr>
                <w:sz w:val="20"/>
                <w:szCs w:val="20"/>
                <w:color w:val="auto"/>
              </w:rPr>
            </w:pPr>
            <w:r>
              <w:rPr>
                <w:rFonts w:ascii="Arial" w:cs="Arial" w:eastAsia="Arial" w:hAnsi="Arial"/>
                <w:sz w:val="18"/>
                <w:szCs w:val="18"/>
                <w:color w:val="auto"/>
              </w:rPr>
              <w:t>XBRL Taxonomy Extension Schema Document</w:t>
            </w:r>
          </w:p>
        </w:tc>
      </w:tr>
      <w:tr>
        <w:trPr>
          <w:trHeight w:val="365"/>
        </w:trPr>
        <w:tc>
          <w:tcPr>
            <w:tcW w:w="1700" w:type="dxa"/>
            <w:vAlign w:val="bottom"/>
          </w:tcPr>
          <w:p>
            <w:pPr>
              <w:ind w:left="540"/>
              <w:spacing w:after="0"/>
              <w:rPr>
                <w:sz w:val="20"/>
                <w:szCs w:val="20"/>
                <w:color w:val="auto"/>
              </w:rPr>
            </w:pPr>
            <w:r>
              <w:rPr>
                <w:rFonts w:ascii="Arial" w:cs="Arial" w:eastAsia="Arial" w:hAnsi="Arial"/>
                <w:sz w:val="18"/>
                <w:szCs w:val="18"/>
                <w:color w:val="auto"/>
              </w:rPr>
              <w:t>101.CAL</w:t>
            </w:r>
          </w:p>
        </w:tc>
        <w:tc>
          <w:tcPr>
            <w:tcW w:w="7360" w:type="dxa"/>
            <w:vAlign w:val="bottom"/>
            <w:gridSpan w:val="12"/>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365"/>
        </w:trPr>
        <w:tc>
          <w:tcPr>
            <w:tcW w:w="1700" w:type="dxa"/>
            <w:vAlign w:val="bottom"/>
          </w:tcPr>
          <w:p>
            <w:pPr>
              <w:ind w:left="540"/>
              <w:spacing w:after="0"/>
              <w:rPr>
                <w:sz w:val="20"/>
                <w:szCs w:val="20"/>
                <w:color w:val="auto"/>
              </w:rPr>
            </w:pPr>
            <w:r>
              <w:rPr>
                <w:rFonts w:ascii="Arial" w:cs="Arial" w:eastAsia="Arial" w:hAnsi="Arial"/>
                <w:sz w:val="18"/>
                <w:szCs w:val="18"/>
                <w:color w:val="auto"/>
              </w:rPr>
              <w:t>101.DEF</w:t>
            </w:r>
          </w:p>
        </w:tc>
        <w:tc>
          <w:tcPr>
            <w:tcW w:w="7360" w:type="dxa"/>
            <w:vAlign w:val="bottom"/>
            <w:gridSpan w:val="12"/>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365"/>
        </w:trPr>
        <w:tc>
          <w:tcPr>
            <w:tcW w:w="1700" w:type="dxa"/>
            <w:vAlign w:val="bottom"/>
          </w:tcPr>
          <w:p>
            <w:pPr>
              <w:ind w:left="540"/>
              <w:spacing w:after="0"/>
              <w:rPr>
                <w:sz w:val="20"/>
                <w:szCs w:val="20"/>
                <w:color w:val="auto"/>
              </w:rPr>
            </w:pPr>
            <w:r>
              <w:rPr>
                <w:rFonts w:ascii="Arial" w:cs="Arial" w:eastAsia="Arial" w:hAnsi="Arial"/>
                <w:sz w:val="18"/>
                <w:szCs w:val="18"/>
                <w:color w:val="auto"/>
              </w:rPr>
              <w:t>101.LAB</w:t>
            </w:r>
          </w:p>
        </w:tc>
        <w:tc>
          <w:tcPr>
            <w:tcW w:w="7360" w:type="dxa"/>
            <w:vAlign w:val="bottom"/>
            <w:gridSpan w:val="12"/>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365"/>
        </w:trPr>
        <w:tc>
          <w:tcPr>
            <w:tcW w:w="1700" w:type="dxa"/>
            <w:vAlign w:val="bottom"/>
          </w:tcPr>
          <w:p>
            <w:pPr>
              <w:ind w:left="540"/>
              <w:spacing w:after="0"/>
              <w:rPr>
                <w:sz w:val="20"/>
                <w:szCs w:val="20"/>
                <w:color w:val="auto"/>
              </w:rPr>
            </w:pPr>
            <w:r>
              <w:rPr>
                <w:rFonts w:ascii="Arial" w:cs="Arial" w:eastAsia="Arial" w:hAnsi="Arial"/>
                <w:sz w:val="18"/>
                <w:szCs w:val="18"/>
                <w:color w:val="auto"/>
              </w:rPr>
              <w:t>101.PRE</w:t>
            </w:r>
          </w:p>
        </w:tc>
        <w:tc>
          <w:tcPr>
            <w:tcW w:w="7360" w:type="dxa"/>
            <w:vAlign w:val="bottom"/>
            <w:gridSpan w:val="12"/>
          </w:tcPr>
          <w:p>
            <w:pPr>
              <w:spacing w:after="0"/>
              <w:rPr>
                <w:sz w:val="20"/>
                <w:szCs w:val="20"/>
                <w:color w:val="auto"/>
              </w:rPr>
            </w:pPr>
            <w:r>
              <w:rPr>
                <w:rFonts w:ascii="Arial" w:cs="Arial" w:eastAsia="Arial" w:hAnsi="Arial"/>
                <w:sz w:val="18"/>
                <w:szCs w:val="18"/>
                <w:color w:val="auto"/>
              </w:rPr>
              <w:t>XBRL Taxonomy Extension Presentation Linkbase Document</w:t>
            </w:r>
          </w:p>
        </w:tc>
      </w:tr>
      <w:tr>
        <w:trPr>
          <w:trHeight w:val="864"/>
        </w:trPr>
        <w:tc>
          <w:tcPr>
            <w:tcW w:w="1700" w:type="dxa"/>
            <w:vAlign w:val="bottom"/>
          </w:tcPr>
          <w:p>
            <w:pPr>
              <w:spacing w:after="0"/>
              <w:rPr>
                <w:sz w:val="24"/>
                <w:szCs w:val="24"/>
                <w:color w:val="auto"/>
              </w:rPr>
            </w:pPr>
          </w:p>
        </w:tc>
        <w:tc>
          <w:tcPr>
            <w:tcW w:w="2980" w:type="dxa"/>
            <w:vAlign w:val="bottom"/>
            <w:gridSpan w:val="2"/>
          </w:tcPr>
          <w:p>
            <w:pPr>
              <w:ind w:left="2740"/>
              <w:spacing w:after="0"/>
              <w:rPr>
                <w:sz w:val="20"/>
                <w:szCs w:val="20"/>
                <w:color w:val="auto"/>
              </w:rPr>
            </w:pPr>
            <w:r>
              <w:rPr>
                <w:rFonts w:ascii="Arial" w:cs="Arial" w:eastAsia="Arial" w:hAnsi="Arial"/>
                <w:sz w:val="18"/>
                <w:szCs w:val="18"/>
                <w:color w:val="auto"/>
              </w:rPr>
              <w:t>33</w:t>
            </w:r>
          </w:p>
        </w:tc>
        <w:tc>
          <w:tcPr>
            <w:tcW w:w="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47"/>
        </w:trPr>
        <w:tc>
          <w:tcPr>
            <w:tcW w:w="170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60"/>
          </w:cols>
          <w:pgMar w:left="1420" w:top="140" w:right="1419" w:bottom="1440" w:gutter="0" w:footer="0" w:header="0"/>
        </w:sectPr>
      </w:pPr>
    </w:p>
    <w:bookmarkStart w:id="33" w:name="page34"/>
    <w:bookmarkEnd w:id="3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0"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5" w:lineRule="exact"/>
        <w:rPr>
          <w:sz w:val="20"/>
          <w:szCs w:val="20"/>
          <w:color w:val="auto"/>
        </w:rPr>
      </w:pPr>
    </w:p>
    <w:p>
      <w:pPr>
        <w:ind w:left="4880"/>
        <w:spacing w:after="0"/>
        <w:rPr>
          <w:sz w:val="20"/>
          <w:szCs w:val="20"/>
          <w:color w:val="auto"/>
        </w:rPr>
      </w:pPr>
      <w:r>
        <w:rPr>
          <w:rFonts w:ascii="Arial" w:cs="Arial" w:eastAsia="Arial" w:hAnsi="Arial"/>
          <w:sz w:val="18"/>
          <w:szCs w:val="18"/>
          <w:b w:val="1"/>
          <w:bCs w:val="1"/>
          <w:color w:val="auto"/>
        </w:rPr>
        <w:t>KLX ENERGY SERVICES HOLDINGS, INC.</w:t>
      </w:r>
    </w:p>
    <w:p>
      <w:pPr>
        <w:spacing w:after="0" w:line="200" w:lineRule="exact"/>
        <w:rPr>
          <w:sz w:val="20"/>
          <w:szCs w:val="20"/>
          <w:color w:val="auto"/>
        </w:rPr>
      </w:pPr>
    </w:p>
    <w:p>
      <w:pPr>
        <w:spacing w:after="0" w:line="223" w:lineRule="exact"/>
        <w:rPr>
          <w:sz w:val="20"/>
          <w:szCs w:val="20"/>
          <w:color w:val="auto"/>
        </w:rPr>
      </w:pPr>
    </w:p>
    <w:p>
      <w:pPr>
        <w:spacing w:after="0"/>
        <w:tabs>
          <w:tab w:leader="none" w:pos="4440" w:val="left"/>
          <w:tab w:leader="none" w:pos="4860" w:val="left"/>
        </w:tabs>
        <w:rPr>
          <w:sz w:val="20"/>
          <w:szCs w:val="20"/>
          <w:color w:val="auto"/>
        </w:rPr>
      </w:pPr>
      <w:r>
        <w:rPr>
          <w:rFonts w:ascii="Arial" w:cs="Arial" w:eastAsia="Arial" w:hAnsi="Arial"/>
          <w:sz w:val="18"/>
          <w:szCs w:val="18"/>
          <w:color w:val="auto"/>
        </w:rPr>
        <w:t>Date: August 22,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Amin J. Khoury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3097530</wp:posOffset>
            </wp:positionH>
            <wp:positionV relativeFrom="paragraph">
              <wp:posOffset>-1905</wp:posOffset>
            </wp:positionV>
            <wp:extent cx="265874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ind w:left="4880"/>
        <w:spacing w:after="0"/>
        <w:rPr>
          <w:sz w:val="20"/>
          <w:szCs w:val="20"/>
          <w:color w:val="auto"/>
        </w:rPr>
      </w:pPr>
      <w:r>
        <w:rPr>
          <w:rFonts w:ascii="Arial" w:cs="Arial" w:eastAsia="Arial" w:hAnsi="Arial"/>
          <w:sz w:val="18"/>
          <w:szCs w:val="18"/>
          <w:color w:val="auto"/>
        </w:rPr>
        <w:t>Amin J. Khoury</w:t>
      </w:r>
    </w:p>
    <w:p>
      <w:pPr>
        <w:ind w:left="4880"/>
        <w:spacing w:after="0"/>
        <w:rPr>
          <w:sz w:val="20"/>
          <w:szCs w:val="20"/>
          <w:color w:val="auto"/>
        </w:rPr>
      </w:pPr>
      <w:r>
        <w:rPr>
          <w:rFonts w:ascii="Arial" w:cs="Arial" w:eastAsia="Arial" w:hAnsi="Arial"/>
          <w:sz w:val="18"/>
          <w:szCs w:val="18"/>
          <w:color w:val="auto"/>
        </w:rPr>
        <w:t>Chairman, Chief Executive Officer and President</w:t>
      </w:r>
    </w:p>
    <w:p>
      <w:pPr>
        <w:spacing w:after="0" w:line="198" w:lineRule="exact"/>
        <w:rPr>
          <w:sz w:val="20"/>
          <w:szCs w:val="20"/>
          <w:color w:val="auto"/>
        </w:rPr>
      </w:pPr>
    </w:p>
    <w:p>
      <w:pPr>
        <w:ind w:left="4460"/>
        <w:spacing w:after="0"/>
        <w:tabs>
          <w:tab w:leader="none" w:pos="48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Thomas P. McCaffrey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3097530</wp:posOffset>
            </wp:positionH>
            <wp:positionV relativeFrom="paragraph">
              <wp:posOffset>-1905</wp:posOffset>
            </wp:positionV>
            <wp:extent cx="265874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ind w:left="4880"/>
        <w:spacing w:after="0"/>
        <w:rPr>
          <w:sz w:val="20"/>
          <w:szCs w:val="20"/>
          <w:color w:val="auto"/>
        </w:rPr>
      </w:pPr>
      <w:r>
        <w:rPr>
          <w:rFonts w:ascii="Arial" w:cs="Arial" w:eastAsia="Arial" w:hAnsi="Arial"/>
          <w:sz w:val="18"/>
          <w:szCs w:val="18"/>
          <w:color w:val="auto"/>
        </w:rPr>
        <w:t>Thomas P. McCaffrey</w:t>
      </w:r>
    </w:p>
    <w:p>
      <w:pPr>
        <w:ind w:left="4880"/>
        <w:spacing w:after="0"/>
        <w:rPr>
          <w:sz w:val="20"/>
          <w:szCs w:val="20"/>
          <w:color w:val="auto"/>
        </w:rPr>
      </w:pPr>
      <w:r>
        <w:rPr>
          <w:rFonts w:ascii="Arial" w:cs="Arial" w:eastAsia="Arial" w:hAnsi="Arial"/>
          <w:sz w:val="18"/>
          <w:szCs w:val="18"/>
          <w:color w:val="auto"/>
        </w:rPr>
        <w:t>Senior Vice 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40" w:right="1419" w:bottom="1440" w:gutter="0" w:footer="0" w:header="0"/>
        </w:sectPr>
      </w:pPr>
    </w:p>
    <w:bookmarkStart w:id="34" w:name="page35"/>
    <w:bookmarkEnd w:id="34"/>
    <w:p>
      <w:pPr>
        <w:jc w:val="right"/>
        <w:spacing w:after="0"/>
        <w:rPr>
          <w:sz w:val="20"/>
          <w:szCs w:val="20"/>
          <w:color w:val="auto"/>
        </w:rPr>
      </w:pPr>
      <w:r>
        <w:rPr>
          <w:rFonts w:ascii="Arial" w:cs="Arial" w:eastAsia="Arial" w:hAnsi="Arial"/>
          <w:sz w:val="21"/>
          <w:szCs w:val="21"/>
          <w:b w:val="1"/>
          <w:bCs w:val="1"/>
          <w:color w:val="auto"/>
        </w:rPr>
        <w:t>Exhibit 4.1</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SECOND SUPPLEMENTAL INDENTURE</w:t>
      </w:r>
    </w:p>
    <w:p>
      <w:pPr>
        <w:spacing w:after="0" w:line="191" w:lineRule="exact"/>
        <w:rPr>
          <w:sz w:val="20"/>
          <w:szCs w:val="20"/>
          <w:color w:val="auto"/>
        </w:rPr>
      </w:pPr>
    </w:p>
    <w:p>
      <w:pPr>
        <w:ind w:right="120" w:firstLine="1297"/>
        <w:spacing w:after="0" w:line="249" w:lineRule="auto"/>
        <w:rPr>
          <w:sz w:val="20"/>
          <w:szCs w:val="20"/>
          <w:color w:val="auto"/>
        </w:rPr>
      </w:pPr>
      <w:r>
        <w:rPr>
          <w:rFonts w:ascii="Arial" w:cs="Arial" w:eastAsia="Arial" w:hAnsi="Arial"/>
          <w:sz w:val="21"/>
          <w:szCs w:val="21"/>
          <w:color w:val="auto"/>
        </w:rPr>
        <w:t>This Second Supplemental Indenture (this “</w:t>
      </w:r>
      <w:r>
        <w:rPr>
          <w:rFonts w:ascii="Arial" w:cs="Arial" w:eastAsia="Arial" w:hAnsi="Arial"/>
          <w:sz w:val="21"/>
          <w:szCs w:val="21"/>
          <w:i w:val="1"/>
          <w:iCs w:val="1"/>
          <w:color w:val="auto"/>
        </w:rPr>
        <w:t>Supplemental Indenture</w:t>
      </w:r>
      <w:r>
        <w:rPr>
          <w:rFonts w:ascii="Arial" w:cs="Arial" w:eastAsia="Arial" w:hAnsi="Arial"/>
          <w:sz w:val="21"/>
          <w:szCs w:val="21"/>
          <w:color w:val="auto"/>
        </w:rPr>
        <w:t>”), dated as of May 13, 2019, among Tecton Energy Services LLC (the “</w:t>
      </w:r>
      <w:r>
        <w:rPr>
          <w:rFonts w:ascii="Arial" w:cs="Arial" w:eastAsia="Arial" w:hAnsi="Arial"/>
          <w:sz w:val="21"/>
          <w:szCs w:val="21"/>
          <w:i w:val="1"/>
          <w:iCs w:val="1"/>
          <w:color w:val="auto"/>
        </w:rPr>
        <w:t>Guaranteeing Subsidiary</w:t>
      </w:r>
      <w:r>
        <w:rPr>
          <w:rFonts w:ascii="Arial" w:cs="Arial" w:eastAsia="Arial" w:hAnsi="Arial"/>
          <w:sz w:val="21"/>
          <w:szCs w:val="21"/>
          <w:color w:val="auto"/>
        </w:rPr>
        <w:t>”), a subsidiary of KLX Energy Services Holdings, Inc., a Delaware corporation (the “</w:t>
      </w:r>
      <w:r>
        <w:rPr>
          <w:rFonts w:ascii="Arial" w:cs="Arial" w:eastAsia="Arial" w:hAnsi="Arial"/>
          <w:sz w:val="21"/>
          <w:szCs w:val="21"/>
          <w:i w:val="1"/>
          <w:iCs w:val="1"/>
          <w:color w:val="auto"/>
        </w:rPr>
        <w:t>Company</w:t>
      </w:r>
      <w:r>
        <w:rPr>
          <w:rFonts w:ascii="Arial" w:cs="Arial" w:eastAsia="Arial" w:hAnsi="Arial"/>
          <w:sz w:val="21"/>
          <w:szCs w:val="21"/>
          <w:color w:val="auto"/>
        </w:rPr>
        <w:t>”), the Company and Wilmington Trust, National Association, as trustee (the “</w:t>
      </w:r>
      <w:r>
        <w:rPr>
          <w:rFonts w:ascii="Arial" w:cs="Arial" w:eastAsia="Arial" w:hAnsi="Arial"/>
          <w:sz w:val="21"/>
          <w:szCs w:val="21"/>
          <w:i w:val="1"/>
          <w:iCs w:val="1"/>
          <w:color w:val="auto"/>
        </w:rPr>
        <w:t>Trustee</w:t>
      </w:r>
      <w:r>
        <w:rPr>
          <w:rFonts w:ascii="Arial" w:cs="Arial" w:eastAsia="Arial" w:hAnsi="Arial"/>
          <w:sz w:val="21"/>
          <w:szCs w:val="21"/>
          <w:color w:val="auto"/>
        </w:rPr>
        <w:t>”) and notes collateral agent (the “</w:t>
      </w:r>
      <w:r>
        <w:rPr>
          <w:rFonts w:ascii="Arial" w:cs="Arial" w:eastAsia="Arial" w:hAnsi="Arial"/>
          <w:sz w:val="21"/>
          <w:szCs w:val="21"/>
          <w:i w:val="1"/>
          <w:iCs w:val="1"/>
          <w:color w:val="auto"/>
        </w:rPr>
        <w:t>Collateral Agent</w:t>
      </w:r>
      <w:r>
        <w:rPr>
          <w:rFonts w:ascii="Arial" w:cs="Arial" w:eastAsia="Arial" w:hAnsi="Arial"/>
          <w:sz w:val="21"/>
          <w:szCs w:val="21"/>
          <w:color w:val="auto"/>
        </w:rPr>
        <w:t>”).</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W I T N E S S E T H</w:t>
      </w:r>
    </w:p>
    <w:p>
      <w:pPr>
        <w:spacing w:after="0" w:line="204" w:lineRule="exact"/>
        <w:rPr>
          <w:sz w:val="20"/>
          <w:szCs w:val="20"/>
          <w:color w:val="auto"/>
        </w:rPr>
      </w:pPr>
    </w:p>
    <w:p>
      <w:pPr>
        <w:ind w:firstLine="1297"/>
        <w:spacing w:after="0" w:line="249" w:lineRule="auto"/>
        <w:rPr>
          <w:sz w:val="20"/>
          <w:szCs w:val="20"/>
          <w:color w:val="auto"/>
        </w:rPr>
      </w:pPr>
      <w:r>
        <w:rPr>
          <w:rFonts w:ascii="Arial" w:cs="Arial" w:eastAsia="Arial" w:hAnsi="Arial"/>
          <w:sz w:val="21"/>
          <w:szCs w:val="21"/>
          <w:color w:val="auto"/>
        </w:rPr>
        <w:t>WHEREAS, each of the Issuer and the Guarantors (as defined in the Indenture referred to below) has heretofore executed and delivered to the Trustee an indenture, dated as of October 31, 2018 (as amended through the date hereof, the “</w:t>
      </w:r>
      <w:r>
        <w:rPr>
          <w:rFonts w:ascii="Arial" w:cs="Arial" w:eastAsia="Arial" w:hAnsi="Arial"/>
          <w:sz w:val="21"/>
          <w:szCs w:val="21"/>
          <w:i w:val="1"/>
          <w:iCs w:val="1"/>
          <w:color w:val="auto"/>
        </w:rPr>
        <w:t>Indenture</w:t>
      </w:r>
      <w:r>
        <w:rPr>
          <w:rFonts w:ascii="Arial" w:cs="Arial" w:eastAsia="Arial" w:hAnsi="Arial"/>
          <w:sz w:val="21"/>
          <w:szCs w:val="21"/>
          <w:color w:val="auto"/>
        </w:rPr>
        <w:t>”), providing for the issuance of an unlimited aggregate principal amount of 11.500% Senior Secured Notes due 2025 (the “</w:t>
      </w:r>
      <w:r>
        <w:rPr>
          <w:rFonts w:ascii="Arial" w:cs="Arial" w:eastAsia="Arial" w:hAnsi="Arial"/>
          <w:sz w:val="21"/>
          <w:szCs w:val="21"/>
          <w:i w:val="1"/>
          <w:iCs w:val="1"/>
          <w:color w:val="auto"/>
        </w:rPr>
        <w:t>Notes</w:t>
      </w:r>
      <w:r>
        <w:rPr>
          <w:rFonts w:ascii="Arial" w:cs="Arial" w:eastAsia="Arial" w:hAnsi="Arial"/>
          <w:sz w:val="21"/>
          <w:szCs w:val="21"/>
          <w:color w:val="auto"/>
        </w:rPr>
        <w:t>”);</w:t>
      </w:r>
    </w:p>
    <w:p>
      <w:pPr>
        <w:spacing w:after="0" w:line="159" w:lineRule="exact"/>
        <w:rPr>
          <w:sz w:val="20"/>
          <w:szCs w:val="20"/>
          <w:color w:val="auto"/>
        </w:rPr>
      </w:pPr>
    </w:p>
    <w:p>
      <w:pPr>
        <w:ind w:right="160" w:firstLine="1297"/>
        <w:spacing w:after="0" w:line="249" w:lineRule="auto"/>
        <w:rPr>
          <w:sz w:val="20"/>
          <w:szCs w:val="20"/>
          <w:color w:val="auto"/>
        </w:rPr>
      </w:pPr>
      <w:r>
        <w:rPr>
          <w:rFonts w:ascii="Arial" w:cs="Arial" w:eastAsia="Arial" w:hAnsi="Arial"/>
          <w:sz w:val="21"/>
          <w:szCs w:val="21"/>
          <w:color w:val="auto"/>
        </w:rPr>
        <w:t>WHEREAS, the Indenture provides that under certain circumstances the Guaranteeing Subsidiary shall execute and deliver to the Trustee a supplemental indenture pursuant to which the Guaranteeing Subsidiary shall unconditionally Guarantee all of the Issuer’s Obligations under the Notes and the Indenture on the terms and conditions set forth herein and under the Indenture; and</w:t>
      </w:r>
    </w:p>
    <w:p>
      <w:pPr>
        <w:spacing w:after="0" w:line="173" w:lineRule="exact"/>
        <w:rPr>
          <w:sz w:val="20"/>
          <w:szCs w:val="20"/>
          <w:color w:val="auto"/>
        </w:rPr>
      </w:pPr>
    </w:p>
    <w:p>
      <w:pPr>
        <w:ind w:right="40" w:firstLine="1297"/>
        <w:spacing w:after="0" w:line="264" w:lineRule="auto"/>
        <w:rPr>
          <w:sz w:val="20"/>
          <w:szCs w:val="20"/>
          <w:color w:val="auto"/>
        </w:rPr>
      </w:pPr>
      <w:r>
        <w:rPr>
          <w:rFonts w:ascii="Arial" w:cs="Arial" w:eastAsia="Arial" w:hAnsi="Arial"/>
          <w:sz w:val="21"/>
          <w:szCs w:val="21"/>
          <w:color w:val="auto"/>
        </w:rPr>
        <w:t>WHEREAS, pursuant to Section 9.1 of the Indenture, the Trustee and the Collateral Agent are authorized to execute and deliver this Supplemental Indenture.</w:t>
      </w:r>
    </w:p>
    <w:p>
      <w:pPr>
        <w:spacing w:after="0" w:line="158"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21"/>
          <w:szCs w:val="21"/>
          <w:color w:val="auto"/>
        </w:rPr>
        <w:t>NOW THEREFORE, in consideration of the foregoing and for other good and valuable consideration, the receipt of which is hereby acknowledged, the parties mutually covenant and agree for the equal and ratable benefit of the Holders as follows:</w:t>
      </w:r>
    </w:p>
    <w:p>
      <w:pPr>
        <w:spacing w:after="0" w:line="155" w:lineRule="exact"/>
        <w:rPr>
          <w:sz w:val="20"/>
          <w:szCs w:val="20"/>
          <w:color w:val="auto"/>
        </w:rPr>
      </w:pPr>
    </w:p>
    <w:p>
      <w:pPr>
        <w:ind w:right="400" w:firstLine="1296"/>
        <w:spacing w:after="0" w:line="264" w:lineRule="auto"/>
        <w:tabs>
          <w:tab w:leader="none" w:pos="1969" w:val="left"/>
        </w:tabs>
        <w:numPr>
          <w:ilvl w:val="0"/>
          <w:numId w:val="11"/>
        </w:numPr>
        <w:rPr>
          <w:rFonts w:ascii="Arial" w:cs="Arial" w:eastAsia="Arial" w:hAnsi="Arial"/>
          <w:sz w:val="21"/>
          <w:szCs w:val="21"/>
          <w:color w:val="auto"/>
        </w:rPr>
      </w:pPr>
      <w:r>
        <w:rPr>
          <w:rFonts w:ascii="Arial" w:cs="Arial" w:eastAsia="Arial" w:hAnsi="Arial"/>
          <w:sz w:val="21"/>
          <w:szCs w:val="21"/>
          <w:u w:val="single" w:color="auto"/>
          <w:color w:val="auto"/>
        </w:rPr>
        <w:t>Capitalized Terms</w:t>
      </w:r>
      <w:r>
        <w:rPr>
          <w:rFonts w:ascii="Arial" w:cs="Arial" w:eastAsia="Arial" w:hAnsi="Arial"/>
          <w:sz w:val="21"/>
          <w:szCs w:val="21"/>
          <w:color w:val="auto"/>
        </w:rPr>
        <w:t>. Capitalized terms used herein without definition shall have the meanings assigned to them in the Indenture.</w:t>
      </w:r>
    </w:p>
    <w:p>
      <w:pPr>
        <w:spacing w:after="0" w:line="157" w:lineRule="exact"/>
        <w:rPr>
          <w:rFonts w:ascii="Arial" w:cs="Arial" w:eastAsia="Arial" w:hAnsi="Arial"/>
          <w:sz w:val="21"/>
          <w:szCs w:val="21"/>
          <w:color w:val="auto"/>
        </w:rPr>
      </w:pPr>
    </w:p>
    <w:p>
      <w:pPr>
        <w:ind w:right="320" w:firstLine="1296"/>
        <w:spacing w:after="0" w:line="289" w:lineRule="auto"/>
        <w:tabs>
          <w:tab w:leader="none" w:pos="1969" w:val="left"/>
        </w:tabs>
        <w:numPr>
          <w:ilvl w:val="0"/>
          <w:numId w:val="11"/>
        </w:numPr>
        <w:rPr>
          <w:rFonts w:ascii="Arial" w:cs="Arial" w:eastAsia="Arial" w:hAnsi="Arial"/>
          <w:sz w:val="20"/>
          <w:szCs w:val="20"/>
          <w:color w:val="auto"/>
        </w:rPr>
      </w:pPr>
      <w:r>
        <w:rPr>
          <w:rFonts w:ascii="Arial" w:cs="Arial" w:eastAsia="Arial" w:hAnsi="Arial"/>
          <w:sz w:val="20"/>
          <w:szCs w:val="20"/>
          <w:u w:val="single" w:color="auto"/>
          <w:color w:val="auto"/>
        </w:rPr>
        <w:t>Guarantor</w:t>
      </w:r>
      <w:r>
        <w:rPr>
          <w:rFonts w:ascii="Arial" w:cs="Arial" w:eastAsia="Arial" w:hAnsi="Arial"/>
          <w:sz w:val="20"/>
          <w:szCs w:val="20"/>
          <w:color w:val="auto"/>
        </w:rPr>
        <w:t>. The Guaranteeing Subsidiary hereby agrees to be a Guarantor under the Indenture and to be bound by the terms of the Indenture applicable to Guarantors, including Article XI thereof.</w:t>
      </w:r>
    </w:p>
    <w:p>
      <w:pPr>
        <w:spacing w:after="0" w:line="134" w:lineRule="exact"/>
        <w:rPr>
          <w:rFonts w:ascii="Arial" w:cs="Arial" w:eastAsia="Arial" w:hAnsi="Arial"/>
          <w:sz w:val="20"/>
          <w:szCs w:val="20"/>
          <w:color w:val="auto"/>
        </w:rPr>
      </w:pPr>
    </w:p>
    <w:p>
      <w:pPr>
        <w:ind w:right="360" w:firstLine="1296"/>
        <w:spacing w:after="0" w:line="264" w:lineRule="auto"/>
        <w:tabs>
          <w:tab w:leader="none" w:pos="1969" w:val="left"/>
        </w:tabs>
        <w:numPr>
          <w:ilvl w:val="0"/>
          <w:numId w:val="11"/>
        </w:numPr>
        <w:rPr>
          <w:rFonts w:ascii="Arial" w:cs="Arial" w:eastAsia="Arial" w:hAnsi="Arial"/>
          <w:sz w:val="21"/>
          <w:szCs w:val="21"/>
          <w:color w:val="auto"/>
        </w:rPr>
      </w:pPr>
      <w:r>
        <w:rPr>
          <w:rFonts w:ascii="Arial" w:cs="Arial" w:eastAsia="Arial" w:hAnsi="Arial"/>
          <w:sz w:val="21"/>
          <w:szCs w:val="21"/>
          <w:u w:val="single" w:color="auto"/>
          <w:color w:val="auto"/>
        </w:rPr>
        <w:t>Governing Law</w:t>
      </w:r>
      <w:r>
        <w:rPr>
          <w:rFonts w:ascii="Arial" w:cs="Arial" w:eastAsia="Arial" w:hAnsi="Arial"/>
          <w:sz w:val="21"/>
          <w:szCs w:val="21"/>
          <w:color w:val="auto"/>
        </w:rPr>
        <w:t>. THIS SUPPLEMENTAL INDENTURE WILL BE GOVERNED BY, AND CONSTRUED IN ACCORDANCE WITH, THE LAWS OF THE STATE OF NEW YORK.</w:t>
      </w:r>
    </w:p>
    <w:p>
      <w:pPr>
        <w:spacing w:after="0" w:line="144" w:lineRule="exact"/>
        <w:rPr>
          <w:rFonts w:ascii="Arial" w:cs="Arial" w:eastAsia="Arial" w:hAnsi="Arial"/>
          <w:sz w:val="21"/>
          <w:szCs w:val="21"/>
          <w:color w:val="auto"/>
        </w:rPr>
      </w:pPr>
    </w:p>
    <w:p>
      <w:pPr>
        <w:ind w:right="40" w:firstLine="1296"/>
        <w:spacing w:after="0" w:line="247" w:lineRule="auto"/>
        <w:tabs>
          <w:tab w:leader="none" w:pos="1969" w:val="left"/>
        </w:tabs>
        <w:numPr>
          <w:ilvl w:val="0"/>
          <w:numId w:val="11"/>
        </w:numPr>
        <w:rPr>
          <w:rFonts w:ascii="Arial" w:cs="Arial" w:eastAsia="Arial" w:hAnsi="Arial"/>
          <w:sz w:val="21"/>
          <w:szCs w:val="21"/>
          <w:color w:val="auto"/>
        </w:rPr>
      </w:pPr>
      <w:r>
        <w:rPr>
          <w:rFonts w:ascii="Arial" w:cs="Arial" w:eastAsia="Arial" w:hAnsi="Arial"/>
          <w:sz w:val="21"/>
          <w:szCs w:val="21"/>
          <w:u w:val="single" w:color="auto"/>
          <w:color w:val="auto"/>
        </w:rPr>
        <w:t>Waiver of Jury Trial</w:t>
      </w:r>
      <w:r>
        <w:rPr>
          <w:rFonts w:ascii="Arial" w:cs="Arial" w:eastAsia="Arial" w:hAnsi="Arial"/>
          <w:sz w:val="21"/>
          <w:szCs w:val="21"/>
          <w:color w:val="auto"/>
        </w:rPr>
        <w:t>. EACH OF THE GUARANTEEING SUBSIDIARY AND THE TRUSTEE HEREBY IRREVOCABLY WAIVES, TO THE FULLEST EXTENT PERMITTED BY APPLICABLE LAW, ANY AND ALL RIGHT TO TRIAL BY JURY IN ANY LEGAL PROCEEDING ARISING OUT OF OR RELATING TO THIS SUPPLEMENTAL INDENTURE, THE INDENTURE, THE NOTES, THE GUARANTEES OR THE TRANSACTIONS CONTEMPLATED HEREBY OR THEREBY.</w:t>
      </w:r>
    </w:p>
    <w:p>
      <w:pPr>
        <w:spacing w:after="0" w:line="175" w:lineRule="exact"/>
        <w:rPr>
          <w:rFonts w:ascii="Arial" w:cs="Arial" w:eastAsia="Arial" w:hAnsi="Arial"/>
          <w:sz w:val="21"/>
          <w:szCs w:val="21"/>
          <w:color w:val="auto"/>
        </w:rPr>
      </w:pPr>
    </w:p>
    <w:p>
      <w:pPr>
        <w:ind w:right="120" w:firstLine="1296"/>
        <w:spacing w:after="0" w:line="264" w:lineRule="auto"/>
        <w:tabs>
          <w:tab w:leader="none" w:pos="1969" w:val="left"/>
        </w:tabs>
        <w:numPr>
          <w:ilvl w:val="0"/>
          <w:numId w:val="11"/>
        </w:numPr>
        <w:rPr>
          <w:rFonts w:ascii="Arial" w:cs="Arial" w:eastAsia="Arial" w:hAnsi="Arial"/>
          <w:sz w:val="21"/>
          <w:szCs w:val="21"/>
          <w:color w:val="auto"/>
        </w:rPr>
      </w:pPr>
      <w:r>
        <w:rPr>
          <w:rFonts w:ascii="Arial" w:cs="Arial" w:eastAsia="Arial" w:hAnsi="Arial"/>
          <w:sz w:val="21"/>
          <w:szCs w:val="21"/>
          <w:u w:val="single" w:color="auto"/>
          <w:color w:val="auto"/>
        </w:rPr>
        <w:t>Counterparts</w:t>
      </w:r>
      <w:r>
        <w:rPr>
          <w:rFonts w:ascii="Arial" w:cs="Arial" w:eastAsia="Arial" w:hAnsi="Arial"/>
          <w:sz w:val="21"/>
          <w:szCs w:val="21"/>
          <w:color w:val="auto"/>
        </w:rPr>
        <w:t>. The parties may sign any number of copies of this Supplemental Indenture. Each signed copy shall be an original, but all of them together represent the same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323215</wp:posOffset>
            </wp:positionV>
            <wp:extent cx="6388735"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0" w:right="919" w:bottom="1440" w:gutter="0" w:footer="0" w:header="0"/>
        </w:sectPr>
      </w:pPr>
    </w:p>
    <w:bookmarkStart w:id="35" w:name="page36"/>
    <w:bookmarkEnd w:id="35"/>
    <w:p>
      <w:pPr>
        <w:ind w:left="-60" w:firstLine="1296"/>
        <w:spacing w:after="0" w:line="253" w:lineRule="auto"/>
        <w:tabs>
          <w:tab w:leader="none" w:pos="1909" w:val="left"/>
        </w:tabs>
        <w:numPr>
          <w:ilvl w:val="0"/>
          <w:numId w:val="12"/>
        </w:numPr>
        <w:rPr>
          <w:rFonts w:ascii="Arial" w:cs="Arial" w:eastAsia="Arial" w:hAnsi="Arial"/>
          <w:sz w:val="21"/>
          <w:szCs w:val="21"/>
          <w:color w:val="auto"/>
        </w:rPr>
      </w:pPr>
      <w:r>
        <w:rPr>
          <w:rFonts w:ascii="Arial" w:cs="Arial" w:eastAsia="Arial" w:hAnsi="Arial"/>
          <w:sz w:val="21"/>
          <w:szCs w:val="21"/>
          <w:u w:val="single" w:color="auto"/>
          <w:color w:val="auto"/>
        </w:rPr>
        <w:t>Headings</w:t>
      </w:r>
      <w:r>
        <w:rPr>
          <w:rFonts w:ascii="Arial" w:cs="Arial" w:eastAsia="Arial" w:hAnsi="Arial"/>
          <w:sz w:val="21"/>
          <w:szCs w:val="21"/>
          <w:color w:val="auto"/>
        </w:rPr>
        <w:t>. The headings of the Sections of this Supplemental Indenture have been inserted for convenience of reference only, are not to be considered a part of this Supplemental Indenture and shall in no way modify or restrict any of the terms or provisions hereof.</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[Signature pages follow]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-35560</wp:posOffset>
            </wp:positionH>
            <wp:positionV relativeFrom="paragraph">
              <wp:posOffset>352425</wp:posOffset>
            </wp:positionV>
            <wp:extent cx="638873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388735" cy="17145"/>
                    </a:xfrm>
                    <a:prstGeom prst="rect">
                      <a:avLst/>
                    </a:prstGeom>
                    <a:noFill/>
                  </pic:spPr>
                </pic:pic>
              </a:graphicData>
            </a:graphic>
          </wp:anchor>
        </w:drawing>
      </w:r>
    </w:p>
    <w:p>
      <w:pPr>
        <w:sectPr>
          <w:pgSz w:w="11900" w:h="16838" w:orient="portrait"/>
          <w:cols w:equalWidth="0" w:num="1">
            <w:col w:w="9940"/>
          </w:cols>
          <w:pgMar w:left="980" w:top="126" w:right="979" w:bottom="1440" w:gutter="0" w:footer="0" w:header="0"/>
        </w:sectPr>
      </w:pPr>
    </w:p>
    <w:bookmarkStart w:id="36" w:name="page37"/>
    <w:bookmarkEnd w:id="36"/>
    <w:p>
      <w:pPr>
        <w:ind w:right="340" w:firstLine="1297"/>
        <w:spacing w:after="0" w:line="264" w:lineRule="auto"/>
        <w:rPr>
          <w:sz w:val="20"/>
          <w:szCs w:val="20"/>
          <w:color w:val="auto"/>
        </w:rPr>
      </w:pPr>
      <w:r>
        <w:rPr>
          <w:rFonts w:ascii="Arial" w:cs="Arial" w:eastAsia="Arial" w:hAnsi="Arial"/>
          <w:sz w:val="21"/>
          <w:szCs w:val="21"/>
          <w:color w:val="auto"/>
        </w:rPr>
        <w:t>IN WITNESS WHEREOF, the parties hereto have caused this Supplemental Indenture to be duly executed, all as of the date first above written.</w:t>
      </w:r>
    </w:p>
    <w:p>
      <w:pPr>
        <w:spacing w:after="0" w:line="158" w:lineRule="exact"/>
        <w:rPr>
          <w:sz w:val="20"/>
          <w:szCs w:val="20"/>
          <w:color w:val="auto"/>
        </w:rPr>
      </w:pPr>
    </w:p>
    <w:p>
      <w:pPr>
        <w:ind w:left="4940"/>
        <w:spacing w:after="0"/>
        <w:rPr>
          <w:sz w:val="20"/>
          <w:szCs w:val="20"/>
          <w:color w:val="auto"/>
        </w:rPr>
      </w:pPr>
      <w:r>
        <w:rPr>
          <w:rFonts w:ascii="Arial" w:cs="Arial" w:eastAsia="Arial" w:hAnsi="Arial"/>
          <w:sz w:val="21"/>
          <w:szCs w:val="21"/>
          <w:color w:val="auto"/>
        </w:rPr>
        <w:t>TECTON ENERGY SERVICES LLC</w:t>
      </w:r>
    </w:p>
    <w:p>
      <w:pPr>
        <w:spacing w:after="0" w:line="200" w:lineRule="exact"/>
        <w:rPr>
          <w:sz w:val="20"/>
          <w:szCs w:val="20"/>
          <w:color w:val="auto"/>
        </w:rPr>
      </w:pPr>
    </w:p>
    <w:p>
      <w:pPr>
        <w:spacing w:after="0" w:line="288" w:lineRule="exact"/>
        <w:rPr>
          <w:sz w:val="20"/>
          <w:szCs w:val="20"/>
          <w:color w:val="auto"/>
        </w:rPr>
      </w:pPr>
    </w:p>
    <w:p>
      <w:pPr>
        <w:ind w:left="4940"/>
        <w:spacing w:after="0"/>
        <w:tabs>
          <w:tab w:leader="none" w:pos="5420" w:val="left"/>
        </w:tabs>
        <w:rPr>
          <w:sz w:val="20"/>
          <w:szCs w:val="20"/>
          <w:color w:val="auto"/>
        </w:rPr>
      </w:pPr>
      <w:r>
        <w:rPr>
          <w:rFonts w:ascii="Arial" w:cs="Arial" w:eastAsia="Arial" w:hAnsi="Arial"/>
          <w:sz w:val="21"/>
          <w:szCs w:val="21"/>
          <w:color w:val="auto"/>
        </w:rPr>
        <w:t>By:</w:t>
      </w:r>
      <w:r>
        <w:rPr>
          <w:sz w:val="20"/>
          <w:szCs w:val="20"/>
          <w:color w:val="auto"/>
        </w:rPr>
        <w:tab/>
      </w:r>
      <w:r>
        <w:rPr>
          <w:rFonts w:ascii="Arial" w:cs="Arial" w:eastAsia="Arial" w:hAnsi="Arial"/>
          <w:sz w:val="18"/>
          <w:szCs w:val="18"/>
          <w:color w:val="auto"/>
        </w:rPr>
        <w:t>/s/ Gary J.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3458210</wp:posOffset>
            </wp:positionH>
            <wp:positionV relativeFrom="paragraph">
              <wp:posOffset>9525</wp:posOffset>
            </wp:positionV>
            <wp:extent cx="293306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933065" cy="8890"/>
                    </a:xfrm>
                    <a:prstGeom prst="rect">
                      <a:avLst/>
                    </a:prstGeom>
                    <a:noFill/>
                  </pic:spPr>
                </pic:pic>
              </a:graphicData>
            </a:graphic>
          </wp:anchor>
        </w:drawing>
      </w:r>
    </w:p>
    <w:p>
      <w:pPr>
        <w:spacing w:after="0" w:line="3" w:lineRule="exact"/>
        <w:rPr>
          <w:sz w:val="20"/>
          <w:szCs w:val="20"/>
          <w:color w:val="auto"/>
        </w:rPr>
      </w:pPr>
    </w:p>
    <w:p>
      <w:pPr>
        <w:ind w:left="5440"/>
        <w:spacing w:after="0"/>
        <w:rPr>
          <w:sz w:val="20"/>
          <w:szCs w:val="20"/>
          <w:color w:val="auto"/>
        </w:rPr>
      </w:pPr>
      <w:r>
        <w:rPr>
          <w:rFonts w:ascii="Arial" w:cs="Arial" w:eastAsia="Arial" w:hAnsi="Arial"/>
          <w:sz w:val="21"/>
          <w:szCs w:val="21"/>
          <w:color w:val="auto"/>
        </w:rPr>
        <w:t>Name: Gary J. Roberts</w:t>
      </w:r>
    </w:p>
    <w:p>
      <w:pPr>
        <w:spacing w:after="0" w:line="12" w:lineRule="exact"/>
        <w:rPr>
          <w:sz w:val="20"/>
          <w:szCs w:val="20"/>
          <w:color w:val="auto"/>
        </w:rPr>
      </w:pPr>
    </w:p>
    <w:p>
      <w:pPr>
        <w:ind w:left="5440"/>
        <w:spacing w:after="0"/>
        <w:rPr>
          <w:sz w:val="20"/>
          <w:szCs w:val="20"/>
          <w:color w:val="auto"/>
        </w:rPr>
      </w:pPr>
      <w:r>
        <w:rPr>
          <w:rFonts w:ascii="Arial" w:cs="Arial" w:eastAsia="Arial" w:hAnsi="Arial"/>
          <w:sz w:val="21"/>
          <w:szCs w:val="21"/>
          <w:color w:val="auto"/>
        </w:rPr>
        <w:t>Title: Vice President</w:t>
      </w:r>
    </w:p>
    <w:p>
      <w:pPr>
        <w:spacing w:after="0" w:line="200" w:lineRule="exact"/>
        <w:rPr>
          <w:sz w:val="20"/>
          <w:szCs w:val="20"/>
          <w:color w:val="auto"/>
        </w:rPr>
      </w:pPr>
    </w:p>
    <w:p>
      <w:pPr>
        <w:spacing w:after="0" w:line="256" w:lineRule="exact"/>
        <w:rPr>
          <w:sz w:val="20"/>
          <w:szCs w:val="20"/>
          <w:color w:val="auto"/>
        </w:rPr>
      </w:pPr>
    </w:p>
    <w:p>
      <w:pPr>
        <w:jc w:val="right"/>
        <w:spacing w:after="0"/>
        <w:rPr>
          <w:sz w:val="20"/>
          <w:szCs w:val="20"/>
          <w:color w:val="auto"/>
        </w:rPr>
      </w:pPr>
      <w:r>
        <w:rPr>
          <w:rFonts w:ascii="Arial" w:cs="Arial" w:eastAsia="Arial" w:hAnsi="Arial"/>
          <w:sz w:val="21"/>
          <w:szCs w:val="21"/>
          <w:color w:val="auto"/>
        </w:rPr>
        <w:t>KLX ENERGY SERVICES HOLDINGS, INC., as Issuer</w:t>
      </w:r>
    </w:p>
    <w:p>
      <w:pPr>
        <w:spacing w:after="0" w:line="200" w:lineRule="exact"/>
        <w:rPr>
          <w:sz w:val="20"/>
          <w:szCs w:val="20"/>
          <w:color w:val="auto"/>
        </w:rPr>
      </w:pPr>
    </w:p>
    <w:p>
      <w:pPr>
        <w:spacing w:after="0" w:line="288" w:lineRule="exact"/>
        <w:rPr>
          <w:sz w:val="20"/>
          <w:szCs w:val="20"/>
          <w:color w:val="auto"/>
        </w:rPr>
      </w:pPr>
    </w:p>
    <w:p>
      <w:pPr>
        <w:ind w:left="4920"/>
        <w:spacing w:after="0"/>
        <w:tabs>
          <w:tab w:leader="none" w:pos="5400" w:val="left"/>
        </w:tabs>
        <w:rPr>
          <w:sz w:val="20"/>
          <w:szCs w:val="20"/>
          <w:color w:val="auto"/>
        </w:rPr>
      </w:pPr>
      <w:r>
        <w:rPr>
          <w:rFonts w:ascii="Arial" w:cs="Arial" w:eastAsia="Arial" w:hAnsi="Arial"/>
          <w:sz w:val="21"/>
          <w:szCs w:val="21"/>
          <w:color w:val="auto"/>
        </w:rPr>
        <w:t>By:</w:t>
      </w:r>
      <w:r>
        <w:rPr>
          <w:sz w:val="20"/>
          <w:szCs w:val="20"/>
          <w:color w:val="auto"/>
        </w:rPr>
        <w:tab/>
      </w:r>
      <w:r>
        <w:rPr>
          <w:rFonts w:ascii="Arial" w:cs="Arial" w:eastAsia="Arial" w:hAnsi="Arial"/>
          <w:sz w:val="18"/>
          <w:szCs w:val="18"/>
          <w:color w:val="auto"/>
        </w:rPr>
        <w:t>/s/ Thomas P. McCaffrey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3449320</wp:posOffset>
            </wp:positionH>
            <wp:positionV relativeFrom="paragraph">
              <wp:posOffset>9525</wp:posOffset>
            </wp:positionV>
            <wp:extent cx="29413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941320" cy="8890"/>
                    </a:xfrm>
                    <a:prstGeom prst="rect">
                      <a:avLst/>
                    </a:prstGeom>
                    <a:noFill/>
                  </pic:spPr>
                </pic:pic>
              </a:graphicData>
            </a:graphic>
          </wp:anchor>
        </w:drawing>
      </w:r>
    </w:p>
    <w:p>
      <w:pPr>
        <w:spacing w:after="0" w:line="3" w:lineRule="exact"/>
        <w:rPr>
          <w:sz w:val="20"/>
          <w:szCs w:val="20"/>
          <w:color w:val="auto"/>
        </w:rPr>
      </w:pPr>
    </w:p>
    <w:p>
      <w:pPr>
        <w:ind w:left="5420"/>
        <w:spacing w:after="0"/>
        <w:rPr>
          <w:sz w:val="20"/>
          <w:szCs w:val="20"/>
          <w:color w:val="auto"/>
        </w:rPr>
      </w:pPr>
      <w:r>
        <w:rPr>
          <w:rFonts w:ascii="Arial" w:cs="Arial" w:eastAsia="Arial" w:hAnsi="Arial"/>
          <w:sz w:val="21"/>
          <w:szCs w:val="21"/>
          <w:color w:val="auto"/>
        </w:rPr>
        <w:t>Name: Thomas P. McCaffrey</w:t>
      </w:r>
    </w:p>
    <w:p>
      <w:pPr>
        <w:spacing w:after="0" w:line="12" w:lineRule="exact"/>
        <w:rPr>
          <w:sz w:val="20"/>
          <w:szCs w:val="20"/>
          <w:color w:val="auto"/>
        </w:rPr>
      </w:pPr>
    </w:p>
    <w:p>
      <w:pPr>
        <w:ind w:left="5420"/>
        <w:spacing w:after="0"/>
        <w:rPr>
          <w:sz w:val="20"/>
          <w:szCs w:val="20"/>
          <w:color w:val="auto"/>
        </w:rPr>
      </w:pPr>
      <w:r>
        <w:rPr>
          <w:rFonts w:ascii="Arial" w:cs="Arial" w:eastAsia="Arial" w:hAnsi="Arial"/>
          <w:sz w:val="21"/>
          <w:szCs w:val="21"/>
          <w:color w:val="auto"/>
        </w:rPr>
        <w:t>Title: SVP &amp; CFO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598170</wp:posOffset>
            </wp:positionV>
            <wp:extent cx="6388735"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700"/>
          </w:cols>
          <w:pgMar w:left="920" w:top="126" w:right="1279" w:bottom="1440" w:gutter="0" w:footer="0" w:header="0"/>
        </w:sectPr>
      </w:pPr>
    </w:p>
    <w:bookmarkStart w:id="37" w:name="page38"/>
    <w:bookmarkEnd w:id="37"/>
    <w:p>
      <w:pPr>
        <w:ind w:left="4400"/>
        <w:spacing w:after="0" w:line="264" w:lineRule="auto"/>
        <w:rPr>
          <w:sz w:val="20"/>
          <w:szCs w:val="20"/>
          <w:color w:val="auto"/>
        </w:rPr>
      </w:pPr>
      <w:r>
        <w:rPr>
          <w:rFonts w:ascii="Arial" w:cs="Arial" w:eastAsia="Arial" w:hAnsi="Arial"/>
          <w:sz w:val="21"/>
          <w:szCs w:val="21"/>
          <w:color w:val="auto"/>
        </w:rPr>
        <w:t>WILMINGTON TRUST, NATIONAL ASSOCIATION, as Trustee and Collateral Agent</w:t>
      </w:r>
    </w:p>
    <w:p>
      <w:pPr>
        <w:spacing w:after="0" w:line="200" w:lineRule="exact"/>
        <w:rPr>
          <w:sz w:val="20"/>
          <w:szCs w:val="20"/>
          <w:color w:val="auto"/>
        </w:rPr>
      </w:pPr>
    </w:p>
    <w:p>
      <w:pPr>
        <w:spacing w:after="0" w:line="241" w:lineRule="exact"/>
        <w:rPr>
          <w:sz w:val="20"/>
          <w:szCs w:val="20"/>
          <w:color w:val="auto"/>
        </w:rPr>
      </w:pPr>
    </w:p>
    <w:p>
      <w:pPr>
        <w:ind w:left="4400"/>
        <w:spacing w:after="0"/>
        <w:tabs>
          <w:tab w:leader="none" w:pos="4880" w:val="left"/>
        </w:tabs>
        <w:rPr>
          <w:sz w:val="20"/>
          <w:szCs w:val="20"/>
          <w:color w:val="auto"/>
        </w:rPr>
      </w:pPr>
      <w:r>
        <w:rPr>
          <w:rFonts w:ascii="Arial" w:cs="Arial" w:eastAsia="Arial" w:hAnsi="Arial"/>
          <w:sz w:val="21"/>
          <w:szCs w:val="21"/>
          <w:color w:val="auto"/>
        </w:rPr>
        <w:t>By:</w:t>
      </w:r>
      <w:r>
        <w:rPr>
          <w:sz w:val="20"/>
          <w:szCs w:val="20"/>
          <w:color w:val="auto"/>
        </w:rPr>
        <w:tab/>
      </w:r>
      <w:r>
        <w:rPr>
          <w:rFonts w:ascii="Arial" w:cs="Arial" w:eastAsia="Arial" w:hAnsi="Arial"/>
          <w:sz w:val="19"/>
          <w:szCs w:val="19"/>
          <w:color w:val="auto"/>
        </w:rPr>
        <w:t>/s/ Shawn Goffinet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3119120</wp:posOffset>
            </wp:positionH>
            <wp:positionV relativeFrom="paragraph">
              <wp:posOffset>9525</wp:posOffset>
            </wp:positionV>
            <wp:extent cx="29413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941320" cy="8890"/>
                    </a:xfrm>
                    <a:prstGeom prst="rect">
                      <a:avLst/>
                    </a:prstGeom>
                    <a:noFill/>
                  </pic:spPr>
                </pic:pic>
              </a:graphicData>
            </a:graphic>
          </wp:anchor>
        </w:drawing>
      </w:r>
    </w:p>
    <w:p>
      <w:pPr>
        <w:spacing w:after="0" w:line="3" w:lineRule="exact"/>
        <w:rPr>
          <w:sz w:val="20"/>
          <w:szCs w:val="20"/>
          <w:color w:val="auto"/>
        </w:rPr>
      </w:pPr>
    </w:p>
    <w:p>
      <w:pPr>
        <w:ind w:left="4900"/>
        <w:spacing w:after="0"/>
        <w:rPr>
          <w:sz w:val="20"/>
          <w:szCs w:val="20"/>
          <w:color w:val="auto"/>
        </w:rPr>
      </w:pPr>
      <w:r>
        <w:rPr>
          <w:rFonts w:ascii="Arial" w:cs="Arial" w:eastAsia="Arial" w:hAnsi="Arial"/>
          <w:sz w:val="21"/>
          <w:szCs w:val="21"/>
          <w:color w:val="auto"/>
        </w:rPr>
        <w:t>Name: Shawn Goffinet</w:t>
      </w:r>
    </w:p>
    <w:p>
      <w:pPr>
        <w:spacing w:after="0" w:line="12" w:lineRule="exact"/>
        <w:rPr>
          <w:sz w:val="20"/>
          <w:szCs w:val="20"/>
          <w:color w:val="auto"/>
        </w:rPr>
      </w:pPr>
    </w:p>
    <w:p>
      <w:pPr>
        <w:ind w:left="4900"/>
        <w:spacing w:after="0"/>
        <w:rPr>
          <w:sz w:val="20"/>
          <w:szCs w:val="20"/>
          <w:color w:val="auto"/>
        </w:rPr>
      </w:pPr>
      <w:r>
        <w:rPr>
          <w:rFonts w:ascii="Arial" w:cs="Arial" w:eastAsia="Arial" w:hAnsi="Arial"/>
          <w:sz w:val="21"/>
          <w:szCs w:val="21"/>
          <w:color w:val="auto"/>
        </w:rPr>
        <w:t>Title: Assistant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-327660</wp:posOffset>
            </wp:positionH>
            <wp:positionV relativeFrom="paragraph">
              <wp:posOffset>487045</wp:posOffset>
            </wp:positionV>
            <wp:extent cx="6388735"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300"/>
          </w:cols>
          <w:pgMar w:left="1440" w:top="126" w:right="1159" w:bottom="1440" w:gutter="0" w:footer="0" w:header="0"/>
        </w:sectPr>
      </w:pPr>
    </w:p>
    <w:bookmarkStart w:id="38" w:name="page39"/>
    <w:bookmarkEnd w:id="38"/>
    <w:p>
      <w:pPr>
        <w:ind w:left="8960"/>
        <w:spacing w:after="0"/>
        <w:rPr>
          <w:sz w:val="20"/>
          <w:szCs w:val="20"/>
          <w:color w:val="auto"/>
        </w:rPr>
      </w:pPr>
      <w:r>
        <w:rPr>
          <w:rFonts w:ascii="Arial" w:cs="Arial" w:eastAsia="Arial" w:hAnsi="Arial"/>
          <w:sz w:val="19"/>
          <w:szCs w:val="19"/>
          <w:b w:val="1"/>
          <w:bCs w:val="1"/>
          <w:color w:val="auto"/>
        </w:rPr>
        <w:t>Exhibit 10.1</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SECOND AMENDMENT TO CREDIT AGREEMENT</w:t>
      </w:r>
    </w:p>
    <w:p>
      <w:pPr>
        <w:spacing w:after="0" w:line="212"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This SECOND AMENDMENT TO CREDIT AGREEMENT (this “</w:t>
      </w:r>
      <w:r>
        <w:rPr>
          <w:rFonts w:ascii="Arial" w:cs="Arial" w:eastAsia="Arial" w:hAnsi="Arial"/>
          <w:sz w:val="19"/>
          <w:szCs w:val="19"/>
          <w:u w:val="single" w:color="auto"/>
          <w:color w:val="auto"/>
        </w:rPr>
        <w:t>Amendment</w:t>
      </w:r>
      <w:r>
        <w:rPr>
          <w:rFonts w:ascii="Arial" w:cs="Arial" w:eastAsia="Arial" w:hAnsi="Arial"/>
          <w:sz w:val="19"/>
          <w:szCs w:val="19"/>
          <w:color w:val="auto"/>
        </w:rPr>
        <w:t>”) dated as of June 10, 2019, is among KLX ENERGY SERVICES HOLDINGS, INC., a Delaware corporation (the “</w:t>
      </w:r>
      <w:r>
        <w:rPr>
          <w:rFonts w:ascii="Arial" w:cs="Arial" w:eastAsia="Arial" w:hAnsi="Arial"/>
          <w:sz w:val="19"/>
          <w:szCs w:val="19"/>
          <w:u w:val="single" w:color="auto"/>
          <w:color w:val="auto"/>
        </w:rPr>
        <w:t>Company</w:t>
      </w:r>
      <w:r>
        <w:rPr>
          <w:rFonts w:ascii="Arial" w:cs="Arial" w:eastAsia="Arial" w:hAnsi="Arial"/>
          <w:sz w:val="19"/>
          <w:szCs w:val="19"/>
          <w:color w:val="auto"/>
        </w:rPr>
        <w:t>”), each Guarantor that is a signatory hereto, JPMORGAN CHASE BANK, N.A., as administrative agent for the Lenders (in such capacity, together with its successors, the “</w:t>
      </w:r>
      <w:r>
        <w:rPr>
          <w:rFonts w:ascii="Arial" w:cs="Arial" w:eastAsia="Arial" w:hAnsi="Arial"/>
          <w:sz w:val="19"/>
          <w:szCs w:val="19"/>
          <w:u w:val="single" w:color="auto"/>
          <w:color w:val="auto"/>
        </w:rPr>
        <w:t>Administrative Agent</w:t>
      </w:r>
      <w:r>
        <w:rPr>
          <w:rFonts w:ascii="Arial" w:cs="Arial" w:eastAsia="Arial" w:hAnsi="Arial"/>
          <w:sz w:val="19"/>
          <w:szCs w:val="19"/>
          <w:color w:val="auto"/>
        </w:rPr>
        <w:t>”), the Issuing Lenders and the Lenders.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Recitals</w:t>
      </w:r>
    </w:p>
    <w:p>
      <w:pPr>
        <w:spacing w:after="0" w:line="206" w:lineRule="exact"/>
        <w:rPr>
          <w:sz w:val="20"/>
          <w:szCs w:val="20"/>
          <w:color w:val="auto"/>
        </w:rPr>
      </w:pPr>
    </w:p>
    <w:p>
      <w:pPr>
        <w:jc w:val="both"/>
        <w:ind w:firstLine="648"/>
        <w:spacing w:after="0" w:line="236" w:lineRule="auto"/>
        <w:tabs>
          <w:tab w:leader="none" w:pos="1459" w:val="left"/>
        </w:tabs>
        <w:numPr>
          <w:ilvl w:val="0"/>
          <w:numId w:val="13"/>
        </w:numPr>
        <w:rPr>
          <w:rFonts w:ascii="Arial" w:cs="Arial" w:eastAsia="Arial" w:hAnsi="Arial"/>
          <w:sz w:val="22"/>
          <w:szCs w:val="22"/>
          <w:color w:val="auto"/>
        </w:rPr>
      </w:pPr>
      <w:r>
        <w:rPr>
          <w:rFonts w:ascii="Arial" w:cs="Arial" w:eastAsia="Arial" w:hAnsi="Arial"/>
          <w:sz w:val="22"/>
          <w:szCs w:val="22"/>
          <w:color w:val="auto"/>
        </w:rPr>
        <w:t>The Company, the Administrative Agent, the Issuing Lenders and the Lenders are parties to that certain Credit Agreement dated as of August 10, 2018 (as amended by the First Amendment dated as of October 22, 2018, the “</w:t>
      </w:r>
      <w:r>
        <w:rPr>
          <w:rFonts w:ascii="Arial" w:cs="Arial" w:eastAsia="Arial" w:hAnsi="Arial"/>
          <w:sz w:val="22"/>
          <w:szCs w:val="22"/>
          <w:u w:val="single" w:color="auto"/>
          <w:color w:val="auto"/>
        </w:rPr>
        <w:t>Credit Agreement</w:t>
      </w:r>
      <w:r>
        <w:rPr>
          <w:rFonts w:ascii="Arial" w:cs="Arial" w:eastAsia="Arial" w:hAnsi="Arial"/>
          <w:sz w:val="22"/>
          <w:szCs w:val="22"/>
          <w:color w:val="auto"/>
        </w:rPr>
        <w:t>”), pursuant to which the Lenders have agreed to make certain loans to, and extensions of credit on behalf of, the Company on and after the Funding Date, subject to the terms and conditions of the Credit Agreement.</w:t>
      </w:r>
    </w:p>
    <w:p>
      <w:pPr>
        <w:spacing w:after="0" w:line="187" w:lineRule="exact"/>
        <w:rPr>
          <w:rFonts w:ascii="Arial" w:cs="Arial" w:eastAsia="Arial" w:hAnsi="Arial"/>
          <w:sz w:val="22"/>
          <w:szCs w:val="22"/>
          <w:color w:val="auto"/>
        </w:rPr>
      </w:pPr>
    </w:p>
    <w:p>
      <w:pPr>
        <w:jc w:val="both"/>
        <w:ind w:firstLine="648"/>
        <w:spacing w:after="0" w:line="238" w:lineRule="auto"/>
        <w:tabs>
          <w:tab w:leader="none" w:pos="1461" w:val="left"/>
        </w:tabs>
        <w:numPr>
          <w:ilvl w:val="0"/>
          <w:numId w:val="13"/>
        </w:numPr>
        <w:rPr>
          <w:rFonts w:ascii="Arial" w:cs="Arial" w:eastAsia="Arial" w:hAnsi="Arial"/>
          <w:sz w:val="22"/>
          <w:szCs w:val="22"/>
          <w:color w:val="auto"/>
        </w:rPr>
      </w:pPr>
      <w:r>
        <w:rPr>
          <w:rFonts w:ascii="Arial" w:cs="Arial" w:eastAsia="Arial" w:hAnsi="Arial"/>
          <w:sz w:val="22"/>
          <w:szCs w:val="22"/>
          <w:color w:val="auto"/>
        </w:rPr>
        <w:t>The Company, the Administrative Agent and the Lenders party hereto have agreed, subject to the terms and conditions herein, to amend certain provisions of the Credit Agreement to, among other things, permit the Company and its Subsidiaries to engage in certain sale and leaseback transactions with respect to motor vehicles as described herein.</w:t>
      </w:r>
    </w:p>
    <w:p>
      <w:pPr>
        <w:spacing w:after="0" w:line="185" w:lineRule="exact"/>
        <w:rPr>
          <w:rFonts w:ascii="Arial" w:cs="Arial" w:eastAsia="Arial" w:hAnsi="Arial"/>
          <w:sz w:val="22"/>
          <w:szCs w:val="22"/>
          <w:color w:val="auto"/>
        </w:rPr>
      </w:pPr>
    </w:p>
    <w:p>
      <w:pPr>
        <w:jc w:val="both"/>
        <w:ind w:firstLine="648"/>
        <w:spacing w:after="0"/>
        <w:tabs>
          <w:tab w:leader="none" w:pos="1425" w:val="left"/>
        </w:tabs>
        <w:numPr>
          <w:ilvl w:val="0"/>
          <w:numId w:val="13"/>
        </w:numPr>
        <w:rPr>
          <w:rFonts w:ascii="Arial" w:cs="Arial" w:eastAsia="Arial" w:hAnsi="Arial"/>
          <w:sz w:val="22"/>
          <w:szCs w:val="22"/>
          <w:color w:val="auto"/>
        </w:rPr>
      </w:pPr>
      <w:r>
        <w:rPr>
          <w:rFonts w:ascii="Arial" w:cs="Arial" w:eastAsia="Arial" w:hAnsi="Arial"/>
          <w:sz w:val="22"/>
          <w:szCs w:val="22"/>
          <w:color w:val="auto"/>
        </w:rPr>
        <w:t>NOW, THEREFORE, in consideration of the premises and the mutual covenants herein contained, for good and valuable consideration, the receipt and sufficiency of which are hereby acknowledged, the parties hereto agree as follows:</w:t>
      </w:r>
    </w:p>
    <w:p>
      <w:pPr>
        <w:spacing w:after="0" w:line="186" w:lineRule="exact"/>
        <w:rPr>
          <w:sz w:val="20"/>
          <w:szCs w:val="20"/>
          <w:color w:val="auto"/>
        </w:rPr>
      </w:pPr>
    </w:p>
    <w:p>
      <w:pPr>
        <w:ind w:firstLine="648"/>
        <w:spacing w:after="0" w:line="251" w:lineRule="auto"/>
        <w:rPr>
          <w:sz w:val="20"/>
          <w:szCs w:val="20"/>
          <w:color w:val="auto"/>
        </w:rPr>
      </w:pPr>
      <w:r>
        <w:rPr>
          <w:rFonts w:ascii="Arial" w:cs="Arial" w:eastAsia="Arial" w:hAnsi="Arial"/>
          <w:sz w:val="22"/>
          <w:szCs w:val="22"/>
          <w:color w:val="010000"/>
        </w:rPr>
        <w:t xml:space="preserve">Section 1. </w:t>
      </w:r>
      <w:r>
        <w:rPr>
          <w:rFonts w:ascii="Arial" w:cs="Arial" w:eastAsia="Arial" w:hAnsi="Arial"/>
          <w:sz w:val="22"/>
          <w:szCs w:val="22"/>
          <w:u w:val="single" w:color="auto"/>
          <w:color w:val="000000"/>
        </w:rPr>
        <w:t>Defined Terms</w:t>
      </w:r>
      <w:r>
        <w:rPr>
          <w:rFonts w:ascii="Arial" w:cs="Arial" w:eastAsia="Arial" w:hAnsi="Arial"/>
          <w:sz w:val="22"/>
          <w:szCs w:val="22"/>
          <w:color w:val="000000"/>
        </w:rPr>
        <w:t>. Each capitalized term used herein but not otherwise defined herein has the</w:t>
      </w:r>
      <w:r>
        <w:rPr>
          <w:rFonts w:ascii="Arial" w:cs="Arial" w:eastAsia="Arial" w:hAnsi="Arial"/>
          <w:sz w:val="22"/>
          <w:szCs w:val="22"/>
          <w:color w:val="010000"/>
        </w:rPr>
        <w:t xml:space="preserve"> </w:t>
      </w:r>
      <w:r>
        <w:rPr>
          <w:rFonts w:ascii="Arial" w:cs="Arial" w:eastAsia="Arial" w:hAnsi="Arial"/>
          <w:sz w:val="22"/>
          <w:szCs w:val="22"/>
          <w:color w:val="000000"/>
        </w:rPr>
        <w:t>meaning given to such term in the Credit Agreement.</w:t>
      </w:r>
    </w:p>
    <w:p>
      <w:pPr>
        <w:spacing w:after="0" w:line="173" w:lineRule="exact"/>
        <w:rPr>
          <w:sz w:val="20"/>
          <w:szCs w:val="20"/>
          <w:color w:val="auto"/>
        </w:rPr>
      </w:pPr>
    </w:p>
    <w:p>
      <w:pPr>
        <w:ind w:left="640"/>
        <w:spacing w:after="0"/>
        <w:tabs>
          <w:tab w:leader="none" w:pos="1920" w:val="left"/>
        </w:tabs>
        <w:rPr>
          <w:sz w:val="20"/>
          <w:szCs w:val="20"/>
          <w:color w:val="auto"/>
        </w:rPr>
      </w:pPr>
      <w:r>
        <w:rPr>
          <w:rFonts w:ascii="Arial" w:cs="Arial" w:eastAsia="Arial" w:hAnsi="Arial"/>
          <w:sz w:val="22"/>
          <w:szCs w:val="22"/>
          <w:color w:val="010000"/>
        </w:rPr>
        <w:t>Section 2.</w:t>
      </w:r>
      <w:r>
        <w:rPr>
          <w:sz w:val="20"/>
          <w:szCs w:val="20"/>
          <w:color w:val="auto"/>
        </w:rPr>
        <w:tab/>
      </w:r>
      <w:r>
        <w:rPr>
          <w:rFonts w:ascii="Arial" w:cs="Arial" w:eastAsia="Arial" w:hAnsi="Arial"/>
          <w:sz w:val="19"/>
          <w:szCs w:val="19"/>
          <w:u w:val="single" w:color="auto"/>
          <w:color w:val="auto"/>
        </w:rPr>
        <w:t>Amendments to Credit Agreement</w:t>
      </w:r>
      <w:r>
        <w:rPr>
          <w:rFonts w:ascii="Arial" w:cs="Arial" w:eastAsia="Arial" w:hAnsi="Arial"/>
          <w:sz w:val="19"/>
          <w:szCs w:val="19"/>
          <w:color w:val="auto"/>
        </w:rPr>
        <w:t>.</w:t>
      </w:r>
    </w:p>
    <w:p>
      <w:pPr>
        <w:spacing w:after="0" w:line="206" w:lineRule="exact"/>
        <w:rPr>
          <w:sz w:val="20"/>
          <w:szCs w:val="20"/>
          <w:color w:val="auto"/>
        </w:rPr>
      </w:pPr>
    </w:p>
    <w:p>
      <w:pPr>
        <w:ind w:left="580"/>
        <w:spacing w:after="0"/>
        <w:tabs>
          <w:tab w:leader="none" w:pos="1320" w:val="left"/>
        </w:tabs>
        <w:rPr>
          <w:sz w:val="20"/>
          <w:szCs w:val="20"/>
          <w:color w:val="auto"/>
        </w:rPr>
      </w:pPr>
      <w:r>
        <w:rPr>
          <w:rFonts w:ascii="Arial" w:cs="Arial" w:eastAsia="Arial" w:hAnsi="Arial"/>
          <w:sz w:val="22"/>
          <w:szCs w:val="22"/>
          <w:color w:val="auto"/>
        </w:rPr>
        <w:t>2.1</w:t>
      </w:r>
      <w:r>
        <w:rPr>
          <w:sz w:val="20"/>
          <w:szCs w:val="20"/>
          <w:color w:val="auto"/>
        </w:rPr>
        <w:tab/>
      </w:r>
      <w:r>
        <w:rPr>
          <w:rFonts w:ascii="Arial" w:cs="Arial" w:eastAsia="Arial" w:hAnsi="Arial"/>
          <w:sz w:val="19"/>
          <w:szCs w:val="19"/>
          <w:u w:val="single" w:color="auto"/>
          <w:color w:val="auto"/>
        </w:rPr>
        <w:t>Amendments to Section 1.2</w:t>
      </w:r>
      <w:r>
        <w:rPr>
          <w:rFonts w:ascii="Arial" w:cs="Arial" w:eastAsia="Arial" w:hAnsi="Arial"/>
          <w:sz w:val="19"/>
          <w:szCs w:val="19"/>
          <w:color w:val="auto"/>
        </w:rPr>
        <w:t>.</w:t>
      </w:r>
    </w:p>
    <w:p>
      <w:pPr>
        <w:spacing w:after="0" w:line="206" w:lineRule="exact"/>
        <w:rPr>
          <w:sz w:val="20"/>
          <w:szCs w:val="20"/>
          <w:color w:val="auto"/>
        </w:rPr>
      </w:pPr>
    </w:p>
    <w:p>
      <w:pPr>
        <w:ind w:left="160" w:firstLine="650"/>
        <w:spacing w:after="0" w:line="251" w:lineRule="auto"/>
        <w:tabs>
          <w:tab w:leader="none" w:pos="1227" w:val="left"/>
        </w:tabs>
        <w:numPr>
          <w:ilvl w:val="0"/>
          <w:numId w:val="14"/>
        </w:numPr>
        <w:rPr>
          <w:rFonts w:ascii="Arial" w:cs="Arial" w:eastAsia="Arial" w:hAnsi="Arial"/>
          <w:sz w:val="22"/>
          <w:szCs w:val="22"/>
          <w:color w:val="auto"/>
        </w:rPr>
      </w:pPr>
      <w:r>
        <w:rPr>
          <w:rFonts w:ascii="Arial" w:cs="Arial" w:eastAsia="Arial" w:hAnsi="Arial"/>
          <w:sz w:val="22"/>
          <w:szCs w:val="22"/>
          <w:color w:val="auto"/>
        </w:rPr>
        <w:t>The following terms are hereby added to Section 1.2 of the Credit Agreement in the appropriate alphabetical order:</w:t>
      </w:r>
    </w:p>
    <w:p>
      <w:pPr>
        <w:spacing w:after="0" w:line="173" w:lineRule="exact"/>
        <w:rPr>
          <w:sz w:val="20"/>
          <w:szCs w:val="20"/>
          <w:color w:val="auto"/>
        </w:rPr>
      </w:pPr>
    </w:p>
    <w:p>
      <w:pPr>
        <w:ind w:left="1300" w:firstLine="648"/>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Motor Vehicles</w:t>
      </w:r>
      <w:r>
        <w:rPr>
          <w:rFonts w:ascii="Arial" w:cs="Arial" w:eastAsia="Arial" w:hAnsi="Arial"/>
          <w:sz w:val="21"/>
          <w:szCs w:val="21"/>
          <w:color w:val="auto"/>
        </w:rPr>
        <w:t>” means motor vehicles (including automobiles and trucks), trailers, containers and related equipment owned or leased by the Company or any of its Subsidiaries.</w:t>
      </w:r>
    </w:p>
    <w:p>
      <w:pPr>
        <w:spacing w:after="0" w:line="151" w:lineRule="exact"/>
        <w:rPr>
          <w:sz w:val="20"/>
          <w:szCs w:val="20"/>
          <w:color w:val="auto"/>
        </w:rPr>
      </w:pPr>
    </w:p>
    <w:p>
      <w:pPr>
        <w:jc w:val="both"/>
        <w:ind w:left="1380" w:firstLine="567"/>
        <w:spacing w:after="0" w:line="27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Motor Vehicle Sale and Leaseback Transaction</w:t>
      </w:r>
      <w:r>
        <w:rPr>
          <w:rFonts w:ascii="Arial" w:cs="Arial" w:eastAsia="Arial" w:hAnsi="Arial"/>
          <w:sz w:val="19"/>
          <w:szCs w:val="19"/>
          <w:color w:val="auto"/>
        </w:rPr>
        <w:t>” means a Sale and Leaseback Transaction or other similar transaction, in each case, in respect of Motor Vehicles, including transactions pursuant to which (i) a Credit Party or Subsidiary transfers title in one or more Motor Vehicles to a third party for minimal consideration, leases the Motor Vehicle back and has the right to receive sale proceeds (less commissions) upon a sale by such third party of such Motor Vehicle, (ii) no material lease payments are made by such Credit Party or Subsidiary and (iii) the fair market value of all Motor Vehicles subject to such transaction, when combined with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350520</wp:posOffset>
            </wp:positionV>
            <wp:extent cx="6388735"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12" w:right="919" w:bottom="1440" w:gutter="0" w:footer="0" w:header="0"/>
        </w:sectPr>
      </w:pPr>
    </w:p>
    <w:bookmarkStart w:id="39" w:name="page40"/>
    <w:bookmarkEnd w:id="39"/>
    <w:p>
      <w:pPr>
        <w:ind w:left="1381"/>
        <w:spacing w:after="0" w:line="251" w:lineRule="auto"/>
        <w:rPr>
          <w:sz w:val="20"/>
          <w:szCs w:val="20"/>
          <w:color w:val="auto"/>
        </w:rPr>
      </w:pPr>
      <w:r>
        <w:rPr>
          <w:rFonts w:ascii="Arial" w:cs="Arial" w:eastAsia="Arial" w:hAnsi="Arial"/>
          <w:sz w:val="22"/>
          <w:szCs w:val="22"/>
          <w:color w:val="auto"/>
        </w:rPr>
        <w:t>fair market value of the Motor Vehicles transferred in any other Motor Vehicle Sale and Leaseback Transaction, does not exceed $20,000,000 in the aggregate at any time.</w:t>
      </w:r>
    </w:p>
    <w:p>
      <w:pPr>
        <w:spacing w:after="0" w:line="174" w:lineRule="exact"/>
        <w:rPr>
          <w:sz w:val="20"/>
          <w:szCs w:val="20"/>
          <w:color w:val="auto"/>
        </w:rPr>
      </w:pPr>
    </w:p>
    <w:p>
      <w:pPr>
        <w:jc w:val="both"/>
        <w:ind w:left="1" w:firstLine="583"/>
        <w:spacing w:after="0" w:line="251" w:lineRule="auto"/>
        <w:rPr>
          <w:sz w:val="20"/>
          <w:szCs w:val="20"/>
          <w:color w:val="auto"/>
        </w:rPr>
      </w:pPr>
      <w:r>
        <w:rPr>
          <w:rFonts w:ascii="Arial" w:cs="Arial" w:eastAsia="Arial" w:hAnsi="Arial"/>
          <w:sz w:val="22"/>
          <w:szCs w:val="22"/>
          <w:color w:val="auto"/>
        </w:rPr>
        <w:t xml:space="preserve">2.2 </w:t>
      </w:r>
      <w:r>
        <w:rPr>
          <w:rFonts w:ascii="Arial" w:cs="Arial" w:eastAsia="Arial" w:hAnsi="Arial"/>
          <w:sz w:val="22"/>
          <w:szCs w:val="22"/>
          <w:u w:val="single" w:color="auto"/>
          <w:color w:val="auto"/>
        </w:rPr>
        <w:t>Amendment to Section 9.2</w:t>
      </w:r>
      <w:r>
        <w:rPr>
          <w:rFonts w:ascii="Arial" w:cs="Arial" w:eastAsia="Arial" w:hAnsi="Arial"/>
          <w:sz w:val="22"/>
          <w:szCs w:val="22"/>
          <w:color w:val="auto"/>
        </w:rPr>
        <w:t>. Section 9.2(e) of the Credit Agreement is hereby amended to read in its entirety as follows:</w:t>
      </w:r>
    </w:p>
    <w:p>
      <w:pPr>
        <w:spacing w:after="0" w:line="173" w:lineRule="exact"/>
        <w:rPr>
          <w:sz w:val="20"/>
          <w:szCs w:val="20"/>
          <w:color w:val="auto"/>
        </w:rPr>
      </w:pPr>
    </w:p>
    <w:p>
      <w:pPr>
        <w:jc w:val="both"/>
        <w:ind w:left="1" w:firstLine="648"/>
        <w:spacing w:after="0" w:line="277" w:lineRule="auto"/>
        <w:rPr>
          <w:sz w:val="20"/>
          <w:szCs w:val="20"/>
          <w:color w:val="auto"/>
        </w:rPr>
      </w:pPr>
      <w:r>
        <w:rPr>
          <w:rFonts w:ascii="Arial" w:cs="Arial" w:eastAsia="Arial" w:hAnsi="Arial"/>
          <w:sz w:val="19"/>
          <w:szCs w:val="19"/>
          <w:color w:val="auto"/>
        </w:rPr>
        <w:t xml:space="preserve">“(e) Indebtedness of the Company or any Restricted Subsidiary (i) arising from a Sale and Leaseback Transaction permitted under Section 9.16 or (ii) incurred to finance the acquisition, construction or improvement of any fixed or capital assets, including capital lease obligations, and any Indebtedness assumed in connection with the acquisition of any such assets or secured by a Lien on any such assets prior to the acquisition thereof, and any extension or renewal thereof; </w:t>
      </w:r>
      <w:r>
        <w:rPr>
          <w:rFonts w:ascii="Arial" w:cs="Arial" w:eastAsia="Arial" w:hAnsi="Arial"/>
          <w:sz w:val="19"/>
          <w:szCs w:val="19"/>
          <w:b w:val="1"/>
          <w:bCs w:val="1"/>
          <w:color w:val="auto"/>
        </w:rPr>
        <w:t>provided</w:t>
      </w:r>
      <w:r>
        <w:rPr>
          <w:rFonts w:ascii="Arial" w:cs="Arial" w:eastAsia="Arial" w:hAnsi="Arial"/>
          <w:sz w:val="19"/>
          <w:szCs w:val="19"/>
          <w:color w:val="auto"/>
        </w:rPr>
        <w:t xml:space="preserve"> that (A) such Indebtedness is incurred prior to or within ninety (90) days after such acquisition or the completion of such construction or improvement and (B) the aggregate principal amount of Indebtedness permitted by this paragraph (e)(ii) shall not at any time exceed $40,000,000;</w:t>
      </w:r>
    </w:p>
    <w:p>
      <w:pPr>
        <w:spacing w:after="0" w:line="153" w:lineRule="exact"/>
        <w:rPr>
          <w:sz w:val="20"/>
          <w:szCs w:val="20"/>
          <w:color w:val="auto"/>
        </w:rPr>
      </w:pPr>
    </w:p>
    <w:p>
      <w:pPr>
        <w:jc w:val="both"/>
        <w:ind w:left="1" w:firstLine="583"/>
        <w:spacing w:after="0" w:line="251" w:lineRule="auto"/>
        <w:rPr>
          <w:sz w:val="20"/>
          <w:szCs w:val="20"/>
          <w:color w:val="auto"/>
        </w:rPr>
      </w:pPr>
      <w:r>
        <w:rPr>
          <w:rFonts w:ascii="Arial" w:cs="Arial" w:eastAsia="Arial" w:hAnsi="Arial"/>
          <w:sz w:val="22"/>
          <w:szCs w:val="22"/>
          <w:color w:val="auto"/>
        </w:rPr>
        <w:t xml:space="preserve">2.3 </w:t>
      </w:r>
      <w:r>
        <w:rPr>
          <w:rFonts w:ascii="Arial" w:cs="Arial" w:eastAsia="Arial" w:hAnsi="Arial"/>
          <w:sz w:val="22"/>
          <w:szCs w:val="22"/>
          <w:u w:val="single" w:color="auto"/>
          <w:color w:val="auto"/>
        </w:rPr>
        <w:t>Amendment to Section 9.6</w:t>
      </w:r>
      <w:r>
        <w:rPr>
          <w:rFonts w:ascii="Arial" w:cs="Arial" w:eastAsia="Arial" w:hAnsi="Arial"/>
          <w:sz w:val="22"/>
          <w:szCs w:val="22"/>
          <w:color w:val="auto"/>
        </w:rPr>
        <w:t>. Section 9.6(j) of the Credit Agreement is hereby amended to read in its entirety as follows:</w:t>
      </w:r>
    </w:p>
    <w:p>
      <w:pPr>
        <w:spacing w:after="0" w:line="173" w:lineRule="exact"/>
        <w:rPr>
          <w:sz w:val="20"/>
          <w:szCs w:val="20"/>
          <w:color w:val="auto"/>
        </w:rPr>
      </w:pPr>
    </w:p>
    <w:p>
      <w:pPr>
        <w:jc w:val="both"/>
        <w:ind w:left="1" w:firstLine="648"/>
        <w:spacing w:after="0"/>
        <w:rPr>
          <w:sz w:val="20"/>
          <w:szCs w:val="20"/>
          <w:color w:val="auto"/>
        </w:rPr>
      </w:pPr>
      <w:r>
        <w:rPr>
          <w:rFonts w:ascii="Arial" w:cs="Arial" w:eastAsia="Arial" w:hAnsi="Arial"/>
          <w:sz w:val="22"/>
          <w:szCs w:val="22"/>
          <w:color w:val="auto"/>
        </w:rPr>
        <w:t>“(j) any disposition, transfer, sale or assignment (i) permitted under Section 9.5 (other than any described in paragraph (e) of Section 9.5) or (ii) arising from any Sale and Leaseback Transaction permitted under Section 9.16.”</w:t>
      </w:r>
    </w:p>
    <w:p>
      <w:pPr>
        <w:spacing w:after="0" w:line="186" w:lineRule="exact"/>
        <w:rPr>
          <w:sz w:val="20"/>
          <w:szCs w:val="20"/>
          <w:color w:val="auto"/>
        </w:rPr>
      </w:pPr>
    </w:p>
    <w:p>
      <w:pPr>
        <w:jc w:val="both"/>
        <w:ind w:left="1" w:firstLine="583"/>
        <w:spacing w:after="0" w:line="251" w:lineRule="auto"/>
        <w:rPr>
          <w:sz w:val="20"/>
          <w:szCs w:val="20"/>
          <w:color w:val="auto"/>
        </w:rPr>
      </w:pPr>
      <w:r>
        <w:rPr>
          <w:rFonts w:ascii="Arial" w:cs="Arial" w:eastAsia="Arial" w:hAnsi="Arial"/>
          <w:sz w:val="22"/>
          <w:szCs w:val="22"/>
          <w:color w:val="auto"/>
        </w:rPr>
        <w:t xml:space="preserve">2.4 </w:t>
      </w:r>
      <w:r>
        <w:rPr>
          <w:rFonts w:ascii="Arial" w:cs="Arial" w:eastAsia="Arial" w:hAnsi="Arial"/>
          <w:sz w:val="22"/>
          <w:szCs w:val="22"/>
          <w:u w:val="single" w:color="auto"/>
          <w:color w:val="auto"/>
        </w:rPr>
        <w:t>Amendment to Section 9.16</w:t>
      </w:r>
      <w:r>
        <w:rPr>
          <w:rFonts w:ascii="Arial" w:cs="Arial" w:eastAsia="Arial" w:hAnsi="Arial"/>
          <w:sz w:val="22"/>
          <w:szCs w:val="22"/>
          <w:color w:val="auto"/>
        </w:rPr>
        <w:t>. Section 9.16 of the Credit Agreement is hereby amended so as to read in its entirety as follows:</w:t>
      </w:r>
    </w:p>
    <w:p>
      <w:pPr>
        <w:spacing w:after="0" w:line="173" w:lineRule="exact"/>
        <w:rPr>
          <w:sz w:val="20"/>
          <w:szCs w:val="20"/>
          <w:color w:val="auto"/>
        </w:rPr>
      </w:pPr>
    </w:p>
    <w:p>
      <w:pPr>
        <w:jc w:val="both"/>
        <w:ind w:left="1" w:firstLine="583"/>
        <w:spacing w:after="0" w:line="275" w:lineRule="auto"/>
        <w:rPr>
          <w:sz w:val="20"/>
          <w:szCs w:val="20"/>
          <w:color w:val="auto"/>
        </w:rPr>
      </w:pPr>
      <w:r>
        <w:rPr>
          <w:rFonts w:ascii="Arial" w:cs="Arial" w:eastAsia="Arial" w:hAnsi="Arial"/>
          <w:sz w:val="19"/>
          <w:szCs w:val="19"/>
          <w:color w:val="auto"/>
        </w:rPr>
        <w:t>“No Credit Party will, nor will any Credit Party permit any Subsidiary to, enter into any arrangement or arrangements, with any Person providing for the leasing by any Credit Party or any Subsidiary of real or personal property that has been or is to be sold or transferred by any Credit Party to such Person or to any other person to whom funds have been or are to be advanced by such person on the security of such property or rental obligations of such Credit Party (a “</w:t>
      </w:r>
      <w:r>
        <w:rPr>
          <w:rFonts w:ascii="Arial" w:cs="Arial" w:eastAsia="Arial" w:hAnsi="Arial"/>
          <w:sz w:val="19"/>
          <w:szCs w:val="19"/>
          <w:b w:val="1"/>
          <w:bCs w:val="1"/>
          <w:i w:val="1"/>
          <w:iCs w:val="1"/>
          <w:color w:val="auto"/>
        </w:rPr>
        <w:t>Sale and Leaseback Transaction</w:t>
      </w:r>
      <w:r>
        <w:rPr>
          <w:rFonts w:ascii="Arial" w:cs="Arial" w:eastAsia="Arial" w:hAnsi="Arial"/>
          <w:sz w:val="19"/>
          <w:szCs w:val="19"/>
          <w:color w:val="auto"/>
        </w:rPr>
        <w:t>”), except for (i) any Motor Vehicle Sale and Leaseback Transaction which does not cause the total aggregate liability under all Motor Vehicle Sale and Leaseback Transactions permitted under this subclause (i) to exceed $20,000,000 at any time and (ii) any other Sale and Leaseback Transaction which satisfies each of the following requirements:</w:t>
      </w:r>
    </w:p>
    <w:p>
      <w:pPr>
        <w:spacing w:after="0" w:line="158" w:lineRule="exact"/>
        <w:rPr>
          <w:sz w:val="20"/>
          <w:szCs w:val="20"/>
          <w:color w:val="auto"/>
        </w:rPr>
      </w:pPr>
    </w:p>
    <w:p>
      <w:pPr>
        <w:jc w:val="both"/>
        <w:ind w:left="641" w:hanging="641"/>
        <w:spacing w:after="0" w:line="238" w:lineRule="auto"/>
        <w:tabs>
          <w:tab w:leader="none" w:pos="732" w:val="left"/>
        </w:tabs>
        <w:numPr>
          <w:ilvl w:val="0"/>
          <w:numId w:val="15"/>
        </w:numPr>
        <w:rPr>
          <w:rFonts w:ascii="Arial" w:cs="Arial" w:eastAsia="Arial" w:hAnsi="Arial"/>
          <w:sz w:val="22"/>
          <w:szCs w:val="22"/>
          <w:color w:val="auto"/>
        </w:rPr>
      </w:pPr>
      <w:r>
        <w:rPr>
          <w:rFonts w:ascii="Arial" w:cs="Arial" w:eastAsia="Arial" w:hAnsi="Arial"/>
          <w:sz w:val="22"/>
          <w:szCs w:val="22"/>
          <w:color w:val="auto"/>
        </w:rPr>
        <w:t>a Sale and Leaseback Transaction for the sale or transfer of any fixed or capital assets which are made for cash consideration in an amount not less than the fair value of such fixed or capital asset and which is consummated within ninety (90) days after such Credit Party acquires or completes the construction of such fixed or capital asset; and</w:t>
      </w:r>
    </w:p>
    <w:p>
      <w:pPr>
        <w:spacing w:after="0" w:line="185" w:lineRule="exact"/>
        <w:rPr>
          <w:rFonts w:ascii="Arial" w:cs="Arial" w:eastAsia="Arial" w:hAnsi="Arial"/>
          <w:sz w:val="22"/>
          <w:szCs w:val="22"/>
          <w:color w:val="auto"/>
        </w:rPr>
      </w:pPr>
    </w:p>
    <w:p>
      <w:pPr>
        <w:ind w:left="641" w:hanging="641"/>
        <w:spacing w:after="0" w:line="328" w:lineRule="auto"/>
        <w:tabs>
          <w:tab w:leader="none" w:pos="866" w:val="left"/>
        </w:tabs>
        <w:numPr>
          <w:ilvl w:val="0"/>
          <w:numId w:val="15"/>
        </w:numPr>
        <w:rPr>
          <w:rFonts w:ascii="Arial" w:cs="Arial" w:eastAsia="Arial" w:hAnsi="Arial"/>
          <w:sz w:val="19"/>
          <w:szCs w:val="19"/>
          <w:color w:val="auto"/>
        </w:rPr>
      </w:pPr>
      <w:r>
        <w:rPr>
          <w:rFonts w:ascii="Arial" w:cs="Arial" w:eastAsia="Arial" w:hAnsi="Arial"/>
          <w:sz w:val="19"/>
          <w:szCs w:val="19"/>
          <w:color w:val="auto"/>
        </w:rPr>
        <w:t>a Sale and Leaseback Transaction which does not cause the total aggregate liability under all Sale and Leaseback Transactions permitted under this Section 9.16(a) to exceed $10,000,000 at any time.”</w:t>
      </w:r>
    </w:p>
    <w:p>
      <w:pPr>
        <w:spacing w:after="0" w:line="3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350520</wp:posOffset>
            </wp:positionV>
            <wp:extent cx="6388735"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118" w:right="919" w:bottom="1440" w:gutter="0" w:footer="0" w:header="0"/>
        </w:sectPr>
      </w:pPr>
    </w:p>
    <w:bookmarkStart w:id="40" w:name="page41"/>
    <w:bookmarkEnd w:id="40"/>
    <w:p>
      <w:pPr>
        <w:jc w:val="both"/>
        <w:ind w:firstLine="648"/>
        <w:spacing w:after="0" w:line="241" w:lineRule="auto"/>
        <w:rPr>
          <w:sz w:val="20"/>
          <w:szCs w:val="20"/>
          <w:color w:val="auto"/>
        </w:rPr>
      </w:pPr>
      <w:r>
        <w:rPr>
          <w:rFonts w:ascii="Arial" w:cs="Arial" w:eastAsia="Arial" w:hAnsi="Arial"/>
          <w:sz w:val="22"/>
          <w:szCs w:val="22"/>
          <w:color w:val="010000"/>
        </w:rPr>
        <w:t xml:space="preserve">Section 3. </w:t>
      </w:r>
      <w:r>
        <w:rPr>
          <w:rFonts w:ascii="Arial" w:cs="Arial" w:eastAsia="Arial" w:hAnsi="Arial"/>
          <w:sz w:val="22"/>
          <w:szCs w:val="22"/>
          <w:u w:val="single" w:color="auto"/>
          <w:color w:val="000000"/>
        </w:rPr>
        <w:t>Conditions Precedent</w:t>
      </w:r>
      <w:r>
        <w:rPr>
          <w:rFonts w:ascii="Arial" w:cs="Arial" w:eastAsia="Arial" w:hAnsi="Arial"/>
          <w:sz w:val="22"/>
          <w:szCs w:val="22"/>
          <w:color w:val="000000"/>
        </w:rPr>
        <w:t>. This Amendment shall become effective on the date (such date, the</w:t>
      </w:r>
      <w:r>
        <w:rPr>
          <w:rFonts w:ascii="Arial" w:cs="Arial" w:eastAsia="Arial" w:hAnsi="Arial"/>
          <w:sz w:val="22"/>
          <w:szCs w:val="22"/>
          <w:color w:val="010000"/>
        </w:rPr>
        <w:t xml:space="preserve"> </w:t>
      </w:r>
      <w:r>
        <w:rPr>
          <w:rFonts w:ascii="Arial" w:cs="Arial" w:eastAsia="Arial" w:hAnsi="Arial"/>
          <w:sz w:val="22"/>
          <w:szCs w:val="22"/>
          <w:color w:val="000000"/>
        </w:rPr>
        <w:t>“</w:t>
      </w:r>
      <w:r>
        <w:rPr>
          <w:rFonts w:ascii="Arial" w:cs="Arial" w:eastAsia="Arial" w:hAnsi="Arial"/>
          <w:sz w:val="22"/>
          <w:szCs w:val="22"/>
          <w:u w:val="single" w:color="auto"/>
          <w:color w:val="000000"/>
        </w:rPr>
        <w:t>Amendment Effective Date</w:t>
      </w:r>
      <w:r>
        <w:rPr>
          <w:rFonts w:ascii="Arial" w:cs="Arial" w:eastAsia="Arial" w:hAnsi="Arial"/>
          <w:sz w:val="22"/>
          <w:szCs w:val="22"/>
          <w:color w:val="000000"/>
        </w:rPr>
        <w:t>”) when each of the following conditions is satisfied (or waived in accordance with Section 12.1 of the Credit Agreement):</w:t>
      </w:r>
    </w:p>
    <w:p>
      <w:pPr>
        <w:spacing w:after="0" w:line="184" w:lineRule="exact"/>
        <w:rPr>
          <w:sz w:val="20"/>
          <w:szCs w:val="20"/>
          <w:color w:val="auto"/>
        </w:rPr>
      </w:pPr>
    </w:p>
    <w:p>
      <w:pPr>
        <w:jc w:val="both"/>
        <w:ind w:firstLine="583"/>
        <w:spacing w:after="0" w:line="287" w:lineRule="auto"/>
        <w:rPr>
          <w:sz w:val="20"/>
          <w:szCs w:val="20"/>
          <w:color w:val="auto"/>
        </w:rPr>
      </w:pPr>
      <w:r>
        <w:rPr>
          <w:rFonts w:ascii="Arial" w:cs="Arial" w:eastAsia="Arial" w:hAnsi="Arial"/>
          <w:sz w:val="19"/>
          <w:szCs w:val="19"/>
          <w:color w:val="auto"/>
        </w:rPr>
        <w:t>3.1 The Administrative Agent and the Lenders shall have received all fees and other amounts due and payable in connection with this Amendment or any other Credit Document on or prior to the Amendment Effective Date, including, to the extent invoiced, reimbursement or payment of all out-of-pocket expenses required to be reimbursed or paid by the Company pursuant to this Amendment or any other Credit Document.</w:t>
      </w:r>
    </w:p>
    <w:p>
      <w:pPr>
        <w:spacing w:after="0" w:line="143" w:lineRule="exact"/>
        <w:rPr>
          <w:sz w:val="20"/>
          <w:szCs w:val="20"/>
          <w:color w:val="auto"/>
        </w:rPr>
      </w:pPr>
    </w:p>
    <w:p>
      <w:pPr>
        <w:jc w:val="both"/>
        <w:ind w:firstLine="583"/>
        <w:spacing w:after="0" w:line="251" w:lineRule="auto"/>
        <w:rPr>
          <w:sz w:val="20"/>
          <w:szCs w:val="20"/>
          <w:color w:val="auto"/>
        </w:rPr>
      </w:pPr>
      <w:r>
        <w:rPr>
          <w:rFonts w:ascii="Arial" w:cs="Arial" w:eastAsia="Arial" w:hAnsi="Arial"/>
          <w:sz w:val="22"/>
          <w:szCs w:val="22"/>
          <w:color w:val="auto"/>
        </w:rPr>
        <w:t>3.2 The Administrative Agent shall have received a counterpart of this Amendment signed by the Company and Lenders constituting the Required Lenders.</w:t>
      </w:r>
    </w:p>
    <w:p>
      <w:pPr>
        <w:spacing w:after="0" w:line="173" w:lineRule="exact"/>
        <w:rPr>
          <w:sz w:val="20"/>
          <w:szCs w:val="20"/>
          <w:color w:val="auto"/>
        </w:rPr>
      </w:pPr>
    </w:p>
    <w:p>
      <w:pPr>
        <w:ind w:left="580"/>
        <w:spacing w:after="0"/>
        <w:tabs>
          <w:tab w:leader="none" w:pos="1600" w:val="left"/>
        </w:tabs>
        <w:rPr>
          <w:sz w:val="20"/>
          <w:szCs w:val="20"/>
          <w:color w:val="auto"/>
        </w:rPr>
      </w:pPr>
      <w:r>
        <w:rPr>
          <w:rFonts w:ascii="Arial" w:cs="Arial" w:eastAsia="Arial" w:hAnsi="Arial"/>
          <w:sz w:val="22"/>
          <w:szCs w:val="22"/>
          <w:color w:val="auto"/>
        </w:rPr>
        <w:t>3.3</w:t>
      </w:r>
      <w:r>
        <w:rPr>
          <w:sz w:val="20"/>
          <w:szCs w:val="20"/>
          <w:color w:val="auto"/>
        </w:rPr>
        <w:tab/>
      </w:r>
      <w:r>
        <w:rPr>
          <w:rFonts w:ascii="Arial" w:cs="Arial" w:eastAsia="Arial" w:hAnsi="Arial"/>
          <w:sz w:val="19"/>
          <w:szCs w:val="19"/>
          <w:color w:val="auto"/>
        </w:rPr>
        <w:t>The Administrative Agent shall have received a certificate from a Responsible Officer of the</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Company certifying that:</w:t>
      </w:r>
    </w:p>
    <w:p>
      <w:pPr>
        <w:spacing w:after="0" w:line="188" w:lineRule="exact"/>
        <w:rPr>
          <w:sz w:val="20"/>
          <w:szCs w:val="20"/>
          <w:color w:val="auto"/>
        </w:rPr>
      </w:pPr>
    </w:p>
    <w:p>
      <w:pPr>
        <w:jc w:val="both"/>
        <w:ind w:left="160" w:firstLine="650"/>
        <w:spacing w:after="0" w:line="238" w:lineRule="auto"/>
        <w:tabs>
          <w:tab w:leader="none" w:pos="1232" w:val="left"/>
        </w:tabs>
        <w:numPr>
          <w:ilvl w:val="0"/>
          <w:numId w:val="16"/>
        </w:numPr>
        <w:rPr>
          <w:rFonts w:ascii="Arial" w:cs="Arial" w:eastAsia="Arial" w:hAnsi="Arial"/>
          <w:sz w:val="22"/>
          <w:szCs w:val="22"/>
          <w:color w:val="auto"/>
        </w:rPr>
      </w:pPr>
      <w:r>
        <w:rPr>
          <w:rFonts w:ascii="Arial" w:cs="Arial" w:eastAsia="Arial" w:hAnsi="Arial"/>
          <w:sz w:val="22"/>
          <w:szCs w:val="22"/>
          <w:color w:val="auto"/>
        </w:rPr>
        <w:t>The representations and warranties contained in the Credit Agreement are true and correct in all material respects (unless already qualified by materiality, in which case such applicable representation and warranty is true and correct) as of the Amendment Effective Date (or as of such earlier date if the representation or warranty specifically relates to an earlier date); and</w:t>
      </w:r>
    </w:p>
    <w:p>
      <w:pPr>
        <w:spacing w:after="0" w:line="185" w:lineRule="exact"/>
        <w:rPr>
          <w:rFonts w:ascii="Arial" w:cs="Arial" w:eastAsia="Arial" w:hAnsi="Arial"/>
          <w:sz w:val="22"/>
          <w:szCs w:val="22"/>
          <w:color w:val="auto"/>
        </w:rPr>
      </w:pPr>
    </w:p>
    <w:p>
      <w:pPr>
        <w:ind w:left="1160" w:hanging="350"/>
        <w:spacing w:after="0"/>
        <w:tabs>
          <w:tab w:leader="none" w:pos="1160" w:val="left"/>
        </w:tabs>
        <w:numPr>
          <w:ilvl w:val="0"/>
          <w:numId w:val="16"/>
        </w:numPr>
        <w:rPr>
          <w:rFonts w:ascii="Arial" w:cs="Arial" w:eastAsia="Arial" w:hAnsi="Arial"/>
          <w:sz w:val="22"/>
          <w:szCs w:val="22"/>
          <w:color w:val="auto"/>
        </w:rPr>
      </w:pPr>
      <w:r>
        <w:rPr>
          <w:rFonts w:ascii="Arial" w:cs="Arial" w:eastAsia="Arial" w:hAnsi="Arial"/>
          <w:sz w:val="22"/>
          <w:szCs w:val="22"/>
          <w:color w:val="auto"/>
        </w:rPr>
        <w:t>No Default or Event of Default has occurred and is continuing.</w:t>
      </w:r>
    </w:p>
    <w:p>
      <w:pPr>
        <w:spacing w:after="0" w:line="206"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1"/>
          <w:szCs w:val="21"/>
          <w:color w:val="auto"/>
        </w:rPr>
        <w:t xml:space="preserve">The Administrative Agent is hereby authorized and directed to declare this Amendment to be effective (and the Amendment Effective Date shall occur) when it has received documents confirming or certifying, to the satisfaction of the Administrative Agent, compliance with the conditions set forth in this </w:t>
      </w:r>
      <w:r>
        <w:rPr>
          <w:rFonts w:ascii="Arial" w:cs="Arial" w:eastAsia="Arial" w:hAnsi="Arial"/>
          <w:sz w:val="21"/>
          <w:szCs w:val="21"/>
          <w:u w:val="single" w:color="auto"/>
          <w:color w:val="auto"/>
        </w:rPr>
        <w:t>Section 3</w:t>
      </w:r>
      <w:r>
        <w:rPr>
          <w:rFonts w:ascii="Arial" w:cs="Arial" w:eastAsia="Arial" w:hAnsi="Arial"/>
          <w:sz w:val="21"/>
          <w:szCs w:val="21"/>
          <w:color w:val="auto"/>
        </w:rPr>
        <w:t xml:space="preserve"> (or the waiver of such conditions as permitted in Section 12.1 of the Credit Agreement). Such declaration shall be final, conclusive and binding upon all parties to the Credit Agreement for all purposes.</w:t>
      </w:r>
    </w:p>
    <w:p>
      <w:pPr>
        <w:spacing w:after="0" w:line="179" w:lineRule="exact"/>
        <w:rPr>
          <w:sz w:val="20"/>
          <w:szCs w:val="20"/>
          <w:color w:val="auto"/>
        </w:rPr>
      </w:pPr>
    </w:p>
    <w:p>
      <w:pPr>
        <w:ind w:left="640"/>
        <w:spacing w:after="0"/>
        <w:tabs>
          <w:tab w:leader="none" w:pos="1920" w:val="left"/>
        </w:tabs>
        <w:rPr>
          <w:sz w:val="20"/>
          <w:szCs w:val="20"/>
          <w:color w:val="auto"/>
        </w:rPr>
      </w:pPr>
      <w:r>
        <w:rPr>
          <w:rFonts w:ascii="Arial" w:cs="Arial" w:eastAsia="Arial" w:hAnsi="Arial"/>
          <w:sz w:val="22"/>
          <w:szCs w:val="22"/>
          <w:color w:val="010000"/>
        </w:rPr>
        <w:t>Section 4.</w:t>
      </w:r>
      <w:r>
        <w:rPr>
          <w:sz w:val="20"/>
          <w:szCs w:val="20"/>
          <w:color w:val="auto"/>
        </w:rPr>
        <w:tab/>
      </w:r>
      <w:r>
        <w:rPr>
          <w:rFonts w:ascii="Arial" w:cs="Arial" w:eastAsia="Arial" w:hAnsi="Arial"/>
          <w:sz w:val="19"/>
          <w:szCs w:val="19"/>
          <w:u w:val="single" w:color="auto"/>
          <w:color w:val="auto"/>
        </w:rPr>
        <w:t>Miscellaneous</w:t>
      </w:r>
      <w:r>
        <w:rPr>
          <w:rFonts w:ascii="Arial" w:cs="Arial" w:eastAsia="Arial" w:hAnsi="Arial"/>
          <w:sz w:val="19"/>
          <w:szCs w:val="19"/>
          <w:color w:val="auto"/>
        </w:rPr>
        <w:t>.</w:t>
      </w:r>
    </w:p>
    <w:p>
      <w:pPr>
        <w:spacing w:after="0" w:line="206" w:lineRule="exact"/>
        <w:rPr>
          <w:sz w:val="20"/>
          <w:szCs w:val="20"/>
          <w:color w:val="auto"/>
        </w:rPr>
      </w:pPr>
    </w:p>
    <w:p>
      <w:pPr>
        <w:jc w:val="both"/>
        <w:ind w:firstLine="583"/>
        <w:spacing w:after="0" w:line="274" w:lineRule="auto"/>
        <w:rPr>
          <w:sz w:val="20"/>
          <w:szCs w:val="20"/>
          <w:color w:val="auto"/>
        </w:rPr>
      </w:pPr>
      <w:r>
        <w:rPr>
          <w:rFonts w:ascii="Arial" w:cs="Arial" w:eastAsia="Arial" w:hAnsi="Arial"/>
          <w:sz w:val="21"/>
          <w:szCs w:val="21"/>
          <w:color w:val="auto"/>
        </w:rPr>
        <w:t xml:space="preserve">4.1 </w:t>
      </w:r>
      <w:r>
        <w:rPr>
          <w:rFonts w:ascii="Arial" w:cs="Arial" w:eastAsia="Arial" w:hAnsi="Arial"/>
          <w:sz w:val="21"/>
          <w:szCs w:val="21"/>
          <w:u w:val="single" w:color="auto"/>
          <w:color w:val="auto"/>
        </w:rPr>
        <w:t>Confirmation</w:t>
      </w:r>
      <w:r>
        <w:rPr>
          <w:rFonts w:ascii="Arial" w:cs="Arial" w:eastAsia="Arial" w:hAnsi="Arial"/>
          <w:sz w:val="21"/>
          <w:szCs w:val="21"/>
          <w:color w:val="auto"/>
        </w:rPr>
        <w:t>. All of the terms and provisions of the Credit Agreement, as amended by this Amendment, are, and shall remain, in full force and effect following the effectiveness of this Amendment.</w:t>
      </w:r>
    </w:p>
    <w:p>
      <w:pPr>
        <w:spacing w:after="0" w:line="151" w:lineRule="exact"/>
        <w:rPr>
          <w:sz w:val="20"/>
          <w:szCs w:val="20"/>
          <w:color w:val="auto"/>
        </w:rPr>
      </w:pPr>
    </w:p>
    <w:p>
      <w:pPr>
        <w:jc w:val="both"/>
        <w:ind w:firstLine="583"/>
        <w:spacing w:after="0" w:line="245" w:lineRule="auto"/>
        <w:rPr>
          <w:sz w:val="20"/>
          <w:szCs w:val="20"/>
          <w:color w:val="auto"/>
        </w:rPr>
      </w:pPr>
      <w:r>
        <w:rPr>
          <w:rFonts w:ascii="Arial" w:cs="Arial" w:eastAsia="Arial" w:hAnsi="Arial"/>
          <w:sz w:val="21"/>
          <w:szCs w:val="21"/>
          <w:color w:val="auto"/>
        </w:rPr>
        <w:t xml:space="preserve">4.2 </w:t>
      </w:r>
      <w:r>
        <w:rPr>
          <w:rFonts w:ascii="Arial" w:cs="Arial" w:eastAsia="Arial" w:hAnsi="Arial"/>
          <w:sz w:val="21"/>
          <w:szCs w:val="21"/>
          <w:u w:val="single" w:color="auto"/>
          <w:color w:val="auto"/>
        </w:rPr>
        <w:t>Ratification and Affirmation; Representations and Warranties</w:t>
      </w:r>
      <w:r>
        <w:rPr>
          <w:rFonts w:ascii="Arial" w:cs="Arial" w:eastAsia="Arial" w:hAnsi="Arial"/>
          <w:sz w:val="21"/>
          <w:szCs w:val="21"/>
          <w:color w:val="auto"/>
        </w:rPr>
        <w:t>. The Company hereby (a) acknowledges the terms of this Amendment; (b) ratifies and affirms its obligations under, and acknowledges, renews and extends its continued liability under, the Credit Agreement and agrees that the Credit Agreement remains in full force and effect as expressly amended by this Amendment; (c) agrees that from and after the Amendment Effective Date (i) each reference to the Credit Agreement in the other Credit Documents shall be deemed to be a reference to the Credit Agreement, as amended by this Amendment and (ii) this Amendment does not constitute a novation of the Credit Agreement; and (d) represents and warrants to the Lenders that as of the date hereof, and immediately after giving effect to the terms of this Amendment, the execution, delivery, and performance by the Company and the consummation of the transactions contemplated by this Amendment (i) are within the Company’s organizational powers, (ii) have</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350520</wp:posOffset>
            </wp:positionV>
            <wp:extent cx="6388735"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18" w:right="919" w:bottom="1440" w:gutter="0" w:footer="0" w:header="0"/>
        </w:sectPr>
      </w:pPr>
    </w:p>
    <w:bookmarkStart w:id="41" w:name="page42"/>
    <w:bookmarkEnd w:id="41"/>
    <w:p>
      <w:pPr>
        <w:jc w:val="both"/>
        <w:ind w:left="1"/>
        <w:spacing w:after="0" w:line="271" w:lineRule="auto"/>
        <w:rPr>
          <w:sz w:val="20"/>
          <w:szCs w:val="20"/>
          <w:color w:val="auto"/>
        </w:rPr>
      </w:pPr>
      <w:r>
        <w:rPr>
          <w:rFonts w:ascii="Arial" w:cs="Arial" w:eastAsia="Arial" w:hAnsi="Arial"/>
          <w:sz w:val="19"/>
          <w:szCs w:val="19"/>
          <w:color w:val="auto"/>
        </w:rPr>
        <w:t>been duly authorized by all necessary action of the board of directors of the Company, (iii) do not contravene the certificate of incorporation or bylaws of the Company, (iv) do not contravene any Requirement of Law or any material Contractual Obligation binding on or affecting the Company except for immaterial laws or Contractual Obligations, the noncompliance with which would not reasonably be expected to result in a Material Adverse Effect, (v) do not result in or require the creation or imposition of any Lien prohibited by the Credit Agreement and</w:t>
      </w:r>
    </w:p>
    <w:p>
      <w:pPr>
        <w:jc w:val="both"/>
        <w:ind w:left="1" w:hanging="1"/>
        <w:spacing w:after="0" w:line="234" w:lineRule="auto"/>
        <w:tabs>
          <w:tab w:leader="none" w:pos="376" w:val="left"/>
        </w:tabs>
        <w:numPr>
          <w:ilvl w:val="0"/>
          <w:numId w:val="17"/>
        </w:numPr>
        <w:rPr>
          <w:rFonts w:ascii="Arial" w:cs="Arial" w:eastAsia="Arial" w:hAnsi="Arial"/>
          <w:sz w:val="22"/>
          <w:szCs w:val="22"/>
          <w:color w:val="auto"/>
        </w:rPr>
      </w:pPr>
      <w:r>
        <w:rPr>
          <w:rFonts w:ascii="Arial" w:cs="Arial" w:eastAsia="Arial" w:hAnsi="Arial"/>
          <w:sz w:val="22"/>
          <w:szCs w:val="22"/>
          <w:color w:val="auto"/>
        </w:rPr>
        <w:t>do not require any authorization or approval or other action by, or any notice or filing with, any Governmental Authority except for immaterial authorizations, approvals, other actions, notices or filings the failure to obtain of which would not reasonably be expected to have a Material Adverse Effect.</w:t>
      </w:r>
    </w:p>
    <w:p>
      <w:pPr>
        <w:spacing w:after="0" w:line="187" w:lineRule="exact"/>
        <w:rPr>
          <w:sz w:val="20"/>
          <w:szCs w:val="20"/>
          <w:color w:val="auto"/>
        </w:rPr>
      </w:pPr>
    </w:p>
    <w:p>
      <w:pPr>
        <w:ind w:left="581"/>
        <w:spacing w:after="0"/>
        <w:tabs>
          <w:tab w:leader="none" w:pos="1320" w:val="left"/>
        </w:tabs>
        <w:rPr>
          <w:sz w:val="20"/>
          <w:szCs w:val="20"/>
          <w:color w:val="auto"/>
        </w:rPr>
      </w:pPr>
      <w:r>
        <w:rPr>
          <w:rFonts w:ascii="Arial" w:cs="Arial" w:eastAsia="Arial" w:hAnsi="Arial"/>
          <w:sz w:val="22"/>
          <w:szCs w:val="22"/>
          <w:color w:val="auto"/>
        </w:rPr>
        <w:t>4.3</w:t>
      </w:r>
      <w:r>
        <w:rPr>
          <w:sz w:val="20"/>
          <w:szCs w:val="20"/>
          <w:color w:val="auto"/>
        </w:rPr>
        <w:tab/>
      </w:r>
      <w:r>
        <w:rPr>
          <w:rFonts w:ascii="Arial" w:cs="Arial" w:eastAsia="Arial" w:hAnsi="Arial"/>
          <w:sz w:val="19"/>
          <w:szCs w:val="19"/>
          <w:u w:val="single" w:color="auto"/>
          <w:color w:val="auto"/>
        </w:rPr>
        <w:t>Credit Document</w:t>
      </w:r>
      <w:r>
        <w:rPr>
          <w:rFonts w:ascii="Arial" w:cs="Arial" w:eastAsia="Arial" w:hAnsi="Arial"/>
          <w:sz w:val="19"/>
          <w:szCs w:val="19"/>
          <w:color w:val="auto"/>
        </w:rPr>
        <w:t>. This Amendment is a Credit Document.</w:t>
      </w:r>
    </w:p>
    <w:p>
      <w:pPr>
        <w:spacing w:after="0" w:line="206" w:lineRule="exact"/>
        <w:rPr>
          <w:sz w:val="20"/>
          <w:szCs w:val="20"/>
          <w:color w:val="auto"/>
        </w:rPr>
      </w:pPr>
    </w:p>
    <w:p>
      <w:pPr>
        <w:jc w:val="both"/>
        <w:ind w:left="1" w:firstLine="583"/>
        <w:spacing w:after="0" w:line="287" w:lineRule="auto"/>
        <w:rPr>
          <w:sz w:val="20"/>
          <w:szCs w:val="20"/>
          <w:color w:val="auto"/>
        </w:rPr>
      </w:pPr>
      <w:r>
        <w:rPr>
          <w:rFonts w:ascii="Arial" w:cs="Arial" w:eastAsia="Arial" w:hAnsi="Arial"/>
          <w:sz w:val="19"/>
          <w:szCs w:val="19"/>
          <w:color w:val="auto"/>
        </w:rPr>
        <w:t xml:space="preserve">4.4 </w:t>
      </w:r>
      <w:r>
        <w:rPr>
          <w:rFonts w:ascii="Arial" w:cs="Arial" w:eastAsia="Arial" w:hAnsi="Arial"/>
          <w:sz w:val="19"/>
          <w:szCs w:val="19"/>
          <w:u w:val="single" w:color="auto"/>
          <w:color w:val="auto"/>
        </w:rPr>
        <w:t>Counterparts</w:t>
      </w:r>
      <w:r>
        <w:rPr>
          <w:rFonts w:ascii="Arial" w:cs="Arial" w:eastAsia="Arial" w:hAnsi="Arial"/>
          <w:sz w:val="19"/>
          <w:szCs w:val="19"/>
          <w:color w:val="auto"/>
        </w:rPr>
        <w:t>. This Amendment may be executed by one or more of the parties hereto in any number of separate counterparts, and all of such counterparts taken together shall be deemed to constitute one and the same instrument. Delivery of an executed counterpart of a signature page of this Amendment by facsimile or email transmission shall be effective as delivery of a manually executed counterpart of this Amendment.</w:t>
      </w:r>
    </w:p>
    <w:p>
      <w:pPr>
        <w:spacing w:after="0" w:line="143" w:lineRule="exact"/>
        <w:rPr>
          <w:sz w:val="20"/>
          <w:szCs w:val="20"/>
          <w:color w:val="auto"/>
        </w:rPr>
      </w:pPr>
    </w:p>
    <w:p>
      <w:pPr>
        <w:jc w:val="both"/>
        <w:ind w:left="1" w:firstLine="583"/>
        <w:spacing w:after="0" w:line="238" w:lineRule="auto"/>
        <w:rPr>
          <w:sz w:val="20"/>
          <w:szCs w:val="20"/>
          <w:color w:val="auto"/>
        </w:rPr>
      </w:pPr>
      <w:r>
        <w:rPr>
          <w:rFonts w:ascii="Arial" w:cs="Arial" w:eastAsia="Arial" w:hAnsi="Arial"/>
          <w:sz w:val="22"/>
          <w:szCs w:val="22"/>
          <w:color w:val="auto"/>
        </w:rPr>
        <w:t xml:space="preserve">4.5 </w:t>
      </w:r>
      <w:r>
        <w:rPr>
          <w:rFonts w:ascii="Arial" w:cs="Arial" w:eastAsia="Arial" w:hAnsi="Arial"/>
          <w:sz w:val="22"/>
          <w:szCs w:val="22"/>
          <w:u w:val="single" w:color="auto"/>
          <w:color w:val="auto"/>
        </w:rPr>
        <w:t>No Oral Agreement</w:t>
      </w:r>
      <w:r>
        <w:rPr>
          <w:rFonts w:ascii="Arial" w:cs="Arial" w:eastAsia="Arial" w:hAnsi="Arial"/>
          <w:sz w:val="22"/>
          <w:szCs w:val="22"/>
          <w:color w:val="auto"/>
        </w:rPr>
        <w:t>. This Amendment, the Credit Agreement and the other Credit Documents executed in connection herewith and therewith represent the final agreement between the parties and may not be contradicted by evidence of prior, contemporaneous, or unwritten oral agreements of the parties. There are no subsequent oral agreements between the parties.</w:t>
      </w:r>
    </w:p>
    <w:p>
      <w:pPr>
        <w:spacing w:after="0" w:line="185" w:lineRule="exact"/>
        <w:rPr>
          <w:sz w:val="20"/>
          <w:szCs w:val="20"/>
          <w:color w:val="auto"/>
        </w:rPr>
      </w:pPr>
    </w:p>
    <w:p>
      <w:pPr>
        <w:jc w:val="both"/>
        <w:ind w:left="1" w:firstLine="583"/>
        <w:spacing w:after="0" w:line="258" w:lineRule="auto"/>
        <w:rPr>
          <w:sz w:val="20"/>
          <w:szCs w:val="20"/>
          <w:color w:val="auto"/>
        </w:rPr>
      </w:pPr>
      <w:r>
        <w:rPr>
          <w:rFonts w:ascii="Arial" w:cs="Arial" w:eastAsia="Arial" w:hAnsi="Arial"/>
          <w:sz w:val="21"/>
          <w:szCs w:val="21"/>
          <w:color w:val="auto"/>
        </w:rPr>
        <w:t xml:space="preserve">4.6 </w:t>
      </w:r>
      <w:r>
        <w:rPr>
          <w:rFonts w:ascii="Arial" w:cs="Arial" w:eastAsia="Arial" w:hAnsi="Arial"/>
          <w:sz w:val="21"/>
          <w:szCs w:val="21"/>
          <w:u w:val="single" w:color="auto"/>
          <w:color w:val="auto"/>
        </w:rPr>
        <w:t>GOVERNING LAW</w:t>
      </w:r>
      <w:r>
        <w:rPr>
          <w:rFonts w:ascii="Arial" w:cs="Arial" w:eastAsia="Arial" w:hAnsi="Arial"/>
          <w:sz w:val="21"/>
          <w:szCs w:val="21"/>
          <w:color w:val="auto"/>
        </w:rPr>
        <w:t xml:space="preserve">. THIS AMENDMENT SHALL BE GOVERNED BY, AND CONSTRUED AND INTERPRETED IN ACCORDANCE WITH THE LAWS OF THE STATE OF NEW YORK. Sections 12.10 and 12.11 of the Credit Agreement are hereby incorporated herein and apply hereto </w:t>
      </w:r>
      <w:r>
        <w:rPr>
          <w:rFonts w:ascii="Arial" w:cs="Arial" w:eastAsia="Arial" w:hAnsi="Arial"/>
          <w:sz w:val="21"/>
          <w:szCs w:val="21"/>
          <w:i w:val="1"/>
          <w:iCs w:val="1"/>
          <w:color w:val="auto"/>
        </w:rPr>
        <w:t>mutatis mutandis</w:t>
      </w:r>
      <w:r>
        <w:rPr>
          <w:rFonts w:ascii="Arial" w:cs="Arial" w:eastAsia="Arial" w:hAnsi="Arial"/>
          <w:sz w:val="21"/>
          <w:szCs w:val="21"/>
          <w:color w:val="auto"/>
        </w:rPr>
        <w:t>.</w:t>
      </w:r>
    </w:p>
    <w:p>
      <w:pPr>
        <w:spacing w:after="0" w:line="167" w:lineRule="exact"/>
        <w:rPr>
          <w:sz w:val="20"/>
          <w:szCs w:val="20"/>
          <w:color w:val="auto"/>
        </w:rPr>
      </w:pPr>
    </w:p>
    <w:p>
      <w:pPr>
        <w:jc w:val="both"/>
        <w:ind w:left="1" w:firstLine="583"/>
        <w:spacing w:after="0" w:line="251" w:lineRule="auto"/>
        <w:rPr>
          <w:sz w:val="20"/>
          <w:szCs w:val="20"/>
          <w:color w:val="auto"/>
        </w:rPr>
      </w:pPr>
      <w:r>
        <w:rPr>
          <w:rFonts w:ascii="Arial" w:cs="Arial" w:eastAsia="Arial" w:hAnsi="Arial"/>
          <w:sz w:val="22"/>
          <w:szCs w:val="22"/>
          <w:color w:val="auto"/>
        </w:rPr>
        <w:t xml:space="preserve">4.7 </w:t>
      </w:r>
      <w:r>
        <w:rPr>
          <w:rFonts w:ascii="Arial" w:cs="Arial" w:eastAsia="Arial" w:hAnsi="Arial"/>
          <w:sz w:val="22"/>
          <w:szCs w:val="22"/>
          <w:u w:val="single" w:color="auto"/>
          <w:color w:val="auto"/>
        </w:rPr>
        <w:t>Successors and Assigns</w:t>
      </w:r>
      <w:r>
        <w:rPr>
          <w:rFonts w:ascii="Arial" w:cs="Arial" w:eastAsia="Arial" w:hAnsi="Arial"/>
          <w:sz w:val="22"/>
          <w:szCs w:val="22"/>
          <w:color w:val="auto"/>
        </w:rPr>
        <w:t>. This Amendment shall be binding upon and inure to the benefit of the parties hereto and their respective successors and assigns.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t>
      </w:r>
      <w:r>
        <w:rPr>
          <w:rFonts w:ascii="Arial" w:cs="Arial" w:eastAsia="Arial" w:hAnsi="Arial"/>
          <w:sz w:val="22"/>
          <w:szCs w:val="22"/>
          <w:b w:val="1"/>
          <w:bCs w:val="1"/>
          <w:i w:val="1"/>
          <w:iCs w:val="1"/>
          <w:color w:val="auto"/>
        </w:rPr>
        <w:t>Signature Pages Follow</w:t>
      </w:r>
      <w:r>
        <w:rPr>
          <w:rFonts w:ascii="Arial" w:cs="Arial" w:eastAsia="Arial" w:hAnsi="Arial"/>
          <w:sz w:val="22"/>
          <w:szCs w:val="22"/>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350520</wp:posOffset>
            </wp:positionV>
            <wp:extent cx="6388735"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118" w:right="919" w:bottom="1440" w:gutter="0" w:footer="0" w:header="0"/>
        </w:sectPr>
      </w:pPr>
    </w:p>
    <w:bookmarkStart w:id="42" w:name="page43"/>
    <w:bookmarkEnd w:id="42"/>
    <w:p>
      <w:pPr>
        <w:ind w:firstLine="648"/>
        <w:spacing w:after="0" w:line="251" w:lineRule="auto"/>
        <w:rPr>
          <w:sz w:val="20"/>
          <w:szCs w:val="20"/>
          <w:color w:val="auto"/>
        </w:rPr>
      </w:pPr>
      <w:r>
        <w:rPr>
          <w:rFonts w:ascii="Arial" w:cs="Arial" w:eastAsia="Arial" w:hAnsi="Arial"/>
          <w:sz w:val="22"/>
          <w:szCs w:val="22"/>
          <w:color w:val="auto"/>
        </w:rPr>
        <w:t>IN WITNESS WHEREOF, the parties hereto have caused this Amendment to be duly executed as of the date first written above.</w:t>
      </w:r>
    </w:p>
    <w:p>
      <w:pPr>
        <w:spacing w:after="0" w:line="168" w:lineRule="exact"/>
        <w:rPr>
          <w:sz w:val="20"/>
          <w:szCs w:val="20"/>
          <w:color w:val="auto"/>
        </w:rPr>
      </w:pPr>
    </w:p>
    <w:p>
      <w:pPr>
        <w:spacing w:after="0"/>
        <w:tabs>
          <w:tab w:leader="none" w:pos="5100" w:val="left"/>
        </w:tabs>
        <w:rPr>
          <w:sz w:val="20"/>
          <w:szCs w:val="20"/>
          <w:color w:val="auto"/>
        </w:rPr>
      </w:pPr>
      <w:r>
        <w:rPr>
          <w:rFonts w:ascii="Arial" w:cs="Arial" w:eastAsia="Arial" w:hAnsi="Arial"/>
          <w:sz w:val="22"/>
          <w:szCs w:val="22"/>
          <w:b w:val="1"/>
          <w:bCs w:val="1"/>
          <w:color w:val="auto"/>
        </w:rPr>
        <w:t>COMPANY:</w:t>
      </w:r>
      <w:r>
        <w:rPr>
          <w:sz w:val="20"/>
          <w:szCs w:val="20"/>
          <w:color w:val="auto"/>
        </w:rPr>
        <w:tab/>
      </w:r>
      <w:r>
        <w:rPr>
          <w:rFonts w:ascii="Arial" w:cs="Arial" w:eastAsia="Arial" w:hAnsi="Arial"/>
          <w:sz w:val="22"/>
          <w:szCs w:val="22"/>
          <w:b w:val="1"/>
          <w:bCs w:val="1"/>
          <w:color w:val="auto"/>
        </w:rPr>
        <w:t>KLX ENERGY SERVICES HOLDINGS, INC.</w:t>
      </w:r>
    </w:p>
    <w:p>
      <w:pPr>
        <w:spacing w:after="0" w:line="200" w:lineRule="exact"/>
        <w:rPr>
          <w:sz w:val="20"/>
          <w:szCs w:val="20"/>
          <w:color w:val="auto"/>
        </w:rPr>
      </w:pPr>
    </w:p>
    <w:p>
      <w:pPr>
        <w:spacing w:after="0" w:line="228" w:lineRule="exact"/>
        <w:rPr>
          <w:sz w:val="20"/>
          <w:szCs w:val="20"/>
          <w:color w:val="auto"/>
        </w:rPr>
      </w:pPr>
    </w:p>
    <w:p>
      <w:pPr>
        <w:ind w:left="5120"/>
        <w:spacing w:after="0"/>
        <w:tabs>
          <w:tab w:leader="none" w:pos="5700" w:val="left"/>
        </w:tabs>
        <w:rPr>
          <w:sz w:val="20"/>
          <w:szCs w:val="20"/>
          <w:color w:val="auto"/>
        </w:rPr>
      </w:pPr>
      <w:r>
        <w:rPr>
          <w:rFonts w:ascii="Arial" w:cs="Arial" w:eastAsia="Arial" w:hAnsi="Arial"/>
          <w:sz w:val="22"/>
          <w:szCs w:val="22"/>
          <w:color w:val="auto"/>
        </w:rPr>
        <w:t>By:</w:t>
        <w:tab/>
        <w:t>/s/ Thomas P. McCaffrey</w:t>
      </w:r>
    </w:p>
    <w:p>
      <w:pPr>
        <w:spacing w:after="0" w:line="8" w:lineRule="exact"/>
        <w:rPr>
          <w:sz w:val="20"/>
          <w:szCs w:val="20"/>
          <w:color w:val="auto"/>
        </w:rPr>
      </w:pPr>
    </w:p>
    <w:p>
      <w:pPr>
        <w:ind w:left="5120"/>
        <w:spacing w:after="0"/>
        <w:rPr>
          <w:sz w:val="20"/>
          <w:szCs w:val="20"/>
          <w:color w:val="auto"/>
        </w:rPr>
      </w:pPr>
      <w:r>
        <w:rPr>
          <w:rFonts w:ascii="Arial" w:cs="Arial" w:eastAsia="Arial" w:hAnsi="Arial"/>
          <w:sz w:val="22"/>
          <w:szCs w:val="22"/>
          <w:color w:val="auto"/>
        </w:rPr>
        <w:t>Name:Thomas P. McCaffrey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3629660</wp:posOffset>
            </wp:positionH>
            <wp:positionV relativeFrom="paragraph">
              <wp:posOffset>-158115</wp:posOffset>
            </wp:positionV>
            <wp:extent cx="276161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ind w:left="5120"/>
        <w:spacing w:after="0"/>
        <w:rPr>
          <w:sz w:val="20"/>
          <w:szCs w:val="20"/>
          <w:color w:val="auto"/>
        </w:rPr>
      </w:pPr>
      <w:r>
        <w:rPr>
          <w:rFonts w:ascii="Arial" w:cs="Arial" w:eastAsia="Arial" w:hAnsi="Arial"/>
          <w:sz w:val="19"/>
          <w:szCs w:val="19"/>
          <w:color w:val="auto"/>
        </w:rPr>
        <w:t>Title: Senior Vice 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Second Amendment to Credit Agreement</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339090</wp:posOffset>
            </wp:positionV>
            <wp:extent cx="6388735"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18" w:right="919" w:bottom="1440" w:gutter="0" w:footer="0" w:header="0"/>
        </w:sectPr>
      </w:pPr>
    </w:p>
    <w:bookmarkStart w:id="43" w:name="page44"/>
    <w:bookmarkEnd w:id="43"/>
    <w:p>
      <w:pPr>
        <w:spacing w:after="0"/>
        <w:rPr>
          <w:sz w:val="20"/>
          <w:szCs w:val="20"/>
          <w:color w:val="auto"/>
        </w:rPr>
      </w:pPr>
      <w:r>
        <w:rPr>
          <w:rFonts w:ascii="Arial" w:cs="Arial" w:eastAsia="Arial" w:hAnsi="Arial"/>
          <w:sz w:val="22"/>
          <w:szCs w:val="22"/>
          <w:color w:val="auto"/>
        </w:rPr>
        <w:t>Acknowledged and agreed by:</w:t>
      </w:r>
    </w:p>
    <w:p>
      <w:pPr>
        <w:spacing w:after="0" w:line="200" w:lineRule="exact"/>
        <w:rPr>
          <w:sz w:val="20"/>
          <w:szCs w:val="20"/>
          <w:color w:val="auto"/>
        </w:rPr>
      </w:pPr>
    </w:p>
    <w:p>
      <w:pPr>
        <w:spacing w:after="0" w:line="217" w:lineRule="exact"/>
        <w:rPr>
          <w:sz w:val="20"/>
          <w:szCs w:val="20"/>
          <w:color w:val="auto"/>
        </w:rPr>
      </w:pPr>
    </w:p>
    <w:p>
      <w:pPr>
        <w:spacing w:after="0"/>
        <w:tabs>
          <w:tab w:leader="none" w:pos="5100" w:val="left"/>
        </w:tabs>
        <w:rPr>
          <w:sz w:val="20"/>
          <w:szCs w:val="20"/>
          <w:color w:val="auto"/>
        </w:rPr>
      </w:pPr>
      <w:r>
        <w:rPr>
          <w:rFonts w:ascii="Arial" w:cs="Arial" w:eastAsia="Arial" w:hAnsi="Arial"/>
          <w:sz w:val="22"/>
          <w:szCs w:val="22"/>
          <w:b w:val="1"/>
          <w:bCs w:val="1"/>
          <w:color w:val="auto"/>
        </w:rPr>
        <w:t>GUARANTORS:</w:t>
      </w:r>
      <w:r>
        <w:rPr>
          <w:sz w:val="20"/>
          <w:szCs w:val="20"/>
          <w:color w:val="auto"/>
        </w:rPr>
        <w:tab/>
      </w:r>
      <w:r>
        <w:rPr>
          <w:rFonts w:ascii="Arial" w:cs="Arial" w:eastAsia="Arial" w:hAnsi="Arial"/>
          <w:sz w:val="22"/>
          <w:szCs w:val="22"/>
          <w:b w:val="1"/>
          <w:bCs w:val="1"/>
          <w:color w:val="auto"/>
        </w:rPr>
        <w:t>KLX ENERGY SERVICES LLC</w:t>
      </w:r>
    </w:p>
    <w:p>
      <w:pPr>
        <w:spacing w:after="0" w:line="200" w:lineRule="exact"/>
        <w:rPr>
          <w:sz w:val="20"/>
          <w:szCs w:val="20"/>
          <w:color w:val="auto"/>
        </w:rPr>
      </w:pPr>
    </w:p>
    <w:p>
      <w:pPr>
        <w:spacing w:after="0" w:line="228" w:lineRule="exact"/>
        <w:rPr>
          <w:sz w:val="20"/>
          <w:szCs w:val="20"/>
          <w:color w:val="auto"/>
        </w:rPr>
      </w:pPr>
    </w:p>
    <w:p>
      <w:pPr>
        <w:ind w:left="5120"/>
        <w:spacing w:after="0"/>
        <w:tabs>
          <w:tab w:leader="none" w:pos="5700" w:val="left"/>
        </w:tabs>
        <w:rPr>
          <w:sz w:val="20"/>
          <w:szCs w:val="20"/>
          <w:color w:val="auto"/>
        </w:rPr>
      </w:pPr>
      <w:r>
        <w:rPr>
          <w:rFonts w:ascii="Arial" w:cs="Arial" w:eastAsia="Arial" w:hAnsi="Arial"/>
          <w:sz w:val="22"/>
          <w:szCs w:val="22"/>
          <w:color w:val="auto"/>
        </w:rPr>
        <w:t>By:</w:t>
        <w:tab/>
        <w:t>/s/ Thomas P. McCaffrey</w:t>
      </w:r>
    </w:p>
    <w:p>
      <w:pPr>
        <w:spacing w:after="0" w:line="8" w:lineRule="exact"/>
        <w:rPr>
          <w:sz w:val="20"/>
          <w:szCs w:val="20"/>
          <w:color w:val="auto"/>
        </w:rPr>
      </w:pPr>
    </w:p>
    <w:p>
      <w:pPr>
        <w:ind w:left="5120"/>
        <w:spacing w:after="0"/>
        <w:rPr>
          <w:sz w:val="20"/>
          <w:szCs w:val="20"/>
          <w:color w:val="auto"/>
        </w:rPr>
      </w:pPr>
      <w:r>
        <w:rPr>
          <w:rFonts w:ascii="Arial" w:cs="Arial" w:eastAsia="Arial" w:hAnsi="Arial"/>
          <w:sz w:val="22"/>
          <w:szCs w:val="22"/>
          <w:color w:val="auto"/>
        </w:rPr>
        <w:t>Name:Thomas P. McCaffrey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3629660</wp:posOffset>
            </wp:positionH>
            <wp:positionV relativeFrom="paragraph">
              <wp:posOffset>-158115</wp:posOffset>
            </wp:positionV>
            <wp:extent cx="276161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ind w:left="5120"/>
        <w:spacing w:after="0"/>
        <w:rPr>
          <w:sz w:val="20"/>
          <w:szCs w:val="20"/>
          <w:color w:val="auto"/>
        </w:rPr>
      </w:pPr>
      <w:r>
        <w:rPr>
          <w:rFonts w:ascii="Arial" w:cs="Arial" w:eastAsia="Arial" w:hAnsi="Arial"/>
          <w:sz w:val="22"/>
          <w:szCs w:val="22"/>
          <w:color w:val="auto"/>
        </w:rPr>
        <w:t>Title: President</w:t>
      </w:r>
    </w:p>
    <w:p>
      <w:pPr>
        <w:spacing w:after="0" w:line="209" w:lineRule="exact"/>
        <w:rPr>
          <w:sz w:val="20"/>
          <w:szCs w:val="20"/>
          <w:color w:val="auto"/>
        </w:rPr>
      </w:pPr>
    </w:p>
    <w:p>
      <w:pPr>
        <w:ind w:left="5120"/>
        <w:spacing w:after="0"/>
        <w:rPr>
          <w:sz w:val="20"/>
          <w:szCs w:val="20"/>
          <w:color w:val="auto"/>
        </w:rPr>
      </w:pPr>
      <w:r>
        <w:rPr>
          <w:rFonts w:ascii="Arial" w:cs="Arial" w:eastAsia="Arial" w:hAnsi="Arial"/>
          <w:sz w:val="22"/>
          <w:szCs w:val="22"/>
          <w:b w:val="1"/>
          <w:bCs w:val="1"/>
          <w:color w:val="auto"/>
        </w:rPr>
        <w:t>KLX RE HOLDINGS LLC</w:t>
      </w:r>
    </w:p>
    <w:p>
      <w:pPr>
        <w:spacing w:after="0" w:line="200" w:lineRule="exact"/>
        <w:rPr>
          <w:sz w:val="20"/>
          <w:szCs w:val="20"/>
          <w:color w:val="auto"/>
        </w:rPr>
      </w:pPr>
    </w:p>
    <w:p>
      <w:pPr>
        <w:spacing w:after="0" w:line="282" w:lineRule="exact"/>
        <w:rPr>
          <w:sz w:val="20"/>
          <w:szCs w:val="20"/>
          <w:color w:val="auto"/>
        </w:rPr>
      </w:pPr>
    </w:p>
    <w:p>
      <w:pPr>
        <w:ind w:left="5120"/>
        <w:spacing w:after="0"/>
        <w:tabs>
          <w:tab w:leader="none" w:pos="5700" w:val="left"/>
        </w:tabs>
        <w:rPr>
          <w:sz w:val="20"/>
          <w:szCs w:val="20"/>
          <w:color w:val="auto"/>
        </w:rPr>
      </w:pPr>
      <w:r>
        <w:rPr>
          <w:rFonts w:ascii="Arial" w:cs="Arial" w:eastAsia="Arial" w:hAnsi="Arial"/>
          <w:sz w:val="22"/>
          <w:szCs w:val="22"/>
          <w:color w:val="auto"/>
        </w:rPr>
        <w:t>By:</w:t>
        <w:tab/>
        <w:t>/s/ Thomas P. McCaffrey</w:t>
      </w:r>
    </w:p>
    <w:p>
      <w:pPr>
        <w:spacing w:after="0" w:line="8" w:lineRule="exact"/>
        <w:rPr>
          <w:sz w:val="20"/>
          <w:szCs w:val="20"/>
          <w:color w:val="auto"/>
        </w:rPr>
      </w:pPr>
    </w:p>
    <w:p>
      <w:pPr>
        <w:ind w:left="5120"/>
        <w:spacing w:after="0"/>
        <w:rPr>
          <w:sz w:val="20"/>
          <w:szCs w:val="20"/>
          <w:color w:val="auto"/>
        </w:rPr>
      </w:pPr>
      <w:r>
        <w:rPr>
          <w:rFonts w:ascii="Arial" w:cs="Arial" w:eastAsia="Arial" w:hAnsi="Arial"/>
          <w:sz w:val="22"/>
          <w:szCs w:val="22"/>
          <w:color w:val="auto"/>
        </w:rPr>
        <w:t>Name:Thomas P. McCaffrey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3629660</wp:posOffset>
            </wp:positionH>
            <wp:positionV relativeFrom="paragraph">
              <wp:posOffset>-158115</wp:posOffset>
            </wp:positionV>
            <wp:extent cx="276161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ind w:left="5120"/>
        <w:spacing w:after="0"/>
        <w:rPr>
          <w:sz w:val="20"/>
          <w:szCs w:val="20"/>
          <w:color w:val="auto"/>
        </w:rPr>
      </w:pPr>
      <w:r>
        <w:rPr>
          <w:rFonts w:ascii="Arial" w:cs="Arial" w:eastAsia="Arial" w:hAnsi="Arial"/>
          <w:sz w:val="22"/>
          <w:szCs w:val="22"/>
          <w:color w:val="auto"/>
        </w:rPr>
        <w:t>Title: President</w:t>
      </w:r>
    </w:p>
    <w:p>
      <w:pPr>
        <w:spacing w:after="0" w:line="209" w:lineRule="exact"/>
        <w:rPr>
          <w:sz w:val="20"/>
          <w:szCs w:val="20"/>
          <w:color w:val="auto"/>
        </w:rPr>
      </w:pPr>
    </w:p>
    <w:p>
      <w:pPr>
        <w:ind w:left="5120"/>
        <w:spacing w:after="0"/>
        <w:rPr>
          <w:sz w:val="20"/>
          <w:szCs w:val="20"/>
          <w:color w:val="auto"/>
        </w:rPr>
      </w:pPr>
      <w:r>
        <w:rPr>
          <w:rFonts w:ascii="Arial" w:cs="Arial" w:eastAsia="Arial" w:hAnsi="Arial"/>
          <w:sz w:val="22"/>
          <w:szCs w:val="22"/>
          <w:b w:val="1"/>
          <w:bCs w:val="1"/>
          <w:color w:val="auto"/>
        </w:rPr>
        <w:t>MOTLEY COIL, LLC</w:t>
      </w:r>
    </w:p>
    <w:p>
      <w:pPr>
        <w:spacing w:after="0" w:line="200" w:lineRule="exact"/>
        <w:rPr>
          <w:sz w:val="20"/>
          <w:szCs w:val="20"/>
          <w:color w:val="auto"/>
        </w:rPr>
      </w:pPr>
    </w:p>
    <w:p>
      <w:pPr>
        <w:spacing w:after="0" w:line="282" w:lineRule="exact"/>
        <w:rPr>
          <w:sz w:val="20"/>
          <w:szCs w:val="20"/>
          <w:color w:val="auto"/>
        </w:rPr>
      </w:pPr>
    </w:p>
    <w:p>
      <w:pPr>
        <w:ind w:left="5120"/>
        <w:spacing w:after="0"/>
        <w:tabs>
          <w:tab w:leader="none" w:pos="5700" w:val="left"/>
        </w:tabs>
        <w:rPr>
          <w:sz w:val="20"/>
          <w:szCs w:val="20"/>
          <w:color w:val="auto"/>
        </w:rPr>
      </w:pPr>
      <w:r>
        <w:rPr>
          <w:rFonts w:ascii="Arial" w:cs="Arial" w:eastAsia="Arial" w:hAnsi="Arial"/>
          <w:sz w:val="22"/>
          <w:szCs w:val="22"/>
          <w:color w:val="auto"/>
        </w:rPr>
        <w:t>By:</w:t>
        <w:tab/>
        <w:t>/s/ Thomas P. McCaffrey</w:t>
      </w:r>
    </w:p>
    <w:p>
      <w:pPr>
        <w:spacing w:after="0" w:line="8" w:lineRule="exact"/>
        <w:rPr>
          <w:sz w:val="20"/>
          <w:szCs w:val="20"/>
          <w:color w:val="auto"/>
        </w:rPr>
      </w:pPr>
    </w:p>
    <w:p>
      <w:pPr>
        <w:ind w:left="5120"/>
        <w:spacing w:after="0"/>
        <w:rPr>
          <w:sz w:val="20"/>
          <w:szCs w:val="20"/>
          <w:color w:val="auto"/>
        </w:rPr>
      </w:pPr>
      <w:r>
        <w:rPr>
          <w:rFonts w:ascii="Arial" w:cs="Arial" w:eastAsia="Arial" w:hAnsi="Arial"/>
          <w:sz w:val="22"/>
          <w:szCs w:val="22"/>
          <w:color w:val="auto"/>
        </w:rPr>
        <w:t>Name:Thomas P. McCaffrey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3629660</wp:posOffset>
            </wp:positionH>
            <wp:positionV relativeFrom="paragraph">
              <wp:posOffset>-158115</wp:posOffset>
            </wp:positionV>
            <wp:extent cx="276161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ind w:left="5120"/>
        <w:spacing w:after="0"/>
        <w:rPr>
          <w:sz w:val="20"/>
          <w:szCs w:val="20"/>
          <w:color w:val="auto"/>
        </w:rPr>
      </w:pPr>
      <w:r>
        <w:rPr>
          <w:rFonts w:ascii="Arial" w:cs="Arial" w:eastAsia="Arial" w:hAnsi="Arial"/>
          <w:sz w:val="22"/>
          <w:szCs w:val="22"/>
          <w:color w:val="auto"/>
        </w:rPr>
        <w:t>Title: President</w:t>
      </w:r>
    </w:p>
    <w:p>
      <w:pPr>
        <w:spacing w:after="0" w:line="209" w:lineRule="exact"/>
        <w:rPr>
          <w:sz w:val="20"/>
          <w:szCs w:val="20"/>
          <w:color w:val="auto"/>
        </w:rPr>
      </w:pPr>
    </w:p>
    <w:p>
      <w:pPr>
        <w:ind w:left="5120"/>
        <w:spacing w:after="0"/>
        <w:rPr>
          <w:sz w:val="20"/>
          <w:szCs w:val="20"/>
          <w:color w:val="auto"/>
        </w:rPr>
      </w:pPr>
      <w:r>
        <w:rPr>
          <w:rFonts w:ascii="Arial" w:cs="Arial" w:eastAsia="Arial" w:hAnsi="Arial"/>
          <w:sz w:val="22"/>
          <w:szCs w:val="22"/>
          <w:b w:val="1"/>
          <w:bCs w:val="1"/>
          <w:color w:val="auto"/>
        </w:rPr>
        <w:t>MOTLEY DOWNHOLE, LLC</w:t>
      </w:r>
    </w:p>
    <w:p>
      <w:pPr>
        <w:spacing w:after="0" w:line="200" w:lineRule="exact"/>
        <w:rPr>
          <w:sz w:val="20"/>
          <w:szCs w:val="20"/>
          <w:color w:val="auto"/>
        </w:rPr>
      </w:pPr>
    </w:p>
    <w:p>
      <w:pPr>
        <w:spacing w:after="0" w:line="282" w:lineRule="exact"/>
        <w:rPr>
          <w:sz w:val="20"/>
          <w:szCs w:val="20"/>
          <w:color w:val="auto"/>
        </w:rPr>
      </w:pPr>
    </w:p>
    <w:p>
      <w:pPr>
        <w:ind w:left="5120"/>
        <w:spacing w:after="0"/>
        <w:tabs>
          <w:tab w:leader="none" w:pos="5700" w:val="left"/>
        </w:tabs>
        <w:rPr>
          <w:sz w:val="20"/>
          <w:szCs w:val="20"/>
          <w:color w:val="auto"/>
        </w:rPr>
      </w:pPr>
      <w:r>
        <w:rPr>
          <w:rFonts w:ascii="Arial" w:cs="Arial" w:eastAsia="Arial" w:hAnsi="Arial"/>
          <w:sz w:val="22"/>
          <w:szCs w:val="22"/>
          <w:color w:val="auto"/>
        </w:rPr>
        <w:t>By:</w:t>
        <w:tab/>
        <w:t>/s/ Thomas P. McCaffrey</w:t>
      </w:r>
    </w:p>
    <w:p>
      <w:pPr>
        <w:spacing w:after="0" w:line="8" w:lineRule="exact"/>
        <w:rPr>
          <w:sz w:val="20"/>
          <w:szCs w:val="20"/>
          <w:color w:val="auto"/>
        </w:rPr>
      </w:pPr>
    </w:p>
    <w:p>
      <w:pPr>
        <w:ind w:left="5120"/>
        <w:spacing w:after="0"/>
        <w:rPr>
          <w:sz w:val="20"/>
          <w:szCs w:val="20"/>
          <w:color w:val="auto"/>
        </w:rPr>
      </w:pPr>
      <w:r>
        <w:rPr>
          <w:rFonts w:ascii="Arial" w:cs="Arial" w:eastAsia="Arial" w:hAnsi="Arial"/>
          <w:sz w:val="22"/>
          <w:szCs w:val="22"/>
          <w:color w:val="auto"/>
        </w:rPr>
        <w:t>Name:Thomas P. McCaffrey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3629660</wp:posOffset>
            </wp:positionH>
            <wp:positionV relativeFrom="paragraph">
              <wp:posOffset>-158115</wp:posOffset>
            </wp:positionV>
            <wp:extent cx="276161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ind w:left="5120"/>
        <w:spacing w:after="0"/>
        <w:rPr>
          <w:sz w:val="20"/>
          <w:szCs w:val="20"/>
          <w:color w:val="auto"/>
        </w:rPr>
      </w:pPr>
      <w:r>
        <w:rPr>
          <w:rFonts w:ascii="Arial" w:cs="Arial" w:eastAsia="Arial" w:hAnsi="Arial"/>
          <w:sz w:val="22"/>
          <w:szCs w:val="22"/>
          <w:color w:val="auto"/>
        </w:rPr>
        <w:t>Title: President</w:t>
      </w:r>
    </w:p>
    <w:p>
      <w:pPr>
        <w:spacing w:after="0" w:line="209" w:lineRule="exact"/>
        <w:rPr>
          <w:sz w:val="20"/>
          <w:szCs w:val="20"/>
          <w:color w:val="auto"/>
        </w:rPr>
      </w:pPr>
    </w:p>
    <w:p>
      <w:pPr>
        <w:ind w:left="5120"/>
        <w:spacing w:after="0"/>
        <w:rPr>
          <w:sz w:val="20"/>
          <w:szCs w:val="20"/>
          <w:color w:val="auto"/>
        </w:rPr>
      </w:pPr>
      <w:r>
        <w:rPr>
          <w:rFonts w:ascii="Arial" w:cs="Arial" w:eastAsia="Arial" w:hAnsi="Arial"/>
          <w:sz w:val="22"/>
          <w:szCs w:val="22"/>
          <w:b w:val="1"/>
          <w:bCs w:val="1"/>
          <w:color w:val="auto"/>
        </w:rPr>
        <w:t>MOTLEY SERVICES, LLC</w:t>
      </w:r>
    </w:p>
    <w:p>
      <w:pPr>
        <w:spacing w:after="0" w:line="200" w:lineRule="exact"/>
        <w:rPr>
          <w:sz w:val="20"/>
          <w:szCs w:val="20"/>
          <w:color w:val="auto"/>
        </w:rPr>
      </w:pPr>
    </w:p>
    <w:p>
      <w:pPr>
        <w:spacing w:after="0" w:line="282" w:lineRule="exact"/>
        <w:rPr>
          <w:sz w:val="20"/>
          <w:szCs w:val="20"/>
          <w:color w:val="auto"/>
        </w:rPr>
      </w:pPr>
    </w:p>
    <w:p>
      <w:pPr>
        <w:ind w:left="5120"/>
        <w:spacing w:after="0"/>
        <w:tabs>
          <w:tab w:leader="none" w:pos="5700" w:val="left"/>
        </w:tabs>
        <w:rPr>
          <w:sz w:val="20"/>
          <w:szCs w:val="20"/>
          <w:color w:val="auto"/>
        </w:rPr>
      </w:pPr>
      <w:r>
        <w:rPr>
          <w:rFonts w:ascii="Arial" w:cs="Arial" w:eastAsia="Arial" w:hAnsi="Arial"/>
          <w:sz w:val="22"/>
          <w:szCs w:val="22"/>
          <w:color w:val="auto"/>
        </w:rPr>
        <w:t>By:</w:t>
        <w:tab/>
        <w:t>/s/ Thomas P. McCaffrey</w:t>
      </w:r>
    </w:p>
    <w:p>
      <w:pPr>
        <w:spacing w:after="0" w:line="8" w:lineRule="exact"/>
        <w:rPr>
          <w:sz w:val="20"/>
          <w:szCs w:val="20"/>
          <w:color w:val="auto"/>
        </w:rPr>
      </w:pPr>
    </w:p>
    <w:p>
      <w:pPr>
        <w:ind w:left="5120"/>
        <w:spacing w:after="0"/>
        <w:rPr>
          <w:sz w:val="20"/>
          <w:szCs w:val="20"/>
          <w:color w:val="auto"/>
        </w:rPr>
      </w:pPr>
      <w:r>
        <w:rPr>
          <w:rFonts w:ascii="Arial" w:cs="Arial" w:eastAsia="Arial" w:hAnsi="Arial"/>
          <w:sz w:val="22"/>
          <w:szCs w:val="22"/>
          <w:color w:val="auto"/>
        </w:rPr>
        <w:t>Name:Thomas P. McCaffrey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3629660</wp:posOffset>
            </wp:positionH>
            <wp:positionV relativeFrom="paragraph">
              <wp:posOffset>-158115</wp:posOffset>
            </wp:positionV>
            <wp:extent cx="276161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ind w:left="5120"/>
        <w:spacing w:after="0"/>
        <w:rPr>
          <w:sz w:val="20"/>
          <w:szCs w:val="20"/>
          <w:color w:val="auto"/>
        </w:rPr>
      </w:pPr>
      <w:r>
        <w:rPr>
          <w:rFonts w:ascii="Arial" w:cs="Arial" w:eastAsia="Arial" w:hAnsi="Arial"/>
          <w:sz w:val="22"/>
          <w:szCs w:val="22"/>
          <w:color w:val="auto"/>
        </w:rPr>
        <w:t>Title: President</w:t>
      </w:r>
    </w:p>
    <w:p>
      <w:pPr>
        <w:spacing w:after="0" w:line="209" w:lineRule="exact"/>
        <w:rPr>
          <w:sz w:val="20"/>
          <w:szCs w:val="20"/>
          <w:color w:val="auto"/>
        </w:rPr>
      </w:pPr>
    </w:p>
    <w:p>
      <w:pPr>
        <w:jc w:val="right"/>
        <w:ind w:right="1239"/>
        <w:spacing w:after="0"/>
        <w:rPr>
          <w:sz w:val="20"/>
          <w:szCs w:val="20"/>
          <w:color w:val="auto"/>
        </w:rPr>
      </w:pPr>
      <w:r>
        <w:rPr>
          <w:rFonts w:ascii="Arial" w:cs="Arial" w:eastAsia="Arial" w:hAnsi="Arial"/>
          <w:sz w:val="22"/>
          <w:szCs w:val="22"/>
          <w:b w:val="1"/>
          <w:bCs w:val="1"/>
          <w:color w:val="auto"/>
        </w:rPr>
        <w:t>MOTLEY PERFORATORS, LLC</w:t>
      </w:r>
    </w:p>
    <w:p>
      <w:pPr>
        <w:spacing w:after="0" w:line="200" w:lineRule="exact"/>
        <w:rPr>
          <w:sz w:val="20"/>
          <w:szCs w:val="20"/>
          <w:color w:val="auto"/>
        </w:rPr>
      </w:pPr>
    </w:p>
    <w:p>
      <w:pPr>
        <w:spacing w:after="0" w:line="282" w:lineRule="exact"/>
        <w:rPr>
          <w:sz w:val="20"/>
          <w:szCs w:val="20"/>
          <w:color w:val="auto"/>
        </w:rPr>
      </w:pPr>
    </w:p>
    <w:p>
      <w:pPr>
        <w:ind w:left="5120"/>
        <w:spacing w:after="0"/>
        <w:tabs>
          <w:tab w:leader="none" w:pos="5700" w:val="left"/>
        </w:tabs>
        <w:rPr>
          <w:sz w:val="20"/>
          <w:szCs w:val="20"/>
          <w:color w:val="auto"/>
        </w:rPr>
      </w:pPr>
      <w:r>
        <w:rPr>
          <w:rFonts w:ascii="Arial" w:cs="Arial" w:eastAsia="Arial" w:hAnsi="Arial"/>
          <w:sz w:val="22"/>
          <w:szCs w:val="22"/>
          <w:color w:val="auto"/>
        </w:rPr>
        <w:t>By:</w:t>
        <w:tab/>
        <w:t>/s/ Thomas P. McCaffrey</w:t>
      </w:r>
    </w:p>
    <w:p>
      <w:pPr>
        <w:spacing w:after="0" w:line="8" w:lineRule="exact"/>
        <w:rPr>
          <w:sz w:val="20"/>
          <w:szCs w:val="20"/>
          <w:color w:val="auto"/>
        </w:rPr>
      </w:pPr>
    </w:p>
    <w:p>
      <w:pPr>
        <w:ind w:left="5120"/>
        <w:spacing w:after="0"/>
        <w:rPr>
          <w:sz w:val="20"/>
          <w:szCs w:val="20"/>
          <w:color w:val="auto"/>
        </w:rPr>
      </w:pPr>
      <w:r>
        <w:rPr>
          <w:rFonts w:ascii="Arial" w:cs="Arial" w:eastAsia="Arial" w:hAnsi="Arial"/>
          <w:sz w:val="22"/>
          <w:szCs w:val="22"/>
          <w:color w:val="auto"/>
        </w:rPr>
        <w:t>Name:Thomas P. McCaffrey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3629660</wp:posOffset>
            </wp:positionH>
            <wp:positionV relativeFrom="paragraph">
              <wp:posOffset>-158115</wp:posOffset>
            </wp:positionV>
            <wp:extent cx="276161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ind w:left="5120"/>
        <w:spacing w:after="0"/>
        <w:rPr>
          <w:sz w:val="20"/>
          <w:szCs w:val="20"/>
          <w:color w:val="auto"/>
        </w:rPr>
      </w:pPr>
      <w:r>
        <w:rPr>
          <w:rFonts w:ascii="Arial" w:cs="Arial" w:eastAsia="Arial" w:hAnsi="Arial"/>
          <w:sz w:val="22"/>
          <w:szCs w:val="22"/>
          <w:color w:val="auto"/>
        </w:rPr>
        <w:t>Title: President</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540"/>
        <w:spacing w:after="0"/>
        <w:rPr>
          <w:sz w:val="20"/>
          <w:szCs w:val="20"/>
          <w:color w:val="auto"/>
        </w:rPr>
      </w:pPr>
      <w:r>
        <w:rPr>
          <w:rFonts w:ascii="Arial" w:cs="Arial" w:eastAsia="Arial" w:hAnsi="Arial"/>
          <w:sz w:val="22"/>
          <w:szCs w:val="22"/>
          <w:color w:val="auto"/>
        </w:rPr>
        <w:t>Second Amendment to Credit Agreement</w:t>
      </w:r>
    </w:p>
    <w:p>
      <w:pPr>
        <w:spacing w:after="0" w:line="8" w:lineRule="exact"/>
        <w:rPr>
          <w:sz w:val="20"/>
          <w:szCs w:val="20"/>
          <w:color w:val="auto"/>
        </w:rPr>
      </w:pPr>
    </w:p>
    <w:p>
      <w:pPr>
        <w:jc w:val="center"/>
        <w:ind w:right="-540"/>
        <w:spacing w:after="0"/>
        <w:rPr>
          <w:sz w:val="20"/>
          <w:szCs w:val="20"/>
          <w:color w:val="auto"/>
        </w:rPr>
      </w:pPr>
      <w:r>
        <w:rPr>
          <w:rFonts w:ascii="Arial" w:cs="Arial" w:eastAsia="Arial" w:hAnsi="Arial"/>
          <w:sz w:val="22"/>
          <w:szCs w:val="22"/>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339090</wp:posOffset>
            </wp:positionV>
            <wp:extent cx="6388735"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539"/>
          </w:cols>
          <w:pgMar w:left="920" w:top="118" w:right="1440" w:bottom="1440" w:gutter="0" w:footer="0" w:header="0"/>
        </w:sectPr>
      </w:pPr>
    </w:p>
    <w:bookmarkStart w:id="44" w:name="page45"/>
    <w:bookmarkEnd w:id="44"/>
    <w:p>
      <w:pPr>
        <w:jc w:val="right"/>
        <w:ind w:right="579"/>
        <w:spacing w:after="0"/>
        <w:rPr>
          <w:sz w:val="20"/>
          <w:szCs w:val="20"/>
          <w:color w:val="auto"/>
        </w:rPr>
      </w:pPr>
      <w:r>
        <w:rPr>
          <w:rFonts w:ascii="Arial" w:cs="Arial" w:eastAsia="Arial" w:hAnsi="Arial"/>
          <w:sz w:val="22"/>
          <w:szCs w:val="22"/>
          <w:b w:val="1"/>
          <w:bCs w:val="1"/>
          <w:color w:val="auto"/>
        </w:rPr>
        <w:t>MOTLEY PRESSURE CONTROL, LLC</w:t>
      </w:r>
    </w:p>
    <w:p>
      <w:pPr>
        <w:spacing w:after="0" w:line="200" w:lineRule="exact"/>
        <w:rPr>
          <w:sz w:val="20"/>
          <w:szCs w:val="20"/>
          <w:color w:val="auto"/>
        </w:rPr>
      </w:pPr>
    </w:p>
    <w:p>
      <w:pPr>
        <w:spacing w:after="0" w:line="228" w:lineRule="exact"/>
        <w:rPr>
          <w:sz w:val="20"/>
          <w:szCs w:val="20"/>
          <w:color w:val="auto"/>
        </w:rPr>
      </w:pPr>
    </w:p>
    <w:p>
      <w:pPr>
        <w:ind w:left="4600"/>
        <w:spacing w:after="0"/>
        <w:tabs>
          <w:tab w:leader="none" w:pos="5180" w:val="left"/>
        </w:tabs>
        <w:rPr>
          <w:sz w:val="20"/>
          <w:szCs w:val="20"/>
          <w:color w:val="auto"/>
        </w:rPr>
      </w:pPr>
      <w:r>
        <w:rPr>
          <w:rFonts w:ascii="Arial" w:cs="Arial" w:eastAsia="Arial" w:hAnsi="Arial"/>
          <w:sz w:val="22"/>
          <w:szCs w:val="22"/>
          <w:color w:val="auto"/>
        </w:rPr>
        <w:t>By:</w:t>
        <w:tab/>
        <w:t>/s/ Thomas P. McCaffrey</w:t>
      </w:r>
    </w:p>
    <w:p>
      <w:pPr>
        <w:spacing w:after="0" w:line="8" w:lineRule="exact"/>
        <w:rPr>
          <w:sz w:val="20"/>
          <w:szCs w:val="20"/>
          <w:color w:val="auto"/>
        </w:rPr>
      </w:pPr>
    </w:p>
    <w:p>
      <w:pPr>
        <w:ind w:left="4600"/>
        <w:spacing w:after="0"/>
        <w:rPr>
          <w:sz w:val="20"/>
          <w:szCs w:val="20"/>
          <w:color w:val="auto"/>
        </w:rPr>
      </w:pPr>
      <w:r>
        <w:rPr>
          <w:rFonts w:ascii="Arial" w:cs="Arial" w:eastAsia="Arial" w:hAnsi="Arial"/>
          <w:sz w:val="22"/>
          <w:szCs w:val="22"/>
          <w:color w:val="auto"/>
        </w:rPr>
        <w:t>Name: Thomas P. McCaffrey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3308350</wp:posOffset>
            </wp:positionH>
            <wp:positionV relativeFrom="paragraph">
              <wp:posOffset>-158115</wp:posOffset>
            </wp:positionV>
            <wp:extent cx="275272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ind w:left="4600"/>
        <w:spacing w:after="0"/>
        <w:rPr>
          <w:sz w:val="20"/>
          <w:szCs w:val="20"/>
          <w:color w:val="auto"/>
        </w:rPr>
      </w:pPr>
      <w:r>
        <w:rPr>
          <w:rFonts w:ascii="Arial" w:cs="Arial" w:eastAsia="Arial" w:hAnsi="Arial"/>
          <w:sz w:val="22"/>
          <w:szCs w:val="22"/>
          <w:color w:val="auto"/>
        </w:rPr>
        <w:t>Title:  President</w:t>
      </w:r>
    </w:p>
    <w:p>
      <w:pPr>
        <w:spacing w:after="0" w:line="209" w:lineRule="exact"/>
        <w:rPr>
          <w:sz w:val="20"/>
          <w:szCs w:val="20"/>
          <w:color w:val="auto"/>
        </w:rPr>
      </w:pPr>
    </w:p>
    <w:p>
      <w:pPr>
        <w:ind w:left="4600"/>
        <w:spacing w:after="0"/>
        <w:rPr>
          <w:sz w:val="20"/>
          <w:szCs w:val="20"/>
          <w:color w:val="auto"/>
        </w:rPr>
      </w:pPr>
      <w:r>
        <w:rPr>
          <w:rFonts w:ascii="Arial" w:cs="Arial" w:eastAsia="Arial" w:hAnsi="Arial"/>
          <w:sz w:val="22"/>
          <w:szCs w:val="22"/>
          <w:b w:val="1"/>
          <w:bCs w:val="1"/>
          <w:color w:val="auto"/>
        </w:rPr>
        <w:t>TECTON ENERGY SERVICES LLC</w:t>
      </w:r>
    </w:p>
    <w:p>
      <w:pPr>
        <w:spacing w:after="0" w:line="200" w:lineRule="exact"/>
        <w:rPr>
          <w:sz w:val="20"/>
          <w:szCs w:val="20"/>
          <w:color w:val="auto"/>
        </w:rPr>
      </w:pPr>
    </w:p>
    <w:p>
      <w:pPr>
        <w:spacing w:after="0" w:line="282" w:lineRule="exact"/>
        <w:rPr>
          <w:sz w:val="20"/>
          <w:szCs w:val="20"/>
          <w:color w:val="auto"/>
        </w:rPr>
      </w:pPr>
    </w:p>
    <w:p>
      <w:pPr>
        <w:ind w:left="4600"/>
        <w:spacing w:after="0"/>
        <w:tabs>
          <w:tab w:leader="none" w:pos="5180" w:val="left"/>
        </w:tabs>
        <w:rPr>
          <w:sz w:val="20"/>
          <w:szCs w:val="20"/>
          <w:color w:val="auto"/>
        </w:rPr>
      </w:pPr>
      <w:r>
        <w:rPr>
          <w:rFonts w:ascii="Arial" w:cs="Arial" w:eastAsia="Arial" w:hAnsi="Arial"/>
          <w:sz w:val="22"/>
          <w:szCs w:val="22"/>
          <w:color w:val="auto"/>
        </w:rPr>
        <w:t>By:</w:t>
        <w:tab/>
        <w:t>/s/ Gary J. Roberts</w:t>
      </w:r>
    </w:p>
    <w:p>
      <w:pPr>
        <w:spacing w:after="0" w:line="8" w:lineRule="exact"/>
        <w:rPr>
          <w:sz w:val="20"/>
          <w:szCs w:val="20"/>
          <w:color w:val="auto"/>
        </w:rPr>
      </w:pPr>
    </w:p>
    <w:p>
      <w:pPr>
        <w:ind w:left="4600"/>
        <w:spacing w:after="0"/>
        <w:rPr>
          <w:sz w:val="20"/>
          <w:szCs w:val="20"/>
          <w:color w:val="auto"/>
        </w:rPr>
      </w:pPr>
      <w:r>
        <w:rPr>
          <w:rFonts w:ascii="Arial" w:cs="Arial" w:eastAsia="Arial" w:hAnsi="Arial"/>
          <w:sz w:val="22"/>
          <w:szCs w:val="22"/>
          <w:color w:val="auto"/>
        </w:rPr>
        <w:t>Name: Gary J.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3308350</wp:posOffset>
            </wp:positionH>
            <wp:positionV relativeFrom="paragraph">
              <wp:posOffset>-158115</wp:posOffset>
            </wp:positionV>
            <wp:extent cx="275272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ind w:left="4600"/>
        <w:spacing w:after="0"/>
        <w:rPr>
          <w:sz w:val="20"/>
          <w:szCs w:val="20"/>
          <w:color w:val="auto"/>
        </w:rPr>
      </w:pPr>
      <w:r>
        <w:rPr>
          <w:rFonts w:ascii="Arial" w:cs="Arial" w:eastAsia="Arial" w:hAnsi="Arial"/>
          <w:sz w:val="22"/>
          <w:szCs w:val="22"/>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Second Amendment to Credit Agreement</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-327660</wp:posOffset>
            </wp:positionH>
            <wp:positionV relativeFrom="paragraph">
              <wp:posOffset>339090</wp:posOffset>
            </wp:positionV>
            <wp:extent cx="6388735"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019"/>
          </w:cols>
          <w:pgMar w:left="1440" w:top="328" w:right="1440"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253"/>
        </w:trPr>
        <w:tc>
          <w:tcPr>
            <w:tcW w:w="4720" w:type="dxa"/>
            <w:vAlign w:val="bottom"/>
          </w:tcPr>
          <w:p>
            <w:pPr>
              <w:spacing w:after="0"/>
              <w:rPr>
                <w:sz w:val="20"/>
                <w:szCs w:val="20"/>
                <w:color w:val="auto"/>
              </w:rPr>
            </w:pPr>
            <w:r>
              <w:rPr>
                <w:rFonts w:ascii="Arial" w:cs="Arial" w:eastAsia="Arial" w:hAnsi="Arial"/>
                <w:sz w:val="22"/>
                <w:szCs w:val="22"/>
                <w:b w:val="1"/>
                <w:bCs w:val="1"/>
                <w:color w:val="auto"/>
              </w:rPr>
              <w:t>ADMINISTRATIVE AGENT, COLLATERAL</w:t>
            </w:r>
          </w:p>
        </w:tc>
        <w:tc>
          <w:tcPr>
            <w:tcW w:w="5340" w:type="dxa"/>
            <w:vAlign w:val="bottom"/>
            <w:gridSpan w:val="2"/>
          </w:tcPr>
          <w:p>
            <w:pPr>
              <w:ind w:left="400"/>
              <w:spacing w:after="0"/>
              <w:rPr>
                <w:sz w:val="20"/>
                <w:szCs w:val="20"/>
                <w:color w:val="auto"/>
              </w:rPr>
            </w:pPr>
            <w:r>
              <w:rPr>
                <w:rFonts w:ascii="Arial" w:cs="Arial" w:eastAsia="Arial" w:hAnsi="Arial"/>
                <w:sz w:val="22"/>
                <w:szCs w:val="22"/>
                <w:b w:val="1"/>
                <w:bCs w:val="1"/>
                <w:color w:val="auto"/>
              </w:rPr>
              <w:t>JPMORGAN CHASE BANK, N.A.</w:t>
            </w:r>
          </w:p>
        </w:tc>
        <w:tc>
          <w:tcPr>
            <w:tcW w:w="0" w:type="dxa"/>
            <w:vAlign w:val="bottom"/>
          </w:tcPr>
          <w:p>
            <w:pPr>
              <w:spacing w:after="0"/>
              <w:rPr>
                <w:sz w:val="1"/>
                <w:szCs w:val="1"/>
                <w:color w:val="auto"/>
              </w:rPr>
            </w:pPr>
          </w:p>
        </w:tc>
      </w:tr>
      <w:tr>
        <w:trPr>
          <w:trHeight w:val="281"/>
        </w:trPr>
        <w:tc>
          <w:tcPr>
            <w:tcW w:w="4720" w:type="dxa"/>
            <w:vAlign w:val="bottom"/>
          </w:tcPr>
          <w:p>
            <w:pPr>
              <w:spacing w:after="0"/>
              <w:rPr>
                <w:sz w:val="20"/>
                <w:szCs w:val="20"/>
                <w:color w:val="auto"/>
              </w:rPr>
            </w:pPr>
            <w:r>
              <w:rPr>
                <w:rFonts w:ascii="Arial" w:cs="Arial" w:eastAsia="Arial" w:hAnsi="Arial"/>
                <w:sz w:val="22"/>
                <w:szCs w:val="22"/>
                <w:b w:val="1"/>
                <w:bCs w:val="1"/>
                <w:color w:val="auto"/>
              </w:rPr>
              <w:t>AGENT AND A LENDER:</w:t>
            </w:r>
          </w:p>
        </w:tc>
        <w:tc>
          <w:tcPr>
            <w:tcW w:w="100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4"/>
        </w:trPr>
        <w:tc>
          <w:tcPr>
            <w:tcW w:w="4720" w:type="dxa"/>
            <w:vAlign w:val="bottom"/>
          </w:tcPr>
          <w:p>
            <w:pPr>
              <w:spacing w:after="0"/>
              <w:rPr>
                <w:sz w:val="24"/>
                <w:szCs w:val="24"/>
                <w:color w:val="auto"/>
              </w:rPr>
            </w:pPr>
          </w:p>
        </w:tc>
        <w:tc>
          <w:tcPr>
            <w:tcW w:w="1000" w:type="dxa"/>
            <w:vAlign w:val="bottom"/>
          </w:tcPr>
          <w:p>
            <w:pPr>
              <w:ind w:left="400"/>
              <w:spacing w:after="0"/>
              <w:rPr>
                <w:sz w:val="20"/>
                <w:szCs w:val="20"/>
                <w:color w:val="auto"/>
              </w:rPr>
            </w:pPr>
            <w:r>
              <w:rPr>
                <w:rFonts w:ascii="Arial" w:cs="Arial" w:eastAsia="Arial" w:hAnsi="Arial"/>
                <w:sz w:val="22"/>
                <w:szCs w:val="22"/>
                <w:color w:val="auto"/>
              </w:rPr>
              <w:t>By:</w:t>
            </w:r>
          </w:p>
        </w:tc>
        <w:tc>
          <w:tcPr>
            <w:tcW w:w="4340" w:type="dxa"/>
            <w:vAlign w:val="bottom"/>
          </w:tcPr>
          <w:p>
            <w:pPr>
              <w:spacing w:after="0"/>
              <w:rPr>
                <w:sz w:val="20"/>
                <w:szCs w:val="20"/>
                <w:color w:val="auto"/>
              </w:rPr>
            </w:pPr>
            <w:r>
              <w:rPr>
                <w:rFonts w:ascii="Arial" w:cs="Arial" w:eastAsia="Arial" w:hAnsi="Arial"/>
                <w:sz w:val="22"/>
                <w:szCs w:val="22"/>
                <w:color w:val="auto"/>
              </w:rPr>
              <w:t>/s/ Jorge Diaz Granados</w:t>
            </w:r>
          </w:p>
        </w:tc>
        <w:tc>
          <w:tcPr>
            <w:tcW w:w="0" w:type="dxa"/>
            <w:vAlign w:val="bottom"/>
          </w:tcPr>
          <w:p>
            <w:pPr>
              <w:spacing w:after="0"/>
              <w:rPr>
                <w:sz w:val="1"/>
                <w:szCs w:val="1"/>
                <w:color w:val="auto"/>
              </w:rPr>
            </w:pPr>
          </w:p>
        </w:tc>
      </w:tr>
      <w:tr>
        <w:trPr>
          <w:trHeight w:val="21"/>
        </w:trPr>
        <w:tc>
          <w:tcPr>
            <w:tcW w:w="4720" w:type="dxa"/>
            <w:vAlign w:val="bottom"/>
          </w:tcPr>
          <w:p>
            <w:pPr>
              <w:spacing w:after="0" w:line="20" w:lineRule="exact"/>
              <w:rPr>
                <w:sz w:val="1"/>
                <w:szCs w:val="1"/>
                <w:color w:val="auto"/>
              </w:rPr>
            </w:pPr>
          </w:p>
        </w:tc>
        <w:tc>
          <w:tcPr>
            <w:tcW w:w="1000" w:type="dxa"/>
            <w:vAlign w:val="bottom"/>
            <w:vMerge w:val="restart"/>
          </w:tcPr>
          <w:p>
            <w:pPr>
              <w:ind w:left="400"/>
              <w:spacing w:after="0"/>
              <w:rPr>
                <w:sz w:val="20"/>
                <w:szCs w:val="20"/>
                <w:color w:val="auto"/>
              </w:rPr>
            </w:pPr>
            <w:r>
              <w:rPr>
                <w:rFonts w:ascii="Arial" w:cs="Arial" w:eastAsia="Arial" w:hAnsi="Arial"/>
                <w:sz w:val="22"/>
                <w:szCs w:val="22"/>
                <w:color w:val="auto"/>
                <w:w w:val="89"/>
              </w:rPr>
              <w:t>Name:</w:t>
            </w:r>
          </w:p>
        </w:tc>
        <w:tc>
          <w:tcPr>
            <w:tcW w:w="4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5"/>
        </w:trPr>
        <w:tc>
          <w:tcPr>
            <w:tcW w:w="472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4340" w:type="dxa"/>
            <w:vAlign w:val="bottom"/>
          </w:tcPr>
          <w:p>
            <w:pPr>
              <w:spacing w:after="0" w:line="216" w:lineRule="exact"/>
              <w:rPr>
                <w:sz w:val="20"/>
                <w:szCs w:val="20"/>
                <w:color w:val="auto"/>
              </w:rPr>
            </w:pPr>
            <w:r>
              <w:rPr>
                <w:rFonts w:ascii="Arial" w:cs="Arial" w:eastAsia="Arial" w:hAnsi="Arial"/>
                <w:sz w:val="22"/>
                <w:szCs w:val="22"/>
                <w:color w:val="auto"/>
              </w:rPr>
              <w:t>Jorge Diaz Granados</w:t>
            </w:r>
          </w:p>
        </w:tc>
        <w:tc>
          <w:tcPr>
            <w:tcW w:w="0" w:type="dxa"/>
            <w:vAlign w:val="bottom"/>
          </w:tcPr>
          <w:p>
            <w:pPr>
              <w:spacing w:after="0"/>
              <w:rPr>
                <w:sz w:val="1"/>
                <w:szCs w:val="1"/>
                <w:color w:val="auto"/>
              </w:rPr>
            </w:pPr>
          </w:p>
        </w:tc>
      </w:tr>
      <w:tr>
        <w:trPr>
          <w:trHeight w:val="275"/>
        </w:trPr>
        <w:tc>
          <w:tcPr>
            <w:tcW w:w="4720" w:type="dxa"/>
            <w:vAlign w:val="bottom"/>
          </w:tcPr>
          <w:p>
            <w:pPr>
              <w:spacing w:after="0"/>
              <w:rPr>
                <w:sz w:val="23"/>
                <w:szCs w:val="23"/>
                <w:color w:val="auto"/>
              </w:rPr>
            </w:pPr>
          </w:p>
        </w:tc>
        <w:tc>
          <w:tcPr>
            <w:tcW w:w="1000" w:type="dxa"/>
            <w:vAlign w:val="bottom"/>
          </w:tcPr>
          <w:p>
            <w:pPr>
              <w:ind w:left="400"/>
              <w:spacing w:after="0"/>
              <w:rPr>
                <w:sz w:val="20"/>
                <w:szCs w:val="20"/>
                <w:color w:val="auto"/>
              </w:rPr>
            </w:pPr>
            <w:r>
              <w:rPr>
                <w:rFonts w:ascii="Arial" w:cs="Arial" w:eastAsia="Arial" w:hAnsi="Arial"/>
                <w:sz w:val="22"/>
                <w:szCs w:val="22"/>
                <w:color w:val="auto"/>
              </w:rPr>
              <w:t>Title:</w:t>
            </w:r>
          </w:p>
        </w:tc>
        <w:tc>
          <w:tcPr>
            <w:tcW w:w="4340" w:type="dxa"/>
            <w:vAlign w:val="bottom"/>
          </w:tcPr>
          <w:p>
            <w:pPr>
              <w:spacing w:after="0"/>
              <w:rPr>
                <w:sz w:val="20"/>
                <w:szCs w:val="20"/>
                <w:color w:val="auto"/>
              </w:rPr>
            </w:pPr>
            <w:r>
              <w:rPr>
                <w:rFonts w:ascii="Arial" w:cs="Arial" w:eastAsia="Arial" w:hAnsi="Arial"/>
                <w:sz w:val="22"/>
                <w:szCs w:val="22"/>
                <w:color w:val="auto"/>
              </w:rPr>
              <w:t>Authorized Officer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Second Amendment to Credit Agreement</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339090</wp:posOffset>
            </wp:positionV>
            <wp:extent cx="6388735"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18" w:right="919" w:bottom="1440" w:gutter="0" w:footer="0" w:header="0"/>
        </w:sectPr>
      </w:pPr>
    </w:p>
    <w:bookmarkStart w:id="46" w:name="page47"/>
    <w:bookmarkEnd w:id="46"/>
    <w:p>
      <w:pPr>
        <w:spacing w:after="0"/>
        <w:rPr>
          <w:sz w:val="20"/>
          <w:szCs w:val="20"/>
          <w:color w:val="auto"/>
        </w:rPr>
      </w:pPr>
      <w:r>
        <w:rPr>
          <w:rFonts w:ascii="Arial" w:cs="Arial" w:eastAsia="Arial" w:hAnsi="Arial"/>
          <w:sz w:val="22"/>
          <w:szCs w:val="22"/>
          <w:b w:val="1"/>
          <w:bCs w:val="1"/>
          <w:color w:val="auto"/>
        </w:rPr>
        <w:t>LENDER:</w:t>
      </w:r>
    </w:p>
    <w:p>
      <w:pPr>
        <w:spacing w:after="0" w:line="20" w:lineRule="exact"/>
        <w:rPr>
          <w:sz w:val="20"/>
          <w:szCs w:val="20"/>
          <w:color w:val="auto"/>
        </w:rPr>
      </w:pPr>
      <w:r>
        <w:rPr>
          <w:sz w:val="20"/>
          <w:szCs w:val="20"/>
          <w:color w:val="auto"/>
        </w:rPr>
        <w:br w:type="column"/>
      </w:r>
    </w:p>
    <w:p>
      <w:pPr>
        <w:spacing w:after="0"/>
        <w:tabs>
          <w:tab w:leader="none" w:pos="1280" w:val="left"/>
        </w:tabs>
        <w:rPr>
          <w:sz w:val="20"/>
          <w:szCs w:val="20"/>
          <w:color w:val="auto"/>
        </w:rPr>
      </w:pPr>
      <w:r>
        <w:rPr>
          <w:rFonts w:ascii="Arial" w:cs="Arial" w:eastAsia="Arial" w:hAnsi="Arial"/>
          <w:sz w:val="21"/>
          <w:szCs w:val="21"/>
          <w:b w:val="1"/>
          <w:bCs w:val="1"/>
          <w:color w:val="auto"/>
        </w:rPr>
        <w:t>WELLS</w:t>
      </w:r>
      <w:r>
        <w:rPr>
          <w:sz w:val="20"/>
          <w:szCs w:val="20"/>
          <w:color w:val="auto"/>
        </w:rPr>
        <w:tab/>
      </w:r>
      <w:r>
        <w:rPr>
          <w:rFonts w:ascii="Arial" w:cs="Arial" w:eastAsia="Arial" w:hAnsi="Arial"/>
          <w:sz w:val="21"/>
          <w:szCs w:val="21"/>
          <w:b w:val="1"/>
          <w:bCs w:val="1"/>
          <w:color w:val="auto"/>
        </w:rPr>
        <w:t>FARGO</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21"/>
          <w:szCs w:val="21"/>
          <w:b w:val="1"/>
          <w:bCs w:val="1"/>
          <w:color w:val="auto"/>
        </w:rPr>
        <w:t>BANK,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2"/>
          <w:szCs w:val="22"/>
          <w:b w:val="1"/>
          <w:bCs w:val="1"/>
          <w:color w:val="auto"/>
        </w:rPr>
        <w:t>NATIONAL</w:t>
      </w:r>
    </w:p>
    <w:p>
      <w:pPr>
        <w:spacing w:after="0" w:line="28" w:lineRule="exact"/>
        <w:rPr>
          <w:sz w:val="20"/>
          <w:szCs w:val="20"/>
          <w:color w:val="auto"/>
        </w:rPr>
      </w:pPr>
    </w:p>
    <w:p>
      <w:pPr>
        <w:sectPr>
          <w:pgSz w:w="11900" w:h="16838" w:orient="portrait"/>
          <w:cols w:equalWidth="0" w:num="4">
            <w:col w:w="4400" w:space="720"/>
            <w:col w:w="2060" w:space="520"/>
            <w:col w:w="680" w:space="520"/>
            <w:col w:w="1160"/>
          </w:cols>
          <w:pgMar w:left="920" w:top="328" w:right="919" w:bottom="1440" w:gutter="0" w:footer="0" w:header="0"/>
        </w:sectPr>
      </w:pPr>
    </w:p>
    <w:p>
      <w:pPr>
        <w:ind w:left="5120"/>
        <w:spacing w:after="0"/>
        <w:rPr>
          <w:sz w:val="20"/>
          <w:szCs w:val="20"/>
          <w:color w:val="auto"/>
        </w:rPr>
      </w:pPr>
      <w:r>
        <w:rPr>
          <w:rFonts w:ascii="Arial" w:cs="Arial" w:eastAsia="Arial" w:hAnsi="Arial"/>
          <w:sz w:val="21"/>
          <w:szCs w:val="21"/>
          <w:b w:val="1"/>
          <w:bCs w:val="1"/>
          <w:color w:val="auto"/>
        </w:rPr>
        <w:t>ASSOCIATION</w:t>
      </w:r>
    </w:p>
    <w:p>
      <w:pPr>
        <w:sectPr>
          <w:pgSz w:w="11900" w:h="16838" w:orient="portrait"/>
          <w:cols w:equalWidth="0" w:num="1">
            <w:col w:w="10060"/>
          </w:cols>
          <w:pgMar w:left="920" w:top="328" w:right="919" w:bottom="1440" w:gutter="0" w:footer="0" w:header="0"/>
          <w:type w:val="continuous"/>
        </w:sectPr>
      </w:pPr>
    </w:p>
    <w:p>
      <w:pPr>
        <w:spacing w:after="0" w:line="200" w:lineRule="exact"/>
        <w:rPr>
          <w:sz w:val="20"/>
          <w:szCs w:val="20"/>
          <w:color w:val="auto"/>
        </w:rPr>
      </w:pPr>
    </w:p>
    <w:p>
      <w:pPr>
        <w:spacing w:after="0" w:line="202" w:lineRule="exact"/>
        <w:rPr>
          <w:sz w:val="20"/>
          <w:szCs w:val="20"/>
          <w:color w:val="auto"/>
        </w:rPr>
      </w:pPr>
    </w:p>
    <w:p>
      <w:pPr>
        <w:ind w:left="5120"/>
        <w:spacing w:after="0"/>
        <w:tabs>
          <w:tab w:leader="none" w:pos="5700" w:val="left"/>
        </w:tabs>
        <w:rPr>
          <w:sz w:val="20"/>
          <w:szCs w:val="20"/>
          <w:color w:val="auto"/>
        </w:rPr>
      </w:pPr>
      <w:r>
        <w:rPr>
          <w:rFonts w:ascii="Arial" w:cs="Arial" w:eastAsia="Arial" w:hAnsi="Arial"/>
          <w:sz w:val="19"/>
          <w:szCs w:val="19"/>
          <w:color w:val="auto"/>
        </w:rPr>
        <w:t>By:</w:t>
        <w:tab/>
        <w:t>/s/ Ryan Tozier</w:t>
      </w:r>
    </w:p>
    <w:p>
      <w:pPr>
        <w:spacing w:after="0" w:line="43" w:lineRule="exact"/>
        <w:rPr>
          <w:sz w:val="20"/>
          <w:szCs w:val="20"/>
          <w:color w:val="auto"/>
        </w:rPr>
      </w:pPr>
    </w:p>
    <w:p>
      <w:pPr>
        <w:ind w:left="5120"/>
        <w:spacing w:after="0"/>
        <w:rPr>
          <w:sz w:val="20"/>
          <w:szCs w:val="20"/>
          <w:color w:val="auto"/>
        </w:rPr>
      </w:pPr>
      <w:r>
        <w:rPr>
          <w:rFonts w:ascii="Arial" w:cs="Arial" w:eastAsia="Arial" w:hAnsi="Arial"/>
          <w:sz w:val="22"/>
          <w:szCs w:val="22"/>
          <w:color w:val="auto"/>
        </w:rPr>
        <w:t>Name: Ryan Tozier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3638550</wp:posOffset>
            </wp:positionH>
            <wp:positionV relativeFrom="paragraph">
              <wp:posOffset>-158115</wp:posOffset>
            </wp:positionV>
            <wp:extent cx="275272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ind w:left="5120"/>
        <w:spacing w:after="0"/>
        <w:rPr>
          <w:sz w:val="20"/>
          <w:szCs w:val="20"/>
          <w:color w:val="auto"/>
        </w:rPr>
      </w:pPr>
      <w:r>
        <w:rPr>
          <w:rFonts w:ascii="Arial" w:cs="Arial" w:eastAsia="Arial" w:hAnsi="Arial"/>
          <w:sz w:val="19"/>
          <w:szCs w:val="19"/>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Second Amendment to Credit Agreement</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339090</wp:posOffset>
            </wp:positionV>
            <wp:extent cx="6388735"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28" w:right="919" w:bottom="1440" w:gutter="0" w:footer="0" w:header="0"/>
          <w:type w:val="continuous"/>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31.1</w:t>
      </w:r>
    </w:p>
    <w:p>
      <w:pPr>
        <w:jc w:val="center"/>
        <w:spacing w:after="0" w:line="203" w:lineRule="auto"/>
        <w:rPr>
          <w:sz w:val="20"/>
          <w:szCs w:val="20"/>
          <w:color w:val="auto"/>
        </w:rPr>
      </w:pPr>
      <w:r>
        <w:rPr>
          <w:rFonts w:ascii="Arial" w:cs="Arial" w:eastAsia="Arial" w:hAnsi="Arial"/>
          <w:sz w:val="18"/>
          <w:szCs w:val="18"/>
          <w:b w:val="1"/>
          <w:bCs w:val="1"/>
          <w:color w:val="auto"/>
        </w:rPr>
        <w:t>KLX ENERGY SERVICES HOLDINGS, INC.</w:t>
      </w: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I, Amin J. Khoury, certify that:</w:t>
      </w:r>
    </w:p>
    <w:p>
      <w:pPr>
        <w:spacing w:after="0" w:line="144" w:lineRule="exact"/>
        <w:rPr>
          <w:sz w:val="20"/>
          <w:szCs w:val="20"/>
          <w:color w:val="auto"/>
        </w:rPr>
      </w:pPr>
    </w:p>
    <w:p>
      <w:pPr>
        <w:ind w:left="660" w:hanging="657"/>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KLX Energy Services Holdings, Inc.;</w:t>
      </w:r>
    </w:p>
    <w:p>
      <w:pPr>
        <w:spacing w:after="0" w:line="144" w:lineRule="exact"/>
        <w:rPr>
          <w:rFonts w:ascii="Arial" w:cs="Arial" w:eastAsia="Arial" w:hAnsi="Arial"/>
          <w:sz w:val="18"/>
          <w:szCs w:val="18"/>
          <w:color w:val="auto"/>
        </w:rPr>
      </w:pPr>
    </w:p>
    <w:p>
      <w:pPr>
        <w:jc w:val="both"/>
        <w:ind w:left="660" w:right="200" w:hanging="657"/>
        <w:spacing w:after="0" w:line="219"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Arial" w:cs="Arial" w:eastAsia="Arial" w:hAnsi="Arial"/>
          <w:sz w:val="18"/>
          <w:szCs w:val="18"/>
          <w:color w:val="auto"/>
        </w:rPr>
      </w:pPr>
    </w:p>
    <w:p>
      <w:pPr>
        <w:ind w:left="660" w:right="140" w:hanging="657"/>
        <w:spacing w:after="0" w:line="219"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5" w:lineRule="exact"/>
        <w:rPr>
          <w:rFonts w:ascii="Arial" w:cs="Arial" w:eastAsia="Arial" w:hAnsi="Arial"/>
          <w:sz w:val="18"/>
          <w:szCs w:val="18"/>
          <w:color w:val="auto"/>
        </w:rPr>
      </w:pPr>
    </w:p>
    <w:p>
      <w:pPr>
        <w:jc w:val="both"/>
        <w:ind w:left="660" w:right="20" w:hanging="657"/>
        <w:spacing w:after="0" w:line="215" w:lineRule="auto"/>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 13a-15(f) and 15d-15(f)) for the registrant</w:t>
      </w:r>
    </w:p>
    <w:p>
      <w:pPr>
        <w:spacing w:after="0" w:line="1"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8"/>
          <w:szCs w:val="18"/>
          <w:color w:val="auto"/>
        </w:rPr>
        <w:t>and have:</w:t>
      </w:r>
    </w:p>
    <w:p>
      <w:pPr>
        <w:spacing w:after="0" w:line="144" w:lineRule="exact"/>
        <w:rPr>
          <w:rFonts w:ascii="Arial" w:cs="Arial" w:eastAsia="Arial" w:hAnsi="Arial"/>
          <w:sz w:val="17"/>
          <w:szCs w:val="17"/>
          <w:color w:val="auto"/>
        </w:rPr>
      </w:pPr>
    </w:p>
    <w:p>
      <w:pPr>
        <w:ind w:left="1160" w:right="20" w:hanging="320"/>
        <w:spacing w:after="0" w:line="215" w:lineRule="auto"/>
        <w:tabs>
          <w:tab w:leader="none" w:pos="11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6" w:lineRule="exact"/>
        <w:rPr>
          <w:rFonts w:ascii="Arial" w:cs="Arial" w:eastAsia="Arial" w:hAnsi="Arial"/>
          <w:sz w:val="18"/>
          <w:szCs w:val="18"/>
          <w:color w:val="auto"/>
        </w:rPr>
      </w:pPr>
    </w:p>
    <w:p>
      <w:pPr>
        <w:ind w:left="1160" w:right="20" w:hanging="320"/>
        <w:spacing w:after="0" w:line="215" w:lineRule="auto"/>
        <w:tabs>
          <w:tab w:leader="none" w:pos="11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6" w:lineRule="exact"/>
        <w:rPr>
          <w:rFonts w:ascii="Arial" w:cs="Arial" w:eastAsia="Arial" w:hAnsi="Arial"/>
          <w:sz w:val="18"/>
          <w:szCs w:val="18"/>
          <w:color w:val="auto"/>
        </w:rPr>
      </w:pPr>
    </w:p>
    <w:p>
      <w:pPr>
        <w:jc w:val="both"/>
        <w:ind w:left="1160" w:right="60" w:hanging="320"/>
        <w:spacing w:after="0" w:line="219" w:lineRule="auto"/>
        <w:tabs>
          <w:tab w:leader="none" w:pos="11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5" w:lineRule="exact"/>
        <w:rPr>
          <w:rFonts w:ascii="Arial" w:cs="Arial" w:eastAsia="Arial" w:hAnsi="Arial"/>
          <w:sz w:val="18"/>
          <w:szCs w:val="18"/>
          <w:color w:val="auto"/>
        </w:rPr>
      </w:pPr>
    </w:p>
    <w:p>
      <w:pPr>
        <w:ind w:left="1160" w:right="20" w:hanging="320"/>
        <w:spacing w:after="0" w:line="215" w:lineRule="auto"/>
        <w:tabs>
          <w:tab w:leader="none" w:pos="11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6" w:lineRule="exact"/>
        <w:rPr>
          <w:rFonts w:ascii="Arial" w:cs="Arial" w:eastAsia="Arial" w:hAnsi="Arial"/>
          <w:sz w:val="18"/>
          <w:szCs w:val="18"/>
          <w:color w:val="auto"/>
        </w:rPr>
      </w:pPr>
    </w:p>
    <w:p>
      <w:pPr>
        <w:ind w:left="660" w:right="300" w:hanging="657"/>
        <w:spacing w:after="0" w:line="219"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5" w:lineRule="exact"/>
        <w:rPr>
          <w:rFonts w:ascii="Arial" w:cs="Arial" w:eastAsia="Arial" w:hAnsi="Arial"/>
          <w:sz w:val="18"/>
          <w:szCs w:val="18"/>
          <w:color w:val="auto"/>
        </w:rPr>
      </w:pPr>
    </w:p>
    <w:p>
      <w:pPr>
        <w:ind w:left="1160" w:right="280" w:hanging="320"/>
        <w:spacing w:after="0" w:line="219" w:lineRule="auto"/>
        <w:tabs>
          <w:tab w:leader="none" w:pos="11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5" w:lineRule="exact"/>
        <w:rPr>
          <w:rFonts w:ascii="Arial" w:cs="Arial" w:eastAsia="Arial" w:hAnsi="Arial"/>
          <w:sz w:val="18"/>
          <w:szCs w:val="18"/>
          <w:color w:val="auto"/>
        </w:rPr>
      </w:pPr>
    </w:p>
    <w:p>
      <w:pPr>
        <w:ind w:left="1160" w:right="440" w:hanging="320"/>
        <w:spacing w:after="0" w:line="227" w:lineRule="auto"/>
        <w:tabs>
          <w:tab w:leader="none" w:pos="11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24" w:lineRule="exact"/>
        <w:rPr>
          <w:sz w:val="20"/>
          <w:szCs w:val="20"/>
          <w:color w:val="auto"/>
        </w:rPr>
      </w:pPr>
    </w:p>
    <w:p>
      <w:pPr>
        <w:spacing w:after="0"/>
        <w:tabs>
          <w:tab w:leader="none" w:pos="4640" w:val="left"/>
          <w:tab w:leader="none" w:pos="5120" w:val="left"/>
        </w:tabs>
        <w:rPr>
          <w:sz w:val="20"/>
          <w:szCs w:val="20"/>
          <w:color w:val="auto"/>
        </w:rPr>
      </w:pPr>
      <w:r>
        <w:rPr>
          <w:rFonts w:ascii="Arial" w:cs="Arial" w:eastAsia="Arial" w:hAnsi="Arial"/>
          <w:sz w:val="18"/>
          <w:szCs w:val="18"/>
          <w:color w:val="auto"/>
        </w:rPr>
        <w:t>Date: August 22,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Amin J. Khoury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3268980</wp:posOffset>
            </wp:positionH>
            <wp:positionV relativeFrom="paragraph">
              <wp:posOffset>-10160</wp:posOffset>
            </wp:positionV>
            <wp:extent cx="248729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ind w:left="5140"/>
        <w:spacing w:after="0"/>
        <w:rPr>
          <w:sz w:val="20"/>
          <w:szCs w:val="20"/>
          <w:color w:val="auto"/>
        </w:rPr>
      </w:pPr>
      <w:r>
        <w:rPr>
          <w:rFonts w:ascii="Arial" w:cs="Arial" w:eastAsia="Arial" w:hAnsi="Arial"/>
          <w:sz w:val="18"/>
          <w:szCs w:val="18"/>
          <w:color w:val="auto"/>
        </w:rPr>
        <w:t>Amin J. Khoury</w:t>
      </w:r>
    </w:p>
    <w:p>
      <w:pPr>
        <w:spacing w:after="0" w:line="9"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Chairman, Chief Executive Officer and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469265</wp:posOffset>
            </wp:positionV>
            <wp:extent cx="5754370"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94" w:right="141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31.2</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KLX ENERGY SERVICES HOLDINGS, INC.</w:t>
      </w: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I, Thomas P. McCaffrey, certify that:</w:t>
      </w:r>
    </w:p>
    <w:p>
      <w:pPr>
        <w:spacing w:after="0" w:line="144" w:lineRule="exact"/>
        <w:rPr>
          <w:sz w:val="20"/>
          <w:szCs w:val="20"/>
          <w:color w:val="auto"/>
        </w:rPr>
      </w:pPr>
    </w:p>
    <w:p>
      <w:pPr>
        <w:ind w:left="660" w:hanging="657"/>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KLX Energy Services Holdings, Inc.;</w:t>
      </w:r>
    </w:p>
    <w:p>
      <w:pPr>
        <w:spacing w:after="0" w:line="144" w:lineRule="exact"/>
        <w:rPr>
          <w:rFonts w:ascii="Arial" w:cs="Arial" w:eastAsia="Arial" w:hAnsi="Arial"/>
          <w:sz w:val="18"/>
          <w:szCs w:val="18"/>
          <w:color w:val="auto"/>
        </w:rPr>
      </w:pPr>
    </w:p>
    <w:p>
      <w:pPr>
        <w:jc w:val="both"/>
        <w:ind w:left="660" w:right="200" w:hanging="657"/>
        <w:spacing w:after="0" w:line="219"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Arial" w:cs="Arial" w:eastAsia="Arial" w:hAnsi="Arial"/>
          <w:sz w:val="18"/>
          <w:szCs w:val="18"/>
          <w:color w:val="auto"/>
        </w:rPr>
      </w:pPr>
    </w:p>
    <w:p>
      <w:pPr>
        <w:ind w:left="660" w:right="140" w:hanging="657"/>
        <w:spacing w:after="0" w:line="219"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5" w:lineRule="exact"/>
        <w:rPr>
          <w:rFonts w:ascii="Arial" w:cs="Arial" w:eastAsia="Arial" w:hAnsi="Arial"/>
          <w:sz w:val="18"/>
          <w:szCs w:val="18"/>
          <w:color w:val="auto"/>
        </w:rPr>
      </w:pPr>
    </w:p>
    <w:p>
      <w:pPr>
        <w:ind w:left="660" w:right="20" w:hanging="657"/>
        <w:spacing w:after="0" w:line="215"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 13a-15(f) and 15d-15(f)) for the registrant and have:</w:t>
      </w:r>
    </w:p>
    <w:p>
      <w:pPr>
        <w:spacing w:after="0" w:line="136" w:lineRule="exact"/>
        <w:rPr>
          <w:rFonts w:ascii="Arial" w:cs="Arial" w:eastAsia="Arial" w:hAnsi="Arial"/>
          <w:sz w:val="18"/>
          <w:szCs w:val="18"/>
          <w:color w:val="auto"/>
        </w:rPr>
      </w:pPr>
    </w:p>
    <w:p>
      <w:pPr>
        <w:ind w:left="1160" w:right="20" w:hanging="320"/>
        <w:spacing w:after="0" w:line="215" w:lineRule="auto"/>
        <w:tabs>
          <w:tab w:leader="none" w:pos="11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6" w:lineRule="exact"/>
        <w:rPr>
          <w:rFonts w:ascii="Arial" w:cs="Arial" w:eastAsia="Arial" w:hAnsi="Arial"/>
          <w:sz w:val="18"/>
          <w:szCs w:val="18"/>
          <w:color w:val="auto"/>
        </w:rPr>
      </w:pPr>
    </w:p>
    <w:p>
      <w:pPr>
        <w:ind w:left="1160" w:right="20" w:hanging="320"/>
        <w:spacing w:after="0" w:line="215" w:lineRule="auto"/>
        <w:tabs>
          <w:tab w:leader="none" w:pos="11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6" w:lineRule="exact"/>
        <w:rPr>
          <w:rFonts w:ascii="Arial" w:cs="Arial" w:eastAsia="Arial" w:hAnsi="Arial"/>
          <w:sz w:val="18"/>
          <w:szCs w:val="18"/>
          <w:color w:val="auto"/>
        </w:rPr>
      </w:pPr>
    </w:p>
    <w:p>
      <w:pPr>
        <w:jc w:val="both"/>
        <w:ind w:left="1160" w:right="60" w:hanging="320"/>
        <w:spacing w:after="0" w:line="219" w:lineRule="auto"/>
        <w:tabs>
          <w:tab w:leader="none" w:pos="11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5" w:lineRule="exact"/>
        <w:rPr>
          <w:rFonts w:ascii="Arial" w:cs="Arial" w:eastAsia="Arial" w:hAnsi="Arial"/>
          <w:sz w:val="18"/>
          <w:szCs w:val="18"/>
          <w:color w:val="auto"/>
        </w:rPr>
      </w:pPr>
    </w:p>
    <w:p>
      <w:pPr>
        <w:ind w:left="1160" w:right="20" w:hanging="320"/>
        <w:spacing w:after="0" w:line="215" w:lineRule="auto"/>
        <w:tabs>
          <w:tab w:leader="none" w:pos="11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6" w:lineRule="exact"/>
        <w:rPr>
          <w:rFonts w:ascii="Arial" w:cs="Arial" w:eastAsia="Arial" w:hAnsi="Arial"/>
          <w:sz w:val="18"/>
          <w:szCs w:val="18"/>
          <w:color w:val="auto"/>
        </w:rPr>
      </w:pPr>
    </w:p>
    <w:p>
      <w:pPr>
        <w:ind w:left="660" w:right="300" w:hanging="657"/>
        <w:spacing w:after="0" w:line="219"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5" w:lineRule="exact"/>
        <w:rPr>
          <w:rFonts w:ascii="Arial" w:cs="Arial" w:eastAsia="Arial" w:hAnsi="Arial"/>
          <w:sz w:val="18"/>
          <w:szCs w:val="18"/>
          <w:color w:val="auto"/>
        </w:rPr>
      </w:pPr>
    </w:p>
    <w:p>
      <w:pPr>
        <w:ind w:left="1160" w:right="280" w:hanging="320"/>
        <w:spacing w:after="0" w:line="219" w:lineRule="auto"/>
        <w:tabs>
          <w:tab w:leader="none" w:pos="11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5" w:lineRule="exact"/>
        <w:rPr>
          <w:rFonts w:ascii="Arial" w:cs="Arial" w:eastAsia="Arial" w:hAnsi="Arial"/>
          <w:sz w:val="18"/>
          <w:szCs w:val="18"/>
          <w:color w:val="auto"/>
        </w:rPr>
      </w:pPr>
    </w:p>
    <w:p>
      <w:pPr>
        <w:ind w:left="1160" w:right="440" w:hanging="320"/>
        <w:spacing w:after="0" w:line="227" w:lineRule="auto"/>
        <w:tabs>
          <w:tab w:leader="none" w:pos="11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24" w:lineRule="exact"/>
        <w:rPr>
          <w:sz w:val="20"/>
          <w:szCs w:val="20"/>
          <w:color w:val="auto"/>
        </w:rPr>
      </w:pPr>
    </w:p>
    <w:p>
      <w:pPr>
        <w:spacing w:after="0"/>
        <w:tabs>
          <w:tab w:leader="none" w:pos="4200" w:val="left"/>
        </w:tabs>
        <w:rPr>
          <w:sz w:val="20"/>
          <w:szCs w:val="20"/>
          <w:color w:val="auto"/>
        </w:rPr>
      </w:pPr>
      <w:r>
        <w:rPr>
          <w:rFonts w:ascii="Arial" w:cs="Arial" w:eastAsia="Arial" w:hAnsi="Arial"/>
          <w:sz w:val="18"/>
          <w:szCs w:val="18"/>
          <w:color w:val="auto"/>
        </w:rPr>
        <w:t>Date: August 22, 2019</w:t>
      </w:r>
      <w:r>
        <w:rPr>
          <w:sz w:val="20"/>
          <w:szCs w:val="20"/>
          <w:color w:val="auto"/>
        </w:rPr>
        <w:tab/>
      </w:r>
      <w:r>
        <w:rPr>
          <w:rFonts w:ascii="Arial" w:cs="Arial" w:eastAsia="Arial" w:hAnsi="Arial"/>
          <w:sz w:val="17"/>
          <w:szCs w:val="17"/>
          <w:color w:val="auto"/>
        </w:rPr>
        <w:t>By: /s/ Thomas P. McCaffrey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2891790</wp:posOffset>
            </wp:positionH>
            <wp:positionV relativeFrom="paragraph">
              <wp:posOffset>-10160</wp:posOffset>
            </wp:positionV>
            <wp:extent cx="286448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864485" cy="8890"/>
                    </a:xfrm>
                    <a:prstGeom prst="rect">
                      <a:avLst/>
                    </a:prstGeom>
                    <a:noFill/>
                  </pic:spPr>
                </pic:pic>
              </a:graphicData>
            </a:graphic>
          </wp:anchor>
        </w:drawing>
      </w:r>
    </w:p>
    <w:p>
      <w:pPr>
        <w:ind w:left="4560"/>
        <w:spacing w:after="0"/>
        <w:rPr>
          <w:sz w:val="20"/>
          <w:szCs w:val="20"/>
          <w:color w:val="auto"/>
        </w:rPr>
      </w:pPr>
      <w:r>
        <w:rPr>
          <w:rFonts w:ascii="Arial" w:cs="Arial" w:eastAsia="Arial" w:hAnsi="Arial"/>
          <w:sz w:val="18"/>
          <w:szCs w:val="18"/>
          <w:color w:val="auto"/>
        </w:rPr>
        <w:t>Thomas P. McCaffrey</w:t>
      </w:r>
    </w:p>
    <w:p>
      <w:pPr>
        <w:spacing w:after="0" w:line="9"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Senior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615315</wp:posOffset>
            </wp:positionV>
            <wp:extent cx="5754370"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4" w:right="141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32.1</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KLX ENERGY SERVICES HOLDINGS, INC.</w:t>
      </w:r>
    </w:p>
    <w:p>
      <w:pPr>
        <w:jc w:val="center"/>
        <w:spacing w:after="0" w:line="203" w:lineRule="auto"/>
        <w:rPr>
          <w:sz w:val="20"/>
          <w:szCs w:val="20"/>
          <w:color w:val="auto"/>
        </w:rPr>
      </w:pPr>
      <w:r>
        <w:rPr>
          <w:rFonts w:ascii="Arial" w:cs="Arial" w:eastAsia="Arial" w:hAnsi="Arial"/>
          <w:sz w:val="18"/>
          <w:szCs w:val="18"/>
          <w:b w:val="1"/>
          <w:bCs w:val="1"/>
          <w:color w:val="auto"/>
        </w:rPr>
        <w:t>CERTIFICATION PURSUANT TO</w:t>
      </w:r>
    </w:p>
    <w:p>
      <w:pPr>
        <w:jc w:val="center"/>
        <w:spacing w:after="0" w:line="204" w:lineRule="auto"/>
        <w:rPr>
          <w:sz w:val="20"/>
          <w:szCs w:val="20"/>
          <w:color w:val="auto"/>
        </w:rPr>
      </w:pPr>
      <w:r>
        <w:rPr>
          <w:rFonts w:ascii="Arial" w:cs="Arial" w:eastAsia="Arial" w:hAnsi="Arial"/>
          <w:sz w:val="18"/>
          <w:szCs w:val="18"/>
          <w:b w:val="1"/>
          <w:bCs w:val="1"/>
          <w:color w:val="auto"/>
        </w:rPr>
        <w:t>18 U.S.C. SECTION 1350</w:t>
      </w:r>
    </w:p>
    <w:p>
      <w:pPr>
        <w:jc w:val="center"/>
        <w:spacing w:after="0" w:line="203" w:lineRule="auto"/>
        <w:rPr>
          <w:sz w:val="20"/>
          <w:szCs w:val="20"/>
          <w:color w:val="auto"/>
        </w:rPr>
      </w:pPr>
      <w:r>
        <w:rPr>
          <w:rFonts w:ascii="Arial" w:cs="Arial" w:eastAsia="Arial" w:hAnsi="Arial"/>
          <w:sz w:val="18"/>
          <w:szCs w:val="18"/>
          <w:b w:val="1"/>
          <w:bCs w:val="1"/>
          <w:color w:val="auto"/>
        </w:rPr>
        <w:t>AS REQUIRED BY</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44" w:lineRule="exact"/>
        <w:rPr>
          <w:sz w:val="20"/>
          <w:szCs w:val="20"/>
          <w:color w:val="auto"/>
        </w:rPr>
      </w:pPr>
    </w:p>
    <w:p>
      <w:pPr>
        <w:ind w:right="60"/>
        <w:spacing w:after="0" w:line="215" w:lineRule="auto"/>
        <w:rPr>
          <w:sz w:val="20"/>
          <w:szCs w:val="20"/>
          <w:color w:val="auto"/>
        </w:rPr>
      </w:pPr>
      <w:r>
        <w:rPr>
          <w:rFonts w:ascii="Arial" w:cs="Arial" w:eastAsia="Arial" w:hAnsi="Arial"/>
          <w:sz w:val="18"/>
          <w:szCs w:val="18"/>
          <w:color w:val="auto"/>
        </w:rPr>
        <w:t>In connection with the Quarterly Report of KLX Energy Services Holdings, Inc. (the “Company”) on Form 10-Q for the quarter ended July 31, 2019, as filed with the Securities and Exchange Commission on the date hereof (the “Report”), I, Amin J. Khoury, Chairman, Chief Executive Officer and President of the Company, certify that to the best of my knowledge:</w:t>
      </w:r>
    </w:p>
    <w:p>
      <w:pPr>
        <w:spacing w:after="0" w:line="82" w:lineRule="exact"/>
        <w:rPr>
          <w:sz w:val="20"/>
          <w:szCs w:val="20"/>
          <w:color w:val="auto"/>
        </w:rPr>
      </w:pPr>
    </w:p>
    <w:p>
      <w:pPr>
        <w:ind w:left="660" w:right="140" w:hanging="657"/>
        <w:spacing w:after="0" w:line="22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81" w:lineRule="exact"/>
        <w:rPr>
          <w:rFonts w:ascii="Arial" w:cs="Arial" w:eastAsia="Arial" w:hAnsi="Arial"/>
          <w:sz w:val="18"/>
          <w:szCs w:val="18"/>
          <w:color w:val="auto"/>
        </w:rPr>
      </w:pPr>
    </w:p>
    <w:p>
      <w:pPr>
        <w:ind w:left="660" w:hanging="657"/>
        <w:spacing w:after="0" w:line="22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87" w:lineRule="exact"/>
        <w:rPr>
          <w:sz w:val="20"/>
          <w:szCs w:val="20"/>
          <w:color w:val="auto"/>
        </w:rPr>
      </w:pPr>
    </w:p>
    <w:p>
      <w:pPr>
        <w:spacing w:after="0"/>
        <w:tabs>
          <w:tab w:leader="none" w:pos="4620" w:val="left"/>
          <w:tab w:leader="none" w:pos="5060" w:val="left"/>
        </w:tabs>
        <w:rPr>
          <w:sz w:val="20"/>
          <w:szCs w:val="20"/>
          <w:color w:val="auto"/>
        </w:rPr>
      </w:pPr>
      <w:r>
        <w:rPr>
          <w:rFonts w:ascii="Arial" w:cs="Arial" w:eastAsia="Arial" w:hAnsi="Arial"/>
          <w:sz w:val="18"/>
          <w:szCs w:val="18"/>
          <w:color w:val="auto"/>
        </w:rPr>
        <w:t>Date: August 22,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Amin J. Khoury</w:t>
      </w:r>
    </w:p>
    <w:p>
      <w:pPr>
        <w:ind w:left="5080"/>
        <w:spacing w:after="0" w:line="203" w:lineRule="auto"/>
        <w:rPr>
          <w:sz w:val="20"/>
          <w:szCs w:val="20"/>
          <w:color w:val="auto"/>
        </w:rPr>
      </w:pPr>
      <w:r>
        <w:rPr>
          <w:rFonts w:ascii="Arial" w:cs="Arial" w:eastAsia="Arial" w:hAnsi="Arial"/>
          <w:sz w:val="18"/>
          <w:szCs w:val="18"/>
          <w:color w:val="auto"/>
        </w:rPr>
        <w:t>Amin J. Khoury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3226435</wp:posOffset>
            </wp:positionH>
            <wp:positionV relativeFrom="paragraph">
              <wp:posOffset>-109855</wp:posOffset>
            </wp:positionV>
            <wp:extent cx="252984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ind w:left="5080"/>
        <w:spacing w:after="0"/>
        <w:rPr>
          <w:sz w:val="20"/>
          <w:szCs w:val="20"/>
          <w:color w:val="auto"/>
        </w:rPr>
      </w:pPr>
      <w:r>
        <w:rPr>
          <w:rFonts w:ascii="Arial" w:cs="Arial" w:eastAsia="Arial" w:hAnsi="Arial"/>
          <w:sz w:val="18"/>
          <w:szCs w:val="18"/>
          <w:color w:val="auto"/>
        </w:rPr>
        <w:t>Chairman, Chief Executive Officer and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469265</wp:posOffset>
            </wp:positionV>
            <wp:extent cx="5754370"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4" w:right="141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32.2</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KLX ENERGY SERVICES HOLDINGS, INC.</w:t>
      </w:r>
    </w:p>
    <w:p>
      <w:pPr>
        <w:jc w:val="center"/>
        <w:spacing w:after="0" w:line="203" w:lineRule="auto"/>
        <w:rPr>
          <w:sz w:val="20"/>
          <w:szCs w:val="20"/>
          <w:color w:val="auto"/>
        </w:rPr>
      </w:pPr>
      <w:r>
        <w:rPr>
          <w:rFonts w:ascii="Arial" w:cs="Arial" w:eastAsia="Arial" w:hAnsi="Arial"/>
          <w:sz w:val="18"/>
          <w:szCs w:val="18"/>
          <w:b w:val="1"/>
          <w:bCs w:val="1"/>
          <w:color w:val="auto"/>
        </w:rPr>
        <w:t>CERTIFICATION PURSUANT TO</w:t>
      </w:r>
    </w:p>
    <w:p>
      <w:pPr>
        <w:jc w:val="center"/>
        <w:spacing w:after="0" w:line="204" w:lineRule="auto"/>
        <w:rPr>
          <w:sz w:val="20"/>
          <w:szCs w:val="20"/>
          <w:color w:val="auto"/>
        </w:rPr>
      </w:pPr>
      <w:r>
        <w:rPr>
          <w:rFonts w:ascii="Arial" w:cs="Arial" w:eastAsia="Arial" w:hAnsi="Arial"/>
          <w:sz w:val="18"/>
          <w:szCs w:val="18"/>
          <w:b w:val="1"/>
          <w:bCs w:val="1"/>
          <w:color w:val="auto"/>
        </w:rPr>
        <w:t>18 U.S.C. SECTION 1350</w:t>
      </w:r>
    </w:p>
    <w:p>
      <w:pPr>
        <w:jc w:val="center"/>
        <w:spacing w:after="0" w:line="203" w:lineRule="auto"/>
        <w:rPr>
          <w:sz w:val="20"/>
          <w:szCs w:val="20"/>
          <w:color w:val="auto"/>
        </w:rPr>
      </w:pPr>
      <w:r>
        <w:rPr>
          <w:rFonts w:ascii="Arial" w:cs="Arial" w:eastAsia="Arial" w:hAnsi="Arial"/>
          <w:sz w:val="18"/>
          <w:szCs w:val="18"/>
          <w:b w:val="1"/>
          <w:bCs w:val="1"/>
          <w:color w:val="auto"/>
        </w:rPr>
        <w:t>AS REQUIRED BY</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44" w:lineRule="exact"/>
        <w:rPr>
          <w:sz w:val="20"/>
          <w:szCs w:val="20"/>
          <w:color w:val="auto"/>
        </w:rPr>
      </w:pPr>
    </w:p>
    <w:p>
      <w:pPr>
        <w:spacing w:after="0" w:line="215" w:lineRule="auto"/>
        <w:rPr>
          <w:sz w:val="20"/>
          <w:szCs w:val="20"/>
          <w:color w:val="auto"/>
        </w:rPr>
      </w:pPr>
      <w:r>
        <w:rPr>
          <w:rFonts w:ascii="Arial" w:cs="Arial" w:eastAsia="Arial" w:hAnsi="Arial"/>
          <w:sz w:val="18"/>
          <w:szCs w:val="18"/>
          <w:color w:val="auto"/>
        </w:rPr>
        <w:t>In connection with the Quarterly Report of KLX Energy Services Holdings, Inc. (the “Company”) on Form 10-Q for the quarter ended July 31, 2019, as filed with the Securities and Exchange Commission on the date hereof (the “Report”), I, Thomas P. McCaffrey, Senior Vice President and Chief Financial Officer of the Company, certify that to the best of my knowledge:</w:t>
      </w:r>
    </w:p>
    <w:p>
      <w:pPr>
        <w:spacing w:after="0" w:line="150" w:lineRule="exact"/>
        <w:rPr>
          <w:sz w:val="20"/>
          <w:szCs w:val="20"/>
          <w:color w:val="auto"/>
        </w:rPr>
      </w:pPr>
    </w:p>
    <w:p>
      <w:pPr>
        <w:ind w:left="660" w:right="140" w:hanging="657"/>
        <w:spacing w:after="0" w:line="22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5" w:lineRule="exact"/>
        <w:rPr>
          <w:rFonts w:ascii="Arial" w:cs="Arial" w:eastAsia="Arial" w:hAnsi="Arial"/>
          <w:sz w:val="18"/>
          <w:szCs w:val="18"/>
          <w:color w:val="auto"/>
        </w:rPr>
      </w:pPr>
    </w:p>
    <w:p>
      <w:pPr>
        <w:ind w:left="660" w:hanging="657"/>
        <w:spacing w:after="0" w:line="22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06" w:lineRule="exact"/>
        <w:rPr>
          <w:sz w:val="20"/>
          <w:szCs w:val="20"/>
          <w:color w:val="auto"/>
        </w:rPr>
      </w:pPr>
    </w:p>
    <w:p>
      <w:pPr>
        <w:spacing w:after="0"/>
        <w:tabs>
          <w:tab w:leader="none" w:pos="4600" w:val="left"/>
        </w:tabs>
        <w:rPr>
          <w:sz w:val="20"/>
          <w:szCs w:val="20"/>
          <w:color w:val="auto"/>
        </w:rPr>
      </w:pPr>
      <w:r>
        <w:rPr>
          <w:rFonts w:ascii="Arial" w:cs="Arial" w:eastAsia="Arial" w:hAnsi="Arial"/>
          <w:sz w:val="18"/>
          <w:szCs w:val="18"/>
          <w:color w:val="auto"/>
        </w:rPr>
        <w:t>Date: August 22, 2019</w:t>
      </w:r>
      <w:r>
        <w:rPr>
          <w:sz w:val="20"/>
          <w:szCs w:val="20"/>
          <w:color w:val="auto"/>
        </w:rPr>
        <w:tab/>
      </w:r>
      <w:r>
        <w:rPr>
          <w:rFonts w:ascii="Arial" w:cs="Arial" w:eastAsia="Arial" w:hAnsi="Arial"/>
          <w:sz w:val="18"/>
          <w:szCs w:val="18"/>
          <w:color w:val="auto"/>
        </w:rPr>
        <w:t>By: /s/ Thomas P. McCaffrey</w:t>
      </w:r>
    </w:p>
    <w:p>
      <w:pPr>
        <w:ind w:left="4960"/>
        <w:spacing w:after="0" w:line="203" w:lineRule="auto"/>
        <w:rPr>
          <w:sz w:val="20"/>
          <w:szCs w:val="20"/>
          <w:color w:val="auto"/>
        </w:rPr>
      </w:pPr>
      <w:r>
        <w:rPr>
          <w:rFonts w:ascii="Arial" w:cs="Arial" w:eastAsia="Arial" w:hAnsi="Arial"/>
          <w:sz w:val="18"/>
          <w:szCs w:val="18"/>
          <w:color w:val="auto"/>
        </w:rPr>
        <w:t>Thomas P. McCaffrey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3148965</wp:posOffset>
            </wp:positionH>
            <wp:positionV relativeFrom="paragraph">
              <wp:posOffset>-109855</wp:posOffset>
            </wp:positionV>
            <wp:extent cx="260731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ind w:left="4960"/>
        <w:spacing w:after="0"/>
        <w:rPr>
          <w:sz w:val="20"/>
          <w:szCs w:val="20"/>
          <w:color w:val="auto"/>
        </w:rPr>
      </w:pPr>
      <w:r>
        <w:rPr>
          <w:rFonts w:ascii="Arial" w:cs="Arial" w:eastAsia="Arial" w:hAnsi="Arial"/>
          <w:sz w:val="18"/>
          <w:szCs w:val="18"/>
          <w:color w:val="auto"/>
        </w:rPr>
        <w:t>Senior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469265</wp:posOffset>
            </wp:positionV>
            <wp:extent cx="5754370"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4" w:right="1419" w:bottom="1440" w:gutter="0" w:footer="0" w:header="0"/>
        </w:sectPr>
      </w:pPr>
    </w:p>
    <w:bookmarkStart w:id="51" w:name="page52"/>
    <w:bookmarkEnd w:id="5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F16E9E8"/>
    <w:multiLevelType w:val="hybridMultilevel"/>
    <w:lvl w:ilvl="0">
      <w:lvlJc w:val="left"/>
      <w:lvlText w:val="(%1)"/>
      <w:numFmt w:val="decimal"/>
      <w:start w:val="1"/>
    </w:lvl>
  </w:abstractNum>
  <w:abstractNum w:abstractNumId="1">
    <w:nsid w:val="1190CDE7"/>
    <w:multiLevelType w:val="hybridMultilevel"/>
    <w:lvl w:ilvl="0">
      <w:lvlJc w:val="left"/>
      <w:lvlText w:val="(%1)"/>
      <w:numFmt w:val="decimal"/>
      <w:start w:val="1"/>
    </w:lvl>
  </w:abstractNum>
  <w:abstractNum w:abstractNumId="2">
    <w:nsid w:val="66EF438D"/>
    <w:multiLevelType w:val="hybridMultilevel"/>
    <w:lvl w:ilvl="0">
      <w:lvlJc w:val="left"/>
      <w:lvlText w:val="·"/>
      <w:numFmt w:val="bullet"/>
      <w:start w:val="1"/>
    </w:lvl>
  </w:abstractNum>
  <w:abstractNum w:abstractNumId="3">
    <w:nsid w:val="140E0F76"/>
    <w:multiLevelType w:val="hybridMultilevel"/>
    <w:lvl w:ilvl="0">
      <w:lvlJc w:val="left"/>
      <w:lvlText w:val="·"/>
      <w:numFmt w:val="bullet"/>
      <w:start w:val="1"/>
    </w:lvl>
  </w:abstractNum>
  <w:abstractNum w:abstractNumId="4">
    <w:nsid w:val="3352255A"/>
    <w:multiLevelType w:val="hybridMultilevel"/>
    <w:lvl w:ilvl="0">
      <w:lvlJc w:val="left"/>
      <w:lvlText w:val="·"/>
      <w:numFmt w:val="bullet"/>
      <w:start w:val="1"/>
    </w:lvl>
  </w:abstractNum>
  <w:abstractNum w:abstractNumId="5">
    <w:nsid w:val="109CF92E"/>
    <w:multiLevelType w:val="hybridMultilevel"/>
    <w:lvl w:ilvl="0">
      <w:lvlJc w:val="left"/>
      <w:lvlText w:val="·"/>
      <w:numFmt w:val="bullet"/>
      <w:start w:val="1"/>
    </w:lvl>
  </w:abstractNum>
  <w:abstractNum w:abstractNumId="6">
    <w:nsid w:val="DED7263"/>
    <w:multiLevelType w:val="hybridMultilevel"/>
    <w:lvl w:ilvl="0">
      <w:lvlJc w:val="left"/>
      <w:lvlText w:val="a"/>
      <w:numFmt w:val="bullet"/>
      <w:start w:val="1"/>
    </w:lvl>
  </w:abstractNum>
  <w:abstractNum w:abstractNumId="7">
    <w:nsid w:val="7FDCC233"/>
    <w:multiLevelType w:val="hybridMultilevel"/>
    <w:lvl w:ilvl="0">
      <w:lvlJc w:val="left"/>
      <w:lvlText w:val="(%1)"/>
      <w:numFmt w:val="decimal"/>
      <w:start w:val="1"/>
    </w:lvl>
  </w:abstractNum>
  <w:abstractNum w:abstractNumId="8">
    <w:nsid w:val="1BEFD79F"/>
    <w:multiLevelType w:val="hybridMultilevel"/>
    <w:lvl w:ilvl="0">
      <w:lvlJc w:val="left"/>
      <w:lvlText w:val="·"/>
      <w:numFmt w:val="bullet"/>
      <w:start w:val="1"/>
    </w:lvl>
  </w:abstractNum>
  <w:abstractNum w:abstractNumId="9">
    <w:nsid w:val="41A7C4C9"/>
    <w:multiLevelType w:val="hybridMultilevel"/>
    <w:lvl w:ilvl="0">
      <w:lvlJc w:val="left"/>
      <w:lvlText w:val="%1."/>
      <w:numFmt w:val="decimal"/>
      <w:start w:val="1"/>
    </w:lvl>
  </w:abstractNum>
  <w:abstractNum w:abstractNumId="10">
    <w:nsid w:val="6B68079A"/>
    <w:multiLevelType w:val="hybridMultilevel"/>
    <w:lvl w:ilvl="0">
      <w:lvlJc w:val="left"/>
      <w:lvlText w:val="%1."/>
      <w:numFmt w:val="decimal"/>
      <w:start w:val="1"/>
    </w:lvl>
  </w:abstractNum>
  <w:abstractNum w:abstractNumId="11">
    <w:nsid w:val="4E6AFB66"/>
    <w:multiLevelType w:val="hybridMultilevel"/>
    <w:lvl w:ilvl="0">
      <w:lvlJc w:val="left"/>
      <w:lvlText w:val="%1."/>
      <w:numFmt w:val="decimal"/>
      <w:start w:val="6"/>
    </w:lvl>
  </w:abstractNum>
  <w:abstractNum w:abstractNumId="12">
    <w:nsid w:val="25E45D32"/>
    <w:multiLevelType w:val="hybridMultilevel"/>
    <w:lvl w:ilvl="0">
      <w:lvlJc w:val="left"/>
      <w:lvlText w:val="%1."/>
      <w:numFmt w:val="upperLetter"/>
      <w:start w:val="1"/>
    </w:lvl>
  </w:abstractNum>
  <w:abstractNum w:abstractNumId="13">
    <w:nsid w:val="519B500D"/>
    <w:multiLevelType w:val="hybridMultilevel"/>
    <w:lvl w:ilvl="0">
      <w:lvlJc w:val="left"/>
      <w:lvlText w:val="(%1)"/>
      <w:numFmt w:val="lowerLetter"/>
      <w:start w:val="1"/>
    </w:lvl>
  </w:abstractNum>
  <w:abstractNum w:abstractNumId="14">
    <w:nsid w:val="431BD7B7"/>
    <w:multiLevelType w:val="hybridMultilevel"/>
    <w:lvl w:ilvl="0">
      <w:lvlJc w:val="left"/>
      <w:lvlText w:val="(%1)"/>
      <w:numFmt w:val="lowerLetter"/>
      <w:start w:val="1"/>
    </w:lvl>
  </w:abstractNum>
  <w:abstractNum w:abstractNumId="15">
    <w:nsid w:val="3F2DBA31"/>
    <w:multiLevelType w:val="hybridMultilevel"/>
    <w:lvl w:ilvl="0">
      <w:lvlJc w:val="left"/>
      <w:lvlText w:val="(%1)"/>
      <w:numFmt w:val="lowerLetter"/>
      <w:start w:val="1"/>
    </w:lvl>
  </w:abstractNum>
  <w:abstractNum w:abstractNumId="16">
    <w:nsid w:val="7C83E458"/>
    <w:multiLevelType w:val="hybridMultilevel"/>
    <w:lvl w:ilvl="0">
      <w:lvlJc w:val="left"/>
      <w:lvlText w:val="(%1)"/>
      <w:numFmt w:val="lowerRoman"/>
      <w:start w:val="6"/>
    </w:lvl>
  </w:abstractNum>
  <w:abstractNum w:abstractNumId="17">
    <w:nsid w:val="257130A3"/>
    <w:multiLevelType w:val="hybridMultilevel"/>
    <w:lvl w:ilvl="0">
      <w:lvlJc w:val="left"/>
      <w:lvlText w:val="%1."/>
      <w:numFmt w:val="decimal"/>
      <w:start w:val="1"/>
    </w:lvl>
    <w:lvl w:ilvl="1">
      <w:lvlJc w:val="left"/>
      <w:lvlText w:val="%2."/>
      <w:numFmt w:val="lowerLetter"/>
      <w:start w:val="1"/>
    </w:lvl>
  </w:abstractNum>
  <w:abstractNum w:abstractNumId="18">
    <w:nsid w:val="62BBD95A"/>
    <w:multiLevelType w:val="hybridMultilevel"/>
    <w:lvl w:ilvl="0">
      <w:lvlJc w:val="left"/>
      <w:lvlText w:val="%1."/>
      <w:numFmt w:val="decimal"/>
      <w:start w:val="1"/>
    </w:lvl>
    <w:lvl w:ilvl="1">
      <w:lvlJc w:val="left"/>
      <w:lvlText w:val="%2."/>
      <w:numFmt w:val="lowerLetter"/>
      <w:start w:val="1"/>
    </w:lvl>
  </w:abstractNum>
  <w:abstractNum w:abstractNumId="19">
    <w:nsid w:val="436C6125"/>
    <w:multiLevelType w:val="hybridMultilevel"/>
    <w:lvl w:ilvl="0">
      <w:lvlJc w:val="left"/>
      <w:lvlText w:val="%1."/>
      <w:numFmt w:val="decimal"/>
      <w:start w:val="1"/>
    </w:lvl>
  </w:abstractNum>
  <w:abstractNum w:abstractNumId="20">
    <w:nsid w:val="628C895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2019-12-28T06:44:24Z</dcterms:created>
  <dcterms:modified xsi:type="dcterms:W3CDTF">2019-12-28T06:44:24Z</dcterms:modified>
</cp:coreProperties>
</file>