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7"/>
        <w:spacing w:after="0" w:line="193" w:lineRule="auto"/>
        <w:tabs>
          <w:tab w:leader="none" w:pos="320" w:val="left"/>
        </w:tabs>
        <w:numPr>
          <w:ilvl w:val="0"/>
          <w:numId w:val="1"/>
        </w:numPr>
        <w:rPr>
          <w:rFonts w:ascii="Arial" w:cs="Arial" w:eastAsia="Arial" w:hAnsi="Arial"/>
          <w:sz w:val="23"/>
          <w:szCs w:val="23"/>
          <w:color w:val="0000FF"/>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-238760</wp:posOffset>
            </wp:positionV>
            <wp:extent cx="109855" cy="156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1568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5245100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-563245</wp:posOffset>
            </wp:positionV>
            <wp:extent cx="127698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30480</wp:posOffset>
            </wp:positionV>
            <wp:extent cx="6974205"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368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40" w:space="520"/>
            <w:col w:w="84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3"/>
            <w:vMerge w:val="restart"/>
          </w:tcPr>
          <w:p>
            <w:pPr>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Bouthillette Max</w:t>
              </w:r>
            </w:hyperlink>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6"/>
          </w:tcPr>
          <w:p>
            <w:pPr>
              <w:ind w:left="60"/>
              <w:spacing w:after="0" w:line="99"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Quintana Energy Services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"QES"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5"/>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1"/>
                <w:szCs w:val="11"/>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520" w:type="dxa"/>
            <w:vAlign w:val="bottom"/>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6"/>
            <w:vMerge w:val="restart"/>
          </w:tcPr>
          <w:p>
            <w:pPr>
              <w:spacing w:after="0"/>
              <w:rPr>
                <w:sz w:val="20"/>
                <w:szCs w:val="20"/>
                <w:color w:val="auto"/>
              </w:rPr>
            </w:pPr>
            <w:r>
              <w:rPr>
                <w:rFonts w:ascii="Arial" w:cs="Arial" w:eastAsia="Arial" w:hAnsi="Arial"/>
                <w:sz w:val="16"/>
                <w:szCs w:val="16"/>
                <w:color w:val="0000FF"/>
              </w:rPr>
              <w:t>1415 LOUISIANA STREET, SUITE 2900</w:t>
            </w:r>
          </w:p>
        </w:tc>
        <w:tc>
          <w:tcPr>
            <w:tcW w:w="1320" w:type="dxa"/>
            <w:vAlign w:val="bottom"/>
            <w:gridSpan w:val="4"/>
            <w:vMerge w:val="restart"/>
          </w:tcPr>
          <w:p>
            <w:pPr>
              <w:ind w:left="260"/>
              <w:spacing w:after="0"/>
              <w:rPr>
                <w:sz w:val="20"/>
                <w:szCs w:val="20"/>
                <w:color w:val="auto"/>
              </w:rPr>
            </w:pPr>
            <w:r>
              <w:rPr>
                <w:rFonts w:ascii="Arial" w:cs="Arial" w:eastAsia="Arial" w:hAnsi="Arial"/>
                <w:sz w:val="16"/>
                <w:szCs w:val="16"/>
                <w:color w:val="0000FF"/>
              </w:rPr>
              <w:t>07/28/2020</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2"/>
                <w:szCs w:val="1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0000FF"/>
                <w:w w:val="97"/>
              </w:rPr>
              <w:t>TX</w:t>
            </w:r>
          </w:p>
        </w:tc>
        <w:tc>
          <w:tcPr>
            <w:tcW w:w="960" w:type="dxa"/>
            <w:vAlign w:val="bottom"/>
          </w:tcPr>
          <w:p>
            <w:pPr>
              <w:spacing w:after="0"/>
              <w:rPr>
                <w:sz w:val="4"/>
                <w:szCs w:val="4"/>
                <w:color w:val="auto"/>
              </w:rPr>
            </w:pPr>
          </w:p>
        </w:tc>
        <w:tc>
          <w:tcPr>
            <w:tcW w:w="1060" w:type="dxa"/>
            <w:vAlign w:val="bottom"/>
            <w:vMerge w:val="restart"/>
          </w:tcPr>
          <w:p>
            <w:pPr>
              <w:ind w:left="40"/>
              <w:spacing w:after="0"/>
              <w:rPr>
                <w:sz w:val="20"/>
                <w:szCs w:val="20"/>
                <w:color w:val="auto"/>
              </w:rPr>
            </w:pPr>
            <w:r>
              <w:rPr>
                <w:rFonts w:ascii="Arial" w:cs="Arial" w:eastAsia="Arial" w:hAnsi="Arial"/>
                <w:sz w:val="16"/>
                <w:szCs w:val="16"/>
                <w:color w:val="0000FF"/>
              </w:rPr>
              <w:t>77002</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7"/>
                <w:szCs w:val="7"/>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220" w:type="dxa"/>
            <w:vAlign w:val="bottom"/>
            <w:tcBorders>
              <w:top w:val="single" w:sz="8" w:color="2C2C2C"/>
            </w:tcBorders>
            <w:gridSpan w:val="15"/>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880"/>
              <w:spacing w:after="0" w:line="120"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5"/>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2"/>
                <w:szCs w:val="12"/>
                <w:color w:val="0000FF"/>
              </w:rPr>
              <w:t>M</w:t>
            </w:r>
          </w:p>
        </w:tc>
        <w:tc>
          <w:tcPr>
            <w:tcW w:w="720" w:type="dxa"/>
            <w:vAlign w:val="bottom"/>
          </w:tcPr>
          <w:p>
            <w:pPr>
              <w:jc w:val="center"/>
              <w:ind w:left="60"/>
              <w:spacing w:after="0"/>
              <w:rPr>
                <w:sz w:val="20"/>
                <w:szCs w:val="20"/>
                <w:color w:val="auto"/>
              </w:rPr>
            </w:pPr>
            <w:r>
              <w:rPr>
                <w:rFonts w:ascii="Arial" w:cs="Arial" w:eastAsia="Arial" w:hAnsi="Arial"/>
                <w:sz w:val="16"/>
                <w:szCs w:val="16"/>
                <w:color w:val="0000FF"/>
                <w:w w:val="89"/>
              </w:rPr>
              <w:t>22,844</w:t>
            </w:r>
          </w:p>
        </w:tc>
        <w:tc>
          <w:tcPr>
            <w:tcW w:w="620" w:type="dxa"/>
            <w:vAlign w:val="bottom"/>
          </w:tcPr>
          <w:p>
            <w:pPr>
              <w:ind w:left="320"/>
              <w:spacing w:after="0"/>
              <w:rPr>
                <w:sz w:val="20"/>
                <w:szCs w:val="20"/>
                <w:color w:val="auto"/>
              </w:rPr>
            </w:pPr>
            <w:r>
              <w:rPr>
                <w:rFonts w:ascii="Arial" w:cs="Arial" w:eastAsia="Arial" w:hAnsi="Arial"/>
                <w:sz w:val="16"/>
                <w:szCs w:val="16"/>
                <w:color w:val="0000FF"/>
              </w:rPr>
              <w:t>A</w:t>
            </w:r>
          </w:p>
        </w:tc>
        <w:tc>
          <w:tcPr>
            <w:tcW w:w="60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121,884</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2"/>
                <w:szCs w:val="12"/>
                <w:color w:val="0000FF"/>
              </w:rPr>
              <w:t>F</w:t>
            </w:r>
          </w:p>
        </w:tc>
        <w:tc>
          <w:tcPr>
            <w:tcW w:w="720" w:type="dxa"/>
            <w:vAlign w:val="bottom"/>
          </w:tcPr>
          <w:p>
            <w:pPr>
              <w:jc w:val="center"/>
              <w:ind w:left="60"/>
              <w:spacing w:after="0"/>
              <w:rPr>
                <w:sz w:val="20"/>
                <w:szCs w:val="20"/>
                <w:color w:val="auto"/>
              </w:rPr>
            </w:pPr>
            <w:r>
              <w:rPr>
                <w:rFonts w:ascii="Arial" w:cs="Arial" w:eastAsia="Arial" w:hAnsi="Arial"/>
                <w:sz w:val="16"/>
                <w:szCs w:val="16"/>
                <w:color w:val="0000FF"/>
                <w:w w:val="89"/>
              </w:rPr>
              <w:t>8,969</w:t>
            </w:r>
          </w:p>
        </w:tc>
        <w:tc>
          <w:tcPr>
            <w:tcW w:w="620" w:type="dxa"/>
            <w:vAlign w:val="bottom"/>
          </w:tcPr>
          <w:p>
            <w:pPr>
              <w:ind w:left="320"/>
              <w:spacing w:after="0"/>
              <w:rPr>
                <w:sz w:val="20"/>
                <w:szCs w:val="20"/>
                <w:color w:val="auto"/>
              </w:rPr>
            </w:pPr>
            <w:r>
              <w:rPr>
                <w:rFonts w:ascii="Arial" w:cs="Arial" w:eastAsia="Arial" w:hAnsi="Arial"/>
                <w:sz w:val="16"/>
                <w:szCs w:val="16"/>
                <w:color w:val="0000FF"/>
              </w:rPr>
              <w:t>D</w:t>
            </w:r>
          </w:p>
        </w:tc>
        <w:tc>
          <w:tcPr>
            <w:tcW w:w="60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1"/>
                <w:szCs w:val="21"/>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6"/>
                <w:szCs w:val="16"/>
                <w:color w:val="0000FF"/>
                <w:w w:val="86"/>
              </w:rPr>
              <w:t>112,896</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60"/>
              <w:spacing w:after="0"/>
              <w:rPr>
                <w:sz w:val="20"/>
                <w:szCs w:val="20"/>
                <w:color w:val="auto"/>
              </w:rPr>
            </w:pPr>
            <w:r>
              <w:rPr>
                <w:rFonts w:ascii="Arial" w:cs="Arial" w:eastAsia="Arial" w:hAnsi="Arial"/>
                <w:sz w:val="16"/>
                <w:szCs w:val="16"/>
                <w:color w:val="0000FF"/>
              </w:rPr>
              <w:t>07/28/2020</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4"/>
                <w:szCs w:val="24"/>
                <w:color w:val="0000FF"/>
                <w:w w:val="83"/>
                <w:vertAlign w:val="subscript"/>
              </w:rPr>
              <w:t>D</w:t>
            </w:r>
            <w:r>
              <w:rPr>
                <w:rFonts w:ascii="Arial" w:cs="Arial" w:eastAsia="Arial" w:hAnsi="Arial"/>
                <w:sz w:val="10"/>
                <w:szCs w:val="10"/>
                <w:color w:val="008000"/>
                <w:w w:val="83"/>
              </w:rPr>
              <w:t>(1)</w:t>
            </w:r>
          </w:p>
        </w:tc>
        <w:tc>
          <w:tcPr>
            <w:tcW w:w="7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0000FF"/>
                <w:w w:val="89"/>
              </w:rPr>
              <w:t>112,896</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gridSpan w:val="2"/>
          </w:tcPr>
          <w:p>
            <w:pPr>
              <w:ind w:left="260"/>
              <w:spacing w:after="0"/>
              <w:rPr>
                <w:sz w:val="20"/>
                <w:szCs w:val="20"/>
                <w:color w:val="auto"/>
              </w:rPr>
            </w:pPr>
            <w:r>
              <w:rPr>
                <w:rFonts w:ascii="Arial" w:cs="Arial" w:eastAsia="Arial" w:hAnsi="Arial"/>
                <w:sz w:val="10"/>
                <w:szCs w:val="10"/>
                <w:color w:val="008000"/>
              </w:rPr>
              <w:t>(1)</w:t>
            </w: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441"/>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81"/>
              </w:rPr>
              <w:t>8)</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Phantom</w:t>
            </w:r>
          </w:p>
        </w:tc>
        <w:tc>
          <w:tcPr>
            <w:tcW w:w="520" w:type="dxa"/>
            <w:vAlign w:val="bottom"/>
            <w:vMerge w:val="restart"/>
          </w:tcPr>
          <w:p>
            <w:pPr>
              <w:jc w:val="center"/>
              <w:ind w:left="146"/>
              <w:spacing w:after="0"/>
              <w:rPr>
                <w:sz w:val="20"/>
                <w:szCs w:val="20"/>
                <w:color w:val="auto"/>
              </w:rPr>
            </w:pPr>
            <w:r>
              <w:rPr>
                <w:rFonts w:ascii="Arial" w:cs="Arial" w:eastAsia="Arial" w:hAnsi="Arial"/>
                <w:sz w:val="10"/>
                <w:szCs w:val="10"/>
                <w:color w:val="008000"/>
                <w:w w:val="97"/>
              </w:rPr>
              <w:t>(2)</w:t>
            </w:r>
          </w:p>
        </w:tc>
        <w:tc>
          <w:tcPr>
            <w:tcW w:w="26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2"/>
                <w:szCs w:val="12"/>
                <w:color w:val="0000FF"/>
              </w:rPr>
              <w:t>M</w:t>
            </w:r>
          </w:p>
        </w:tc>
        <w:tc>
          <w:tcPr>
            <w:tcW w:w="60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color w:val="0000FF"/>
                <w:w w:val="92"/>
              </w:rPr>
              <w:t>22,844</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22,844</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540" w:type="dxa"/>
            <w:vAlign w:val="bottom"/>
            <w:vMerge w:val="restart"/>
          </w:tcPr>
          <w:p>
            <w:pPr>
              <w:jc w:val="center"/>
              <w:ind w:left="261"/>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w:t>
            </w: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6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(3)</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D</w:t>
            </w:r>
          </w:p>
        </w:tc>
        <w:tc>
          <w:tcPr>
            <w:tcW w:w="6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2"/>
              </w:rPr>
              <w:t>165,162</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165,162</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540" w:type="dxa"/>
            <w:vAlign w:val="bottom"/>
          </w:tcPr>
          <w:p>
            <w:pPr>
              <w:jc w:val="center"/>
              <w:ind w:left="261"/>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 Unit</w:t>
            </w: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6" w:lineRule="exact"/>
              <w:rPr>
                <w:sz w:val="20"/>
                <w:szCs w:val="20"/>
                <w:color w:val="auto"/>
              </w:rPr>
            </w:pPr>
            <w:r>
              <w:rPr>
                <w:rFonts w:ascii="Arial" w:cs="Arial" w:eastAsia="Arial" w:hAnsi="Arial"/>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(4)(5)</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A</w:t>
            </w:r>
          </w:p>
        </w:tc>
        <w:tc>
          <w:tcPr>
            <w:tcW w:w="600" w:type="dxa"/>
            <w:vAlign w:val="bottom"/>
          </w:tcPr>
          <w:p>
            <w:pPr>
              <w:ind w:left="80"/>
              <w:spacing w:after="0"/>
              <w:rPr>
                <w:sz w:val="20"/>
                <w:szCs w:val="20"/>
                <w:color w:val="auto"/>
              </w:rPr>
            </w:pPr>
            <w:r>
              <w:rPr>
                <w:rFonts w:ascii="Arial" w:cs="Arial" w:eastAsia="Arial" w:hAnsi="Arial"/>
                <w:sz w:val="12"/>
                <w:szCs w:val="12"/>
                <w:color w:val="0000FF"/>
              </w:rPr>
              <w:t>156,874</w:t>
            </w:r>
          </w:p>
        </w:tc>
        <w:tc>
          <w:tcPr>
            <w:tcW w:w="4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156,874</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860" w:type="dxa"/>
            <w:vAlign w:val="bottom"/>
            <w:gridSpan w:val="2"/>
          </w:tcPr>
          <w:p>
            <w:pPr>
              <w:jc w:val="center"/>
              <w:spacing w:after="0"/>
              <w:rPr>
                <w:sz w:val="20"/>
                <w:szCs w:val="20"/>
                <w:color w:val="auto"/>
              </w:rPr>
            </w:pPr>
            <w:r>
              <w:rPr>
                <w:rFonts w:ascii="Arial" w:cs="Arial" w:eastAsia="Arial" w:hAnsi="Arial"/>
                <w:sz w:val="12"/>
                <w:szCs w:val="12"/>
                <w:color w:val="0000FF"/>
                <w:w w:val="92"/>
              </w:rPr>
              <w:t>193,221</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Share Unit</w:t>
            </w: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6" w:lineRule="exact"/>
              <w:rPr>
                <w:sz w:val="20"/>
                <w:szCs w:val="20"/>
                <w:color w:val="auto"/>
              </w:rPr>
            </w:pPr>
            <w:r>
              <w:rPr>
                <w:rFonts w:ascii="Arial" w:cs="Arial" w:eastAsia="Arial" w:hAnsi="Arial"/>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w w:val="98"/>
              </w:rPr>
              <w:t>Performance</w:t>
            </w:r>
          </w:p>
        </w:tc>
        <w:tc>
          <w:tcPr>
            <w:tcW w:w="520" w:type="dxa"/>
            <w:vAlign w:val="bottom"/>
          </w:tcPr>
          <w:p>
            <w:pPr>
              <w:jc w:val="center"/>
              <w:ind w:left="146"/>
              <w:spacing w:after="0"/>
              <w:rPr>
                <w:sz w:val="20"/>
                <w:szCs w:val="20"/>
                <w:color w:val="auto"/>
              </w:rPr>
            </w:pPr>
            <w:r>
              <w:rPr>
                <w:rFonts w:ascii="Arial" w:cs="Arial" w:eastAsia="Arial" w:hAnsi="Arial"/>
                <w:sz w:val="10"/>
                <w:szCs w:val="10"/>
                <w:color w:val="008000"/>
                <w:w w:val="97"/>
              </w:rPr>
              <w:t>(4)(5)</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0000FF"/>
                <w:w w:val="93"/>
              </w:rPr>
              <w:t>07/28/2020</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color w:val="0000FF"/>
              </w:rPr>
              <w:t>D</w:t>
            </w:r>
          </w:p>
        </w:tc>
        <w:tc>
          <w:tcPr>
            <w:tcW w:w="6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2"/>
              </w:rPr>
              <w:t>193,221</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620" w:type="dxa"/>
            <w:vAlign w:val="bottom"/>
          </w:tcPr>
          <w:p>
            <w:pPr>
              <w:ind w:left="40"/>
              <w:spacing w:after="0"/>
              <w:rPr>
                <w:sz w:val="20"/>
                <w:szCs w:val="20"/>
                <w:color w:val="auto"/>
              </w:rPr>
            </w:pPr>
            <w:r>
              <w:rPr>
                <w:rFonts w:ascii="Arial" w:cs="Arial" w:eastAsia="Arial" w:hAnsi="Arial"/>
                <w:sz w:val="12"/>
                <w:szCs w:val="12"/>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6"/>
                <w:szCs w:val="16"/>
                <w:color w:val="0000FF"/>
                <w:w w:val="89"/>
              </w:rPr>
              <w:t>193,221</w:t>
            </w: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(4)(5)</w:t>
            </w:r>
          </w:p>
        </w:tc>
        <w:tc>
          <w:tcPr>
            <w:tcW w:w="540" w:type="dxa"/>
            <w:vAlign w:val="bottom"/>
          </w:tcPr>
          <w:p>
            <w:pPr>
              <w:jc w:val="center"/>
              <w:ind w:left="261"/>
              <w:spacing w:after="0"/>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Share Unit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0000FF"/>
              </w:rPr>
              <w:t>Stock</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-3718560</wp:posOffset>
            </wp:positionV>
            <wp:extent cx="7036435" cy="372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372173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jc w:val="both"/>
        <w:ind w:left="40" w:right="160" w:hanging="4"/>
        <w:spacing w:after="0" w:line="276"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 Pursuant to the Merger Agreement, at the effective time of the Merger, each share of QES's common stock was converted into, and became exchangeable for, 0.0969 shares of KLXE common stock. On July 27, 2020 (the last trading day prior to consummation of the Merger and KLXE's 1-for-5 reverse stock split), the closing price of one share of KLXE common stock was $2.00 and the closing price of one share of QES common stock was $0.93.</w:t>
      </w:r>
    </w:p>
    <w:p>
      <w:pPr>
        <w:spacing w:after="0" w:line="10" w:lineRule="exact"/>
        <w:rPr>
          <w:rFonts w:ascii="Arial" w:cs="Arial" w:eastAsia="Arial" w:hAnsi="Arial"/>
          <w:sz w:val="11"/>
          <w:szCs w:val="11"/>
          <w:color w:val="008000"/>
        </w:rPr>
      </w:pPr>
    </w:p>
    <w:p>
      <w:pPr>
        <w:ind w:left="40" w:right="280" w:hanging="4"/>
        <w:spacing w:after="0" w:line="267"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of the Merger, each outstanding QES phantom share unit became fully vested and was cancelled and converted into the right to receive 0.0969 shares of KLXE common stock.</w:t>
      </w:r>
    </w:p>
    <w:p>
      <w:pPr>
        <w:spacing w:after="0" w:line="13" w:lineRule="exact"/>
        <w:rPr>
          <w:rFonts w:ascii="Arial" w:cs="Arial" w:eastAsia="Arial" w:hAnsi="Arial"/>
          <w:sz w:val="12"/>
          <w:szCs w:val="12"/>
          <w:color w:val="008000"/>
        </w:rPr>
      </w:pPr>
    </w:p>
    <w:p>
      <w:pPr>
        <w:ind w:left="40" w:right="280" w:hanging="4"/>
        <w:spacing w:after="0" w:line="251"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of the Merger, each outstanding QES restricted stock unit award subject to time-based vesting was cancelled and converted into a KLXE restricted stock unit award equal to the number of outstanding QES restricted stock units multiplied by 0.0969. The KLXE restricted stock unit award will otherwise continue on the same terms and conditions as were applicable to the QES restricted stock unit award.</w:t>
      </w:r>
    </w:p>
    <w:p>
      <w:pPr>
        <w:spacing w:after="0" w:line="23" w:lineRule="exact"/>
        <w:rPr>
          <w:rFonts w:ascii="Arial" w:cs="Arial" w:eastAsia="Arial" w:hAnsi="Arial"/>
          <w:sz w:val="12"/>
          <w:szCs w:val="12"/>
          <w:color w:val="008000"/>
        </w:rPr>
      </w:pPr>
    </w:p>
    <w:p>
      <w:pPr>
        <w:ind w:left="40" w:right="200" w:hanging="4"/>
        <w:spacing w:after="0" w:line="304"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Merger Agreement, at the effective time of the Merger, each outstanding QES performance share unit award was cancelled and converted into a KLXE restricted stock unit award equal to the number of outstanding QES performance share units that were earned based on actual achievement of the applicable performance goals in accordance with the Merger Agreement multiplied by 0.0969.</w:t>
      </w:r>
    </w:p>
    <w:p>
      <w:pPr>
        <w:ind w:left="40" w:right="300" w:hanging="4"/>
        <w:spacing w:after="0" w:line="246"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4) With respect to such KLXE restricted stock unit award, the portion based on a QES performance share unit award granted in 2019 determined to have been earned based on discretionary performance goals and the portion based on a QES performance share unit award granted in 2020 subject to a strategic performance goals, in each case, will be settled in cash following the vesting of such KLXE restricted stock unit. The KLXE restricted stock unit award will otherwise continue on the same terms and conditions as were applicable to the QES performance share unit award (other than any performance-based vesting conditions).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Executive Vice President, General Counsel and Chief Compliance Officer</w:t>
      </w:r>
    </w:p>
    <w:p>
      <w:pPr>
        <w:ind w:left="6600"/>
        <w:spacing w:after="0" w:line="184" w:lineRule="auto"/>
        <w:rPr>
          <w:sz w:val="20"/>
          <w:szCs w:val="20"/>
          <w:color w:val="auto"/>
        </w:rPr>
      </w:pPr>
      <w:r>
        <w:rPr>
          <w:rFonts w:ascii="Arial" w:cs="Arial" w:eastAsia="Arial" w:hAnsi="Arial"/>
          <w:sz w:val="16"/>
          <w:szCs w:val="16"/>
          <w:color w:val="0000FF"/>
        </w:rPr>
        <w:t xml:space="preserve">/s/ Max L. Bouthillette, attorney- </w:t>
      </w:r>
      <w:r>
        <w:rPr>
          <w:rFonts w:ascii="Arial" w:cs="Arial" w:eastAsia="Arial" w:hAnsi="Arial"/>
          <w:sz w:val="32"/>
          <w:szCs w:val="32"/>
          <w:color w:val="0000FF"/>
          <w:vertAlign w:val="subscript"/>
        </w:rPr>
        <w:t>07/28/2020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46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2660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2741" TargetMode="External"/><Relationship Id="rId14" Type="http://schemas.openxmlformats.org/officeDocument/2006/relationships/hyperlink" Target="http://www.sec.gov/cgi-bin/browse-edgar?action=getcompany&amp;CIK=0001704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2020-07-30T17:19:05Z</dcterms:created>
  <dcterms:modified xsi:type="dcterms:W3CDTF">2020-07-30T17:19:05Z</dcterms:modified>
</cp:coreProperties>
</file>