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15</w:t>
      </w:r>
    </w:p>
    <w:p>
      <w:pPr>
        <w:spacing w:after="0" w:line="215" w:lineRule="exact"/>
        <w:rPr>
          <w:sz w:val="24"/>
          <w:szCs w:val="24"/>
          <w:color w:val="auto"/>
        </w:rPr>
      </w:pPr>
    </w:p>
    <w:p>
      <w:pPr>
        <w:jc w:val="center"/>
        <w:ind w:left="68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20"/>
        <w:spacing w:after="0"/>
        <w:rPr>
          <w:sz w:val="20"/>
          <w:szCs w:val="20"/>
          <w:color w:val="auto"/>
        </w:rPr>
      </w:pPr>
      <w:r>
        <w:rPr>
          <w:rFonts w:ascii="Arial" w:cs="Arial" w:eastAsia="Arial" w:hAnsi="Arial"/>
          <w:sz w:val="18"/>
          <w:szCs w:val="18"/>
          <w:color w:val="auto"/>
        </w:rPr>
        <w:t>Commission File Number 001-38383</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QUINTANA ENERGY SERVICES INC.</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1415 Louisiana Street, Suite 2900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Texas 77002</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(832) 518-4094</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each class of securities covered by this Form)</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2"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280"/>
          </w:cols>
          <w:pgMar w:left="320" w:top="414" w:right="299" w:bottom="1440" w:gutter="0" w:footer="0" w:header="0"/>
        </w:sectPr>
      </w:pPr>
    </w:p>
    <w:p>
      <w:pPr>
        <w:spacing w:after="0" w:line="237"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0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0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18" w:lineRule="exact"/>
        <w:rPr>
          <w:sz w:val="24"/>
          <w:szCs w:val="24"/>
          <w:color w:val="auto"/>
        </w:rPr>
      </w:pPr>
    </w:p>
    <w:p>
      <w:pPr>
        <w:sectPr>
          <w:pgSz w:w="11900" w:h="16838" w:orient="portrait"/>
          <w:cols w:equalWidth="0" w:num="2">
            <w:col w:w="3900" w:space="620"/>
            <w:col w:w="6760"/>
          </w:cols>
          <w:pgMar w:left="320" w:top="414" w:right="299" w:bottom="1440" w:gutter="0" w:footer="0" w:header="0"/>
          <w:type w:val="continuous"/>
        </w:sectPr>
      </w:pPr>
    </w:p>
    <w:p>
      <w:pPr>
        <w:ind w:left="320"/>
        <w:spacing w:after="0"/>
        <w:rPr>
          <w:sz w:val="20"/>
          <w:szCs w:val="20"/>
          <w:color w:val="auto"/>
        </w:rPr>
      </w:pPr>
      <w:r>
        <w:rPr>
          <w:rFonts w:ascii="Arial" w:cs="Arial" w:eastAsia="Arial" w:hAnsi="Arial"/>
          <w:sz w:val="18"/>
          <w:szCs w:val="18"/>
          <w:color w:val="auto"/>
        </w:rPr>
        <w:t xml:space="preserve">Approximate number of holders of record as of the certification or notice date: </w:t>
      </w:r>
      <w:r>
        <w:rPr>
          <w:rFonts w:ascii="Arial" w:cs="Arial" w:eastAsia="Arial" w:hAnsi="Arial"/>
          <w:sz w:val="18"/>
          <w:szCs w:val="18"/>
          <w:b w:val="1"/>
          <w:bCs w:val="1"/>
          <w:color w:val="auto"/>
        </w:rPr>
        <w:t>1</w:t>
      </w:r>
    </w:p>
    <w:p>
      <w:pPr>
        <w:spacing w:after="0" w:line="220" w:lineRule="exact"/>
        <w:rPr>
          <w:sz w:val="24"/>
          <w:szCs w:val="24"/>
          <w:color w:val="auto"/>
        </w:rPr>
      </w:pPr>
    </w:p>
    <w:p>
      <w:pPr>
        <w:ind w:right="140" w:firstLine="315"/>
        <w:spacing w:after="0" w:line="261" w:lineRule="auto"/>
        <w:rPr>
          <w:sz w:val="20"/>
          <w:szCs w:val="20"/>
          <w:color w:val="auto"/>
        </w:rPr>
      </w:pPr>
      <w:r>
        <w:rPr>
          <w:rFonts w:ascii="Arial" w:cs="Arial" w:eastAsia="Arial" w:hAnsi="Arial"/>
          <w:sz w:val="18"/>
          <w:szCs w:val="18"/>
          <w:color w:val="auto"/>
        </w:rPr>
        <w:t>Pursuant to the requirements of the Securities Exchange Act of 1934, Quintana Energy Services Inc. has caused this certification/notice to be signed on its behalf by the undersigned duly authorized person.</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Date:  August 14, 2020</w:t>
            </w:r>
          </w:p>
        </w:tc>
        <w:tc>
          <w:tcPr>
            <w:tcW w:w="3520" w:type="dxa"/>
            <w:vAlign w:val="bottom"/>
          </w:tcPr>
          <w:p>
            <w:pPr>
              <w:ind w:left="2820"/>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Christopher J. Baker</w:t>
            </w:r>
          </w:p>
        </w:tc>
        <w:tc>
          <w:tcPr>
            <w:tcW w:w="400" w:type="dxa"/>
            <w:vAlign w:val="bottom"/>
          </w:tcPr>
          <w:p>
            <w:pPr>
              <w:spacing w:after="0"/>
              <w:rPr>
                <w:sz w:val="19"/>
                <w:szCs w:val="19"/>
                <w:color w:val="auto"/>
              </w:rPr>
            </w:pPr>
          </w:p>
        </w:tc>
      </w:tr>
      <w:tr>
        <w:trPr>
          <w:trHeight w:val="192"/>
        </w:trPr>
        <w:tc>
          <w:tcPr>
            <w:tcW w:w="58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3520" w:type="dxa"/>
            <w:vAlign w:val="bottom"/>
          </w:tcPr>
          <w:p>
            <w:pPr>
              <w:ind w:left="2820"/>
              <w:spacing w:after="0" w:line="192"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20"/>
              <w:spacing w:after="0" w:line="192" w:lineRule="exact"/>
              <w:rPr>
                <w:sz w:val="20"/>
                <w:szCs w:val="20"/>
                <w:color w:val="auto"/>
              </w:rPr>
            </w:pPr>
            <w:r>
              <w:rPr>
                <w:rFonts w:ascii="Arial" w:cs="Arial" w:eastAsia="Arial" w:hAnsi="Arial"/>
                <w:sz w:val="18"/>
                <w:szCs w:val="18"/>
                <w:color w:val="auto"/>
              </w:rPr>
              <w:t>Christopher J. Baker</w:t>
            </w:r>
          </w:p>
        </w:tc>
        <w:tc>
          <w:tcPr>
            <w:tcW w:w="400" w:type="dxa"/>
            <w:vAlign w:val="bottom"/>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820"/>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President, Treasurer and Director</w:t>
            </w:r>
          </w:p>
        </w:tc>
        <w:tc>
          <w:tcPr>
            <w:tcW w:w="40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-28575</wp:posOffset>
            </wp:positionV>
            <wp:extent cx="1270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280"/>
      </w:cols>
      <w:pgMar w:left="320" w:top="41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2020-08-14T14:37:04Z</dcterms:created>
  <dcterms:modified xsi:type="dcterms:W3CDTF">2020-08-14T14:37:04Z</dcterms:modified>
</cp:coreProperties>
</file>