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80645</wp:posOffset>
            </wp:positionV>
            <wp:extent cx="1724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2" w:lineRule="exact"/>
        <w:rPr>
          <w:sz w:val="24"/>
          <w:szCs w:val="24"/>
          <w:color w:val="auto"/>
        </w:rPr>
      </w:pPr>
    </w:p>
    <w:p>
      <w:pPr>
        <w:ind w:left="3940" w:right="2380" w:hanging="3391"/>
        <w:spacing w:after="0" w:line="359" w:lineRule="auto"/>
        <w:tabs>
          <w:tab w:leader="none" w:pos="7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2025</w:t>
      </w:r>
    </w:p>
    <w:p>
      <w:pPr>
        <w:spacing w:after="0" w:line="57" w:lineRule="exact"/>
        <w:rPr>
          <w:sz w:val="24"/>
          <w:szCs w:val="24"/>
          <w:color w:val="auto"/>
        </w:rPr>
      </w:pPr>
    </w:p>
    <w:p>
      <w:pPr>
        <w:ind w:left="800" w:hanging="251"/>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5" w:lineRule="exact"/>
        <w:rPr>
          <w:sz w:val="24"/>
          <w:szCs w:val="24"/>
          <w:color w:val="auto"/>
        </w:rPr>
      </w:pPr>
    </w:p>
    <w:p>
      <w:pPr>
        <w:ind w:left="4080"/>
        <w:spacing w:after="0"/>
        <w:tabs>
          <w:tab w:leader="none" w:pos="70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-4445</wp:posOffset>
            </wp:positionV>
            <wp:extent cx="509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36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Commission File No. 001-38609</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6"/>
          <w:szCs w:val="36"/>
          <w:b w:val="1"/>
          <w:bCs w:val="1"/>
          <w:color w:val="auto"/>
        </w:rPr>
        <w:t>KLX Energy Services Holdings, Inc.</w:t>
      </w:r>
    </w:p>
    <w:p>
      <w:pPr>
        <w:spacing w:after="0" w:line="4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340"/>
          </w:cols>
          <w:pgMar w:left="320" w:top="757" w:right="239" w:bottom="1440" w:gutter="0" w:footer="0" w:header="0"/>
        </w:sectPr>
      </w:pPr>
    </w:p>
    <w:p>
      <w:pPr>
        <w:spacing w:after="0" w:line="13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color w:val="auto"/>
        </w:rPr>
        <w:t>Delaware</w:t>
      </w:r>
    </w:p>
    <w:p>
      <w:pPr>
        <w:spacing w:after="0" w:line="3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color w:val="auto"/>
        </w:rPr>
        <w:t>36-4904146</w:t>
      </w: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40" w:space="720"/>
            <w:col w:w="4180"/>
          </w:cols>
          <w:pgMar w:left="320" w:top="757" w:right="239" w:bottom="1440" w:gutter="0" w:footer="0" w:header="0"/>
          <w:type w:val="continuous"/>
        </w:sectPr>
      </w:pPr>
    </w:p>
    <w:p>
      <w:pPr>
        <w:spacing w:after="0" w:line="1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3040 Post Oak Boulevard, 15th Floor</w:t>
      </w:r>
    </w:p>
    <w:p>
      <w:pPr>
        <w:spacing w:after="0" w:line="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Houston, TX 77056</w:t>
      </w:r>
    </w:p>
    <w:p>
      <w:pPr>
        <w:spacing w:after="0" w:line="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(832) 844-1015</w:t>
      </w:r>
    </w:p>
    <w:p>
      <w:pPr>
        <w:spacing w:after="0" w:line="23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principal executive offices of registrant)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77"/>
        </w:trPr>
        <w:tc>
          <w:tcPr>
            <w:tcW w:w="36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5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300" w:type="dxa"/>
            <w:vAlign w:val="bottom"/>
          </w:tcPr>
          <w:p>
            <w:pPr>
              <w:spacing w:after="0"/>
              <w:rPr>
                <w:sz w:val="17"/>
                <w:szCs w:val="17"/>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KLXE</w:t>
            </w:r>
          </w:p>
        </w:tc>
        <w:tc>
          <w:tcPr>
            <w:tcW w:w="300" w:type="dxa"/>
            <w:vAlign w:val="bottom"/>
          </w:tcPr>
          <w:p>
            <w:pPr>
              <w:spacing w:after="0"/>
              <w:rPr>
                <w:sz w:val="17"/>
                <w:szCs w:val="17"/>
                <w:color w:val="auto"/>
              </w:rPr>
            </w:pPr>
          </w:p>
        </w:tc>
        <w:tc>
          <w:tcPr>
            <w:tcW w:w="5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12" w:lineRule="exact"/>
        <w:rPr>
          <w:sz w:val="24"/>
          <w:szCs w:val="24"/>
          <w:color w:val="auto"/>
        </w:rPr>
      </w:pPr>
    </w:p>
    <w:p>
      <w:pPr>
        <w:jc w:val="both"/>
        <w:ind w:right="100"/>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9" w:lineRule="exact"/>
        <w:rPr>
          <w:sz w:val="24"/>
          <w:szCs w:val="24"/>
          <w:color w:val="auto"/>
        </w:rPr>
      </w:pPr>
    </w:p>
    <w:p>
      <w:pPr>
        <w:ind w:right="60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4" w:lineRule="exact"/>
        <w:rPr>
          <w:sz w:val="24"/>
          <w:szCs w:val="24"/>
          <w:color w:val="auto"/>
        </w:rPr>
      </w:pPr>
    </w:p>
    <w:p>
      <w:pPr>
        <w:jc w:val="both"/>
        <w:ind w:right="10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60" w:type="dxa"/>
        <w:tblCellMar>
          <w:top w:w="0" w:type="dxa"/>
          <w:left w:w="0" w:type="dxa"/>
          <w:bottom w:w="0" w:type="dxa"/>
          <w:right w:w="0" w:type="dxa"/>
        </w:tblCellMar>
      </w:tblPr>
      <w:tr>
        <w:trPr>
          <w:trHeight w:val="25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25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00" w:lineRule="exact"/>
        <w:rPr>
          <w:sz w:val="24"/>
          <w:szCs w:val="24"/>
          <w:color w:val="auto"/>
        </w:rPr>
      </w:pPr>
    </w:p>
    <w:p>
      <w:pPr>
        <w:ind w:right="100" w:firstLine="241"/>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7" w:lineRule="exact"/>
        <w:rPr>
          <w:sz w:val="24"/>
          <w:szCs w:val="24"/>
          <w:color w:val="auto"/>
        </w:rPr>
      </w:pPr>
    </w:p>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registrant has one class of common stock, $0.01 par value, of which 17,553,935 shares were outstanding as of April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533400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75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960" w:type="dxa"/>
            <w:vAlign w:val="bottom"/>
            <w:gridSpan w:val="23"/>
          </w:tcPr>
          <w:p>
            <w:pPr>
              <w:spacing w:after="0"/>
              <w:rPr>
                <w:sz w:val="20"/>
                <w:szCs w:val="20"/>
                <w:color w:val="auto"/>
              </w:rPr>
            </w:pPr>
            <w:r>
              <w:rPr>
                <w:rFonts w:ascii="Arial" w:cs="Arial" w:eastAsia="Arial" w:hAnsi="Arial"/>
                <w:sz w:val="18"/>
                <w:szCs w:val="18"/>
                <w:b w:val="1"/>
                <w:bCs w:val="1"/>
                <w:color w:val="0000FF"/>
              </w:rPr>
              <w:t>PART I - FINANCIAL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ind w:left="60"/>
              <w:spacing w:after="0"/>
              <w:rPr>
                <w:sz w:val="20"/>
                <w:szCs w:val="20"/>
                <w:color w:val="auto"/>
              </w:rPr>
            </w:pPr>
            <w:r>
              <w:rPr>
                <w:rFonts w:ascii="Arial" w:cs="Arial" w:eastAsia="Arial" w:hAnsi="Arial"/>
                <w:sz w:val="18"/>
                <w:szCs w:val="18"/>
                <w:color w:val="0000FF"/>
              </w:rPr>
              <w:t>Item 1. Condensed Consolidated Financial Statements (Unaudited)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51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Balance Sheets as of March 31, 2025 and December 31, 2024</w:t>
            </w:r>
          </w:p>
        </w:tc>
        <w:tc>
          <w:tcPr>
            <w:tcW w:w="530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Statements of Operations for the Three Months Ended March 31, 2025 and 2024</w:t>
            </w:r>
          </w:p>
        </w:tc>
        <w:tc>
          <w:tcPr>
            <w:tcW w:w="402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8"/>
              </w:rPr>
              <w:t>Statements of Stockholders' Equity for the Three Months Ended March 31, 2025 and 2024</w:t>
            </w:r>
          </w:p>
        </w:tc>
        <w:tc>
          <w:tcPr>
            <w:tcW w:w="3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8"/>
              </w:rPr>
              <w:t>Statements of Cash Flows for the Three Months Ended March 31, 2025 and 2024</w:t>
            </w:r>
          </w:p>
        </w:tc>
        <w:tc>
          <w:tcPr>
            <w:tcW w:w="39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Notes to Condensed Consolidated Financial Statements</w:t>
            </w:r>
          </w:p>
        </w:tc>
        <w:tc>
          <w:tcPr>
            <w:tcW w:w="5960" w:type="dxa"/>
            <w:vAlign w:val="bottom"/>
            <w:gridSpan w:val="9"/>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8"/>
              </w:rPr>
              <w:t>Item 2. Management’s Discussion and Analysis of Financial Condition and Results of Operations</w:t>
            </w:r>
          </w:p>
        </w:tc>
        <w:tc>
          <w:tcPr>
            <w:tcW w:w="30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20</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8"/>
              </w:rPr>
              <w:t>Item 4. Controls and Procedures</w:t>
            </w:r>
          </w:p>
        </w:tc>
        <w:tc>
          <w:tcPr>
            <w:tcW w:w="2680" w:type="dxa"/>
            <w:vAlign w:val="bottom"/>
            <w:tcBorders>
              <w:top w:val="single" w:sz="8" w:color="0000FF"/>
            </w:tcBorders>
            <w:gridSpan w:val="5"/>
          </w:tcPr>
          <w:p>
            <w:pPr>
              <w:spacing w:after="0"/>
              <w:rPr>
                <w:sz w:val="18"/>
                <w:szCs w:val="18"/>
                <w:color w:val="auto"/>
              </w:rPr>
            </w:pPr>
          </w:p>
        </w:tc>
        <w:tc>
          <w:tcPr>
            <w:tcW w:w="5380" w:type="dxa"/>
            <w:vAlign w:val="bottom"/>
            <w:gridSpan w:val="7"/>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r>
      <w:tr>
        <w:trPr>
          <w:trHeight w:val="207"/>
        </w:trPr>
        <w:tc>
          <w:tcPr>
            <w:tcW w:w="11000" w:type="dxa"/>
            <w:vAlign w:val="bottom"/>
            <w:gridSpan w:val="24"/>
          </w:tcPr>
          <w:p>
            <w:pPr>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33</w:t>
            </w:r>
          </w:p>
        </w:tc>
      </w:tr>
      <w:tr>
        <w:trPr>
          <w:trHeight w:val="207"/>
        </w:trPr>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Item 1. Legal Proceedings</w:t>
            </w:r>
          </w:p>
        </w:tc>
        <w:tc>
          <w:tcPr>
            <w:tcW w:w="260" w:type="dxa"/>
            <w:vAlign w:val="bottom"/>
            <w:tcBorders>
              <w:top w:val="single" w:sz="8" w:color="0000FF"/>
            </w:tcBorders>
          </w:tcPr>
          <w:p>
            <w:pPr>
              <w:spacing w:after="0"/>
              <w:rPr>
                <w:sz w:val="18"/>
                <w:szCs w:val="18"/>
                <w:color w:val="auto"/>
              </w:rPr>
            </w:pPr>
          </w:p>
        </w:tc>
        <w:tc>
          <w:tcPr>
            <w:tcW w:w="8300" w:type="dxa"/>
            <w:vAlign w:val="bottom"/>
            <w:gridSpan w:val="14"/>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1A. Risk Factors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34</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34</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4820" w:type="dxa"/>
            <w:vAlign w:val="bottom"/>
            <w:tcBorders>
              <w:top w:val="single" w:sz="8" w:color="0000FF"/>
            </w:tcBorders>
            <w:gridSpan w:val="15"/>
          </w:tcPr>
          <w:p>
            <w:pPr>
              <w:ind w:left="20"/>
              <w:spacing w:after="0"/>
              <w:rPr>
                <w:sz w:val="20"/>
                <w:szCs w:val="20"/>
                <w:color w:val="auto"/>
              </w:rPr>
            </w:pPr>
            <w:r>
              <w:rPr>
                <w:rFonts w:ascii="Arial" w:cs="Arial" w:eastAsia="Arial" w:hAnsi="Arial"/>
                <w:sz w:val="18"/>
                <w:szCs w:val="18"/>
                <w:color w:val="0000FF"/>
              </w:rPr>
              <w:t>Defaults Upon Senior Securities</w:t>
            </w:r>
          </w:p>
        </w:tc>
        <w:tc>
          <w:tcPr>
            <w:tcW w:w="5240" w:type="dxa"/>
            <w:vAlign w:val="bottom"/>
            <w:gridSpan w:val="5"/>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34</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Item 4.</w:t>
            </w:r>
          </w:p>
        </w:tc>
        <w:tc>
          <w:tcPr>
            <w:tcW w:w="1940" w:type="dxa"/>
            <w:vAlign w:val="bottom"/>
            <w:tcBorders>
              <w:top w:val="single" w:sz="8" w:color="0000FF"/>
              <w:bottom w:val="single" w:sz="8" w:color="0000FF"/>
            </w:tcBorders>
            <w:gridSpan w:val="7"/>
          </w:tcPr>
          <w:p>
            <w:pPr>
              <w:ind w:left="20"/>
              <w:spacing w:after="0"/>
              <w:rPr>
                <w:sz w:val="20"/>
                <w:szCs w:val="20"/>
                <w:color w:val="auto"/>
              </w:rPr>
            </w:pPr>
            <w:r>
              <w:rPr>
                <w:rFonts w:ascii="Arial" w:cs="Arial" w:eastAsia="Arial" w:hAnsi="Arial"/>
                <w:sz w:val="18"/>
                <w:szCs w:val="18"/>
                <w:color w:val="0000FF"/>
                <w:w w:val="98"/>
              </w:rPr>
              <w:t>Mine Safety Disclosures</w:t>
            </w:r>
          </w:p>
        </w:tc>
        <w:tc>
          <w:tcPr>
            <w:tcW w:w="600" w:type="dxa"/>
            <w:vAlign w:val="bottom"/>
            <w:tcBorders>
              <w:top w:val="single" w:sz="8" w:color="0000FF"/>
            </w:tcBorders>
            <w:gridSpan w:val="3"/>
          </w:tcPr>
          <w:p>
            <w:pPr>
              <w:spacing w:after="0"/>
              <w:rPr>
                <w:sz w:val="18"/>
                <w:szCs w:val="18"/>
                <w:color w:val="auto"/>
              </w:rPr>
            </w:pPr>
          </w:p>
        </w:tc>
        <w:tc>
          <w:tcPr>
            <w:tcW w:w="7520" w:type="dxa"/>
            <w:vAlign w:val="bottom"/>
            <w:gridSpan w:val="10"/>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34</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10060" w:type="dxa"/>
            <w:vAlign w:val="bottom"/>
            <w:gridSpan w:val="20"/>
          </w:tcPr>
          <w:p>
            <w:pPr>
              <w:ind w:left="20"/>
              <w:spacing w:after="0"/>
              <w:rPr>
                <w:sz w:val="20"/>
                <w:szCs w:val="20"/>
                <w:color w:val="auto"/>
              </w:rPr>
            </w:pPr>
            <w:r>
              <w:rPr>
                <w:rFonts w:ascii="Arial" w:cs="Arial" w:eastAsia="Arial" w:hAnsi="Arial"/>
                <w:sz w:val="18"/>
                <w:szCs w:val="18"/>
                <w:color w:val="0000FF"/>
              </w:rPr>
              <w:t>Other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36</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6.</w:t>
            </w:r>
          </w:p>
        </w:tc>
        <w:tc>
          <w:tcPr>
            <w:tcW w:w="1400" w:type="dxa"/>
            <w:vAlign w:val="bottom"/>
            <w:tcBorders>
              <w:top w:val="single" w:sz="8" w:color="0000FF"/>
            </w:tcBorders>
            <w:gridSpan w:val="4"/>
          </w:tcPr>
          <w:p>
            <w:pPr>
              <w:ind w:left="20"/>
              <w:spacing w:after="0"/>
              <w:rPr>
                <w:sz w:val="20"/>
                <w:szCs w:val="20"/>
                <w:color w:val="auto"/>
              </w:rPr>
            </w:pPr>
            <w:r>
              <w:rPr>
                <w:rFonts w:ascii="Arial" w:cs="Arial" w:eastAsia="Arial" w:hAnsi="Arial"/>
                <w:sz w:val="18"/>
                <w:szCs w:val="18"/>
                <w:color w:val="0000FF"/>
              </w:rPr>
              <w:t>Exhibits</w:t>
            </w:r>
          </w:p>
        </w:tc>
        <w:tc>
          <w:tcPr>
            <w:tcW w:w="8660" w:type="dxa"/>
            <w:vAlign w:val="bottom"/>
            <w:gridSpan w:val="16"/>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36</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20" w:type="dxa"/>
            <w:vAlign w:val="bottom"/>
            <w:gridSpan w:val="18"/>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10960" w:type="dxa"/>
            <w:vAlign w:val="bottom"/>
            <w:gridSpan w:val="23"/>
          </w:tcPr>
          <w:p>
            <w:pPr>
              <w:spacing w:after="0"/>
              <w:rPr>
                <w:sz w:val="20"/>
                <w:szCs w:val="20"/>
                <w:color w:val="auto"/>
              </w:rPr>
            </w:pPr>
            <w:r>
              <w:rPr>
                <w:rFonts w:ascii="Arial" w:cs="Arial" w:eastAsia="Arial" w:hAnsi="Arial"/>
                <w:sz w:val="18"/>
                <w:szCs w:val="18"/>
                <w:b w:val="1"/>
                <w:bCs w:val="1"/>
                <w:color w:val="0000FF"/>
              </w:rPr>
              <w:t>SIGNATURES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37</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rPr>
              <w:t>March 31, 2025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December 31, 2024</w:t>
            </w:r>
          </w:p>
        </w:tc>
      </w:tr>
      <w:tr>
        <w:trPr>
          <w:trHeight w:val="207"/>
        </w:trPr>
        <w:tc>
          <w:tcPr>
            <w:tcW w:w="6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6"/>
                <w:szCs w:val="16"/>
                <w:b w:val="1"/>
                <w:bCs w:val="1"/>
                <w:i w:val="1"/>
                <w:iCs w:val="1"/>
                <w:color w:val="auto"/>
              </w:rPr>
              <w:t>(Unaudited)</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4"/>
        </w:trPr>
        <w:tc>
          <w:tcPr>
            <w:tcW w:w="6960" w:type="dxa"/>
            <w:vAlign w:val="bottom"/>
            <w:shd w:val="clear" w:color="auto" w:fill="CCEEFF"/>
          </w:tcPr>
          <w:p>
            <w:pPr>
              <w:ind w:left="530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receivable–trade, net of allowance of $4.2 and $4.2</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06"/>
        </w:trPr>
        <w:tc>
          <w:tcPr>
            <w:tcW w:w="696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4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233.0</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34"/>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456.3</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1"/>
        </w:trPr>
        <w:tc>
          <w:tcPr>
            <w:tcW w:w="7380" w:type="dxa"/>
            <w:vAlign w:val="bottom"/>
            <w:gridSpan w:val="2"/>
          </w:tcPr>
          <w:p>
            <w:pPr>
              <w:ind w:left="3940"/>
              <w:spacing w:after="0" w:line="161" w:lineRule="exact"/>
              <w:rPr>
                <w:sz w:val="20"/>
                <w:szCs w:val="20"/>
                <w:color w:val="auto"/>
              </w:rPr>
            </w:pPr>
            <w:r>
              <w:rPr>
                <w:rFonts w:ascii="Arial" w:cs="Arial" w:eastAsia="Arial" w:hAnsi="Arial"/>
                <w:sz w:val="16"/>
                <w:szCs w:val="16"/>
                <w:b w:val="1"/>
                <w:bCs w:val="1"/>
                <w:color w:val="auto"/>
              </w:rPr>
              <w:t>LIABILITIES AND STOCKHOLDERS’ EQUITY</w:t>
            </w: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4"/>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Current portion of operating lease obligations</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finance lease obligations</w:t>
            </w: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6"/>
        </w:trPr>
        <w:tc>
          <w:tcPr>
            <w:tcW w:w="696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4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140.1</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Long-term operating lease obligations</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finance lease obligations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contingencies and off-balance sheet arrangements (Note 7)</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$0.01 par value; 110.0 authorized; 18.1 and 17.5 issued</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569.7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557.5</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at cost, 0.5 shares and 0.5 shares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(562.4)</w:t>
            </w:r>
          </w:p>
        </w:tc>
      </w:tr>
      <w:tr>
        <w:trPr>
          <w:trHeight w:val="207"/>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deficit</w:t>
            </w: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9"/>
        </w:trPr>
        <w:tc>
          <w:tcPr>
            <w:tcW w:w="6960" w:type="dxa"/>
            <w:vAlign w:val="bottom"/>
          </w:tcPr>
          <w:p>
            <w:pPr>
              <w:ind w:left="220"/>
              <w:spacing w:after="0"/>
              <w:rPr>
                <w:sz w:val="20"/>
                <w:szCs w:val="20"/>
                <w:color w:val="auto"/>
              </w:rPr>
            </w:pPr>
            <w:r>
              <w:rPr>
                <w:rFonts w:ascii="Arial" w:cs="Arial" w:eastAsia="Arial" w:hAnsi="Arial"/>
                <w:sz w:val="16"/>
                <w:szCs w:val="16"/>
                <w:color w:val="auto"/>
              </w:rPr>
              <w:t>Total liabilities and stockholders’ deficit</w:t>
            </w: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r>
      <w:tr>
        <w:trPr>
          <w:trHeight w:val="20"/>
        </w:trPr>
        <w:tc>
          <w:tcPr>
            <w:tcW w:w="6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(In millions of U.S. dollars, except per share data)</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Three Months Ended</w:t>
            </w:r>
          </w:p>
        </w:tc>
        <w:tc>
          <w:tcPr>
            <w:tcW w:w="2200" w:type="dxa"/>
            <w:vAlign w:val="bottom"/>
            <w:tcBorders>
              <w:bottom w:val="single" w:sz="8" w:color="auto"/>
            </w:tcBorders>
          </w:tcPr>
          <w:p>
            <w:pPr>
              <w:spacing w:after="0"/>
              <w:rPr>
                <w:sz w:val="18"/>
                <w:szCs w:val="18"/>
                <w:color w:val="auto"/>
              </w:rPr>
            </w:pPr>
          </w:p>
        </w:tc>
      </w:tr>
      <w:tr>
        <w:trPr>
          <w:trHeight w:val="207"/>
        </w:trPr>
        <w:tc>
          <w:tcPr>
            <w:tcW w:w="488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March 31, 2025</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b w:val="1"/>
                <w:bCs w:val="1"/>
                <w:color w:val="auto"/>
              </w:rPr>
              <w:t>March 31, 2024</w:t>
            </w:r>
          </w:p>
        </w:tc>
      </w:tr>
      <w:tr>
        <w:trPr>
          <w:trHeight w:val="207"/>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0" w:type="dxa"/>
            <w:vAlign w:val="bottom"/>
            <w:shd w:val="clear" w:color="auto" w:fill="CCEEFF"/>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r>
      <w:tr>
        <w:trPr>
          <w:trHeight w:val="214"/>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r>
      <w:tr>
        <w:trPr>
          <w:trHeight w:val="213"/>
        </w:trPr>
        <w:tc>
          <w:tcPr>
            <w:tcW w:w="488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5"/>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3"/>
        </w:trPr>
        <w:tc>
          <w:tcPr>
            <w:tcW w:w="4880" w:type="dxa"/>
            <w:vAlign w:val="bottom"/>
          </w:tcPr>
          <w:p>
            <w:pPr>
              <w:ind w:left="160"/>
              <w:spacing w:after="0"/>
              <w:rPr>
                <w:sz w:val="20"/>
                <w:szCs w:val="20"/>
                <w:color w:val="auto"/>
              </w:rPr>
            </w:pPr>
            <w:r>
              <w:rPr>
                <w:rFonts w:ascii="Arial" w:cs="Arial" w:eastAsia="Arial" w:hAnsi="Arial"/>
                <w:sz w:val="16"/>
                <w:szCs w:val="16"/>
                <w:color w:val="auto"/>
              </w:rPr>
              <w:t>Research and development costs</w:t>
            </w:r>
          </w:p>
        </w:tc>
        <w:tc>
          <w:tcPr>
            <w:tcW w:w="2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5"/>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 on debt extinguishment</w:t>
            </w:r>
          </w:p>
        </w:tc>
        <w:tc>
          <w:tcPr>
            <w:tcW w:w="2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88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5"/>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expense:</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13"/>
        </w:trPr>
        <w:tc>
          <w:tcPr>
            <w:tcW w:w="488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2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5"/>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2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6"/>
        </w:trPr>
        <w:tc>
          <w:tcPr>
            <w:tcW w:w="4880" w:type="dxa"/>
            <w:vAlign w:val="bottom"/>
          </w:tcPr>
          <w:p>
            <w:pPr>
              <w:ind w:left="20"/>
              <w:spacing w:after="0"/>
              <w:rPr>
                <w:sz w:val="20"/>
                <w:szCs w:val="20"/>
                <w:color w:val="auto"/>
              </w:rPr>
            </w:pPr>
            <w:r>
              <w:rPr>
                <w:rFonts w:ascii="Arial" w:cs="Arial" w:eastAsia="Arial" w:hAnsi="Arial"/>
                <w:sz w:val="16"/>
                <w:szCs w:val="16"/>
                <w:color w:val="auto"/>
              </w:rPr>
              <w:t>Net loss before income tax</w:t>
            </w:r>
          </w:p>
        </w:tc>
        <w:tc>
          <w:tcPr>
            <w:tcW w:w="2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4"/>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2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4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0" w:type="dxa"/>
            <w:vAlign w:val="bottom"/>
            <w:tcBorders>
              <w:bottom w:val="single" w:sz="8" w:color="auto"/>
            </w:tcBorders>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21"/>
        </w:trPr>
        <w:tc>
          <w:tcPr>
            <w:tcW w:w="488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6"/>
                <w:szCs w:val="16"/>
                <w:color w:val="auto"/>
              </w:rPr>
              <w:t>Net loss per share-basic</w:t>
            </w:r>
          </w:p>
        </w:tc>
        <w:tc>
          <w:tcPr>
            <w:tcW w:w="2200" w:type="dxa"/>
            <w:vAlign w:val="bottom"/>
            <w:tcBorders>
              <w:bottom w:val="single" w:sz="8" w:color="auto"/>
            </w:tcBorders>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32"/>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share-diluted</w:t>
            </w:r>
          </w:p>
        </w:tc>
        <w:tc>
          <w:tcPr>
            <w:tcW w:w="2200" w:type="dxa"/>
            <w:vAlign w:val="bottom"/>
            <w:tcBorders>
              <w:bottom w:val="single" w:sz="8" w:color="auto"/>
            </w:tcBorders>
            <w:shd w:val="clear" w:color="auto" w:fill="CCEEFF"/>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Three Months Ended March 31, 2025 and March 31, 2024</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250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14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ind w:left="40"/>
              <w:spacing w:after="0" w:line="107"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1080" w:type="dxa"/>
            <w:vAlign w:val="bottom"/>
            <w:gridSpan w:val="2"/>
            <w:vMerge w:val="restart"/>
          </w:tcPr>
          <w:p>
            <w:pPr>
              <w:ind w:left="80"/>
              <w:spacing w:after="0" w:line="107" w:lineRule="exact"/>
              <w:rPr>
                <w:sz w:val="20"/>
                <w:szCs w:val="20"/>
                <w:color w:val="auto"/>
              </w:rPr>
            </w:pPr>
            <w:r>
              <w:rPr>
                <w:rFonts w:ascii="Arial" w:cs="Arial" w:eastAsia="Arial" w:hAnsi="Arial"/>
                <w:sz w:val="12"/>
                <w:szCs w:val="12"/>
                <w:b w:val="1"/>
                <w:bCs w:val="1"/>
                <w:color w:val="auto"/>
              </w:rPr>
              <w:t>Treasury</w:t>
            </w:r>
          </w:p>
        </w:tc>
        <w:tc>
          <w:tcPr>
            <w:tcW w:w="1300" w:type="dxa"/>
            <w:vAlign w:val="bottom"/>
            <w:gridSpan w:val="3"/>
            <w:vMerge w:val="restart"/>
          </w:tcPr>
          <w:p>
            <w:pPr>
              <w:ind w:left="100"/>
              <w:spacing w:after="0" w:line="107" w:lineRule="exact"/>
              <w:rPr>
                <w:sz w:val="20"/>
                <w:szCs w:val="20"/>
                <w:color w:val="auto"/>
              </w:rPr>
            </w:pPr>
            <w:r>
              <w:rPr>
                <w:rFonts w:ascii="Arial" w:cs="Arial" w:eastAsia="Arial" w:hAnsi="Arial"/>
                <w:sz w:val="12"/>
                <w:szCs w:val="12"/>
                <w:b w:val="1"/>
                <w:bCs w:val="1"/>
                <w:color w:val="auto"/>
              </w:rPr>
              <w:t>Accumulated</w:t>
            </w:r>
          </w:p>
        </w:tc>
        <w:tc>
          <w:tcPr>
            <w:tcW w:w="1180" w:type="dxa"/>
            <w:vAlign w:val="bottom"/>
            <w:gridSpan w:val="2"/>
            <w:vMerge w:val="restart"/>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2"/>
                <w:szCs w:val="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7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60" w:type="dxa"/>
            <w:vAlign w:val="bottom"/>
          </w:tcPr>
          <w:p>
            <w:pPr>
              <w:jc w:val="center"/>
              <w:ind w:right="1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7"/>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(5.8)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warrants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34"/>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18"/>
                <w:szCs w:val="18"/>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7"/>
              </w:rPr>
              <w:t>Treasury</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9"/>
              </w:rPr>
              <w:t>Accumulated</w:t>
            </w:r>
          </w:p>
        </w:tc>
        <w:tc>
          <w:tcPr>
            <w:tcW w:w="360" w:type="dxa"/>
            <w:vAlign w:val="bottom"/>
          </w:tcPr>
          <w:p>
            <w:pPr>
              <w:spacing w:after="0"/>
              <w:rPr>
                <w:sz w:val="18"/>
                <w:szCs w:val="18"/>
                <w:color w:val="auto"/>
              </w:rPr>
            </w:pPr>
          </w:p>
        </w:tc>
        <w:tc>
          <w:tcPr>
            <w:tcW w:w="1240" w:type="dxa"/>
            <w:vAlign w:val="bottom"/>
            <w:vMerge w:val="restart"/>
          </w:tcPr>
          <w:p>
            <w:pPr>
              <w:jc w:val="right"/>
              <w:ind w:right="5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line="20" w:lineRule="exact"/>
              <w:rPr>
                <w:sz w:val="1"/>
                <w:szCs w:val="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4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Stock</w:t>
            </w:r>
          </w:p>
        </w:tc>
        <w:tc>
          <w:tcPr>
            <w:tcW w:w="2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Deficit</w:t>
            </w: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Stockholders’Equity</w:t>
            </w:r>
          </w:p>
        </w:tc>
        <w:tc>
          <w:tcPr>
            <w:tcW w:w="0" w:type="dxa"/>
            <w:vAlign w:val="bottom"/>
          </w:tcPr>
          <w:p>
            <w:pPr>
              <w:spacing w:after="0"/>
              <w:rPr>
                <w:sz w:val="1"/>
                <w:szCs w:val="1"/>
                <w:color w:val="auto"/>
              </w:rPr>
            </w:pPr>
          </w:p>
        </w:tc>
      </w:tr>
      <w:tr>
        <w:trPr>
          <w:trHeight w:val="207"/>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Arial" w:cs="Arial" w:eastAsia="Arial" w:hAnsi="Arial"/>
                <w:sz w:val="16"/>
                <w:szCs w:val="16"/>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(531.6)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2025</w:t>
            </w:r>
          </w:p>
        </w:tc>
        <w:tc>
          <w:tcPr>
            <w:tcW w:w="260" w:type="dxa"/>
            <w:vAlign w:val="bottom"/>
          </w:tcPr>
          <w:p>
            <w:pPr>
              <w:spacing w:after="0"/>
              <w:rPr>
                <w:sz w:val="18"/>
                <w:szCs w:val="18"/>
                <w:color w:val="auto"/>
              </w:rPr>
            </w:pPr>
          </w:p>
        </w:tc>
        <w:tc>
          <w:tcPr>
            <w:tcW w:w="1660" w:type="dxa"/>
            <w:vAlign w:val="bottom"/>
          </w:tcPr>
          <w:p>
            <w:pPr>
              <w:jc w:val="right"/>
              <w:ind w:right="300"/>
              <w:spacing w:after="0"/>
              <w:rPr>
                <w:sz w:val="20"/>
                <w:szCs w:val="20"/>
                <w:color w:val="auto"/>
              </w:rPr>
            </w:pPr>
            <w:r>
              <w:rPr>
                <w:rFonts w:ascii="Arial" w:cs="Arial" w:eastAsia="Arial" w:hAnsi="Arial"/>
                <w:sz w:val="16"/>
                <w:szCs w:val="16"/>
                <w:b w:val="1"/>
                <w:bCs w:val="1"/>
                <w:color w:val="auto"/>
              </w:rPr>
              <w:t>March 31, 2024</w:t>
            </w:r>
          </w:p>
        </w:tc>
      </w:tr>
      <w:tr>
        <w:trPr>
          <w:trHeight w:val="194"/>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flows used in operating activities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inventory reserve</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Change in allowance for doubtful accounts</w:t>
            </w:r>
          </w:p>
        </w:tc>
        <w:tc>
          <w:tcPr>
            <w:tcW w:w="3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 of property, equipment and other</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710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and non-current assets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71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5"/>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71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in operating activities</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19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6"/>
        </w:trPr>
        <w:tc>
          <w:tcPr>
            <w:tcW w:w="71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in investing activities</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19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Proceeds from stock issuance, net of costs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under New ABL Facility</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Repayments on Prior ABL Facility</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2030 Senior Notes and warrants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Repayment of 2025 Senior Notes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(236.3)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2030 Senior Notes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Payments on finance lease obligations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Change in financed payables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6"/>
        </w:trPr>
        <w:tc>
          <w:tcPr>
            <w:tcW w:w="71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in financing activities</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09"/>
        </w:trPr>
        <w:tc>
          <w:tcPr>
            <w:tcW w:w="7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change in cash and cash equivalents and restricted cash</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r>
      <w:tr>
        <w:trPr>
          <w:trHeight w:val="23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end of period</w:t>
            </w: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4"/>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Cash paid during period for:</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net of refunds</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Interest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1"/>
        </w:trPr>
        <w:tc>
          <w:tcPr>
            <w:tcW w:w="710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w:t>
            </w:r>
          </w:p>
        </w:tc>
      </w:tr>
    </w:tbl>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U.S. dollars in millions, except per share data)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2025 or for any future period. The information included in these condensed consolidated financial statements should be read in conjunction with the condensed consolidated financial statements and accompanying notes included in the Company’s 2024 Annual Report on Form 10-K filed with the SEC on March 13, 2025.</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Financial Accounting Standards Board issued Accounting Standards Update ("ASU") 2023-09, Income Taxes (Topic 740). This ASU includes specific annual disclosure requirements for rate reconciliation, income taxes paid and other tax-related disclosures. The guidance is effective for the Company for the fiscal year beginning January 1, 2025 and is not expected to have a material impact on the Company’s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2025</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December 31, 2024</w:t>
            </w:r>
          </w:p>
        </w:tc>
      </w:tr>
      <w:tr>
        <w:trPr>
          <w:trHeight w:val="20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1640" w:type="dxa"/>
            <w:vAlign w:val="bottom"/>
            <w:shd w:val="clear" w:color="auto" w:fill="CCEEFF"/>
          </w:tcPr>
          <w:p>
            <w:pPr>
              <w:jc w:val="right"/>
              <w:ind w:right="14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Plugs</w:t>
            </w:r>
          </w:p>
        </w:tc>
        <w:tc>
          <w:tcPr>
            <w:tcW w:w="1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5"/>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Subtotal</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Inventory reserve</w:t>
            </w:r>
          </w:p>
        </w:tc>
        <w:tc>
          <w:tcPr>
            <w:tcW w:w="1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34"/>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inventories, net</w:t>
            </w:r>
          </w:p>
        </w:tc>
        <w:tc>
          <w:tcPr>
            <w:tcW w:w="1640" w:type="dxa"/>
            <w:vAlign w:val="bottom"/>
            <w:tcBorders>
              <w:bottom w:val="single" w:sz="8" w:color="auto"/>
            </w:tcBorders>
            <w:shd w:val="clear" w:color="auto" w:fill="CCEEFF"/>
          </w:tcPr>
          <w:p>
            <w:pPr>
              <w:jc w:val="right"/>
              <w:ind w:right="14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made up of spare parts, composite and dissolvable plugs, consumables (including thru-tubing accessory tools, chemicals and cement) and other (including coiled tubing strings and wireline spools) used to perform services for customers. The Company values inventories at the lower of cost or net realizable value. Inventories are reported net of inventory reserve of $3.7 and $3.2 as of March 31, 2025 and December 31, 2024,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4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99"/>
              </w:rPr>
              <w:t>Useful Life (Years)</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March 31, 2025</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December 31, 2024</w:t>
            </w: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color w:val="auto"/>
              </w:rPr>
              <w:t>Land, buildings and improvements</w:t>
            </w:r>
          </w:p>
        </w:tc>
        <w:tc>
          <w:tcPr>
            <w:tcW w:w="6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Borders>
              <w:top w:val="single" w:sz="8" w:color="auto"/>
            </w:tcBorders>
          </w:tcPr>
          <w:p>
            <w:pPr>
              <w:jc w:val="right"/>
              <w:ind w:right="2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Equipment and furniture</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2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243.4</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 finance leases</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r>
      <w:tr>
        <w:trPr>
          <w:trHeight w:val="206"/>
        </w:trPr>
        <w:tc>
          <w:tcPr>
            <w:tcW w:w="4940" w:type="dxa"/>
            <w:vAlign w:val="bottom"/>
          </w:tcPr>
          <w:p>
            <w:pPr>
              <w:ind w:left="160"/>
              <w:spacing w:after="0"/>
              <w:rPr>
                <w:sz w:val="20"/>
                <w:szCs w:val="20"/>
                <w:color w:val="auto"/>
              </w:rPr>
            </w:pPr>
            <w:r>
              <w:rPr>
                <w:rFonts w:ascii="Arial" w:cs="Arial" w:eastAsia="Arial" w:hAnsi="Arial"/>
                <w:sz w:val="16"/>
                <w:szCs w:val="16"/>
                <w:color w:val="auto"/>
              </w:rPr>
              <w:t>Total property and equipment</w:t>
            </w: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658.7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652.6</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w:t>
            </w: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Construction in progress</w:t>
            </w:r>
          </w:p>
        </w:tc>
        <w:tc>
          <w:tcPr>
            <w:tcW w:w="6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34"/>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property and equipment, net</w:t>
            </w:r>
          </w:p>
        </w:tc>
        <w:tc>
          <w:tcPr>
            <w:tcW w:w="6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expense related to non-leased fixed assets was $19.0 and $15.9 for the three months ended March 31, 2025 and March 31, 2024, respectively. Finance lease amortization expense was $5.6 and $5.8, respectively, for the three months ended March 31, 2025 and March 31, 2024.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2025, the Company’s condensed consolidated balance sheet included assets classified as held for sale of $2.3. The assets held for sale are reported within prepaid expenses and other current assets on the condensed consolidated balance sheet and represent the value of one operational facility and select equipment. These assets were being actively marketed for sale as of March 31, 2025 and are recorded at the lower of their carrying value or fair value less costs to sell.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2025</w:t>
            </w:r>
          </w:p>
        </w:tc>
        <w:tc>
          <w:tcPr>
            <w:tcW w:w="220" w:type="dxa"/>
            <w:vAlign w:val="bottom"/>
          </w:tcPr>
          <w:p>
            <w:pPr>
              <w:spacing w:after="0"/>
              <w:rPr>
                <w:sz w:val="18"/>
                <w:szCs w:val="18"/>
                <w:color w:val="auto"/>
              </w:rPr>
            </w:pPr>
          </w:p>
        </w:tc>
        <w:tc>
          <w:tcPr>
            <w:tcW w:w="1840" w:type="dxa"/>
            <w:vAlign w:val="bottom"/>
          </w:tcPr>
          <w:p>
            <w:pPr>
              <w:jc w:val="right"/>
              <w:ind w:right="220"/>
              <w:spacing w:after="0"/>
              <w:rPr>
                <w:sz w:val="20"/>
                <w:szCs w:val="20"/>
                <w:color w:val="auto"/>
              </w:rPr>
            </w:pPr>
            <w:r>
              <w:rPr>
                <w:rFonts w:ascii="Arial" w:cs="Arial" w:eastAsia="Arial" w:hAnsi="Arial"/>
                <w:sz w:val="16"/>
                <w:szCs w:val="16"/>
                <w:b w:val="1"/>
                <w:bCs w:val="1"/>
                <w:color w:val="auto"/>
              </w:rPr>
              <w:t>December 31, 2024</w:t>
            </w:r>
          </w:p>
        </w:tc>
      </w:tr>
      <w:tr>
        <w:trPr>
          <w:trHeight w:val="207"/>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 Senior Notes</w:t>
            </w: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2030 Senior Notes</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ABL Facility</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New ABL Facility</w:t>
            </w: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principal outstanding</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Less: Unamortized debt issuance costs</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Original issue discount</w:t>
            </w:r>
          </w:p>
        </w:tc>
        <w:tc>
          <w:tcPr>
            <w:tcW w:w="2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000" w:type="dxa"/>
            <w:vAlign w:val="bottom"/>
          </w:tcPr>
          <w:p>
            <w:pPr>
              <w:ind w:left="240"/>
              <w:spacing w:after="0"/>
              <w:rPr>
                <w:sz w:val="20"/>
                <w:szCs w:val="20"/>
                <w:color w:val="auto"/>
              </w:rPr>
            </w:pPr>
            <w:r>
              <w:rPr>
                <w:rFonts w:ascii="Arial" w:cs="Arial" w:eastAsia="Arial" w:hAnsi="Arial"/>
                <w:sz w:val="16"/>
                <w:szCs w:val="16"/>
                <w:color w:val="auto"/>
              </w:rPr>
              <w:t>Total debt</w:t>
            </w:r>
          </w:p>
        </w:tc>
        <w:tc>
          <w:tcPr>
            <w:tcW w:w="2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261.0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285.1</w:t>
            </w:r>
          </w:p>
        </w:tc>
      </w:tr>
      <w:tr>
        <w:trPr>
          <w:trHeight w:val="214"/>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000" w:type="dxa"/>
            <w:vAlign w:val="bottom"/>
          </w:tcPr>
          <w:p>
            <w:pPr>
              <w:ind w:left="24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w:t>
            </w:r>
          </w:p>
        </w:tc>
      </w:tr>
      <w:tr>
        <w:trPr>
          <w:trHeight w:val="20"/>
        </w:trPr>
        <w:tc>
          <w:tcPr>
            <w:tcW w:w="7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7, 2025, the Company and certain of our subsidiaries party thereto entered into a Securities Purchase Agreement with certain holders (the “Investors”) of our 11.5% senior secured notes due 2025 (the “2025 Senior Notes”), pursuant to which the Company agreed to issue and sell to the Investors (a) approximately $232.2 in aggregate principal amount of the Senior Secured Floating Rate Cash / PIK Notes due 2030 (the “2030 Senior Notes” and, together with the 2025 Senior Notes, the “Senior Secured Notes”) and (b) warrants entitling the holders thereof to purchase, in the aggregate, up to 2,373,187 shares of Common Stock, at an exercise price of $0.01 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Senior Notes</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conjunction with the acquisition of Motley Services, LLC (“Motley”) in 2018, we issued $250.0 principal amount of the 2025 Senior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2025 Senior Notes, total debt related to the 2025 Senior Notes as of December 31, 2024 was $235.1. The 2025 Senior Notes bore interest at an annual rate of 11.5%, payable semi-annually in arrears on May 1 and November 1. Accrued interest as of December 31, 2024 was $4.5.</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12, 2025, approximately $143.6 aggregate principal amount of the 2025 Senior Notes were exchanged in connection with the Refinancing, and the Company deposited $97.1 in trust with the trustee for the 2025 Senior Notes and irrevocably instructed the trustee to apply such funds to effect the redemption of all of the remaining outstanding 2025 Senior Notes on March 30, 2025 at a redemption price of 100.000% of the principal amount thereof, plus accrued and unpaid interest. Upon deposit of such redemption amount, the indenture that governs the 2025 Senior Notes (the “2025 Senior Notes Indenture”) was satisfied and discharged in accordance with its terms and, as a result thereof, the Company has been released from its obligations under the 2025 Senior Notes and the 2025 Senior Notes Indenture except with respect to those provisions of the 2025 Senior Notes Indenture that, by their terms, survive the satisfaction and discharge of thereof.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2030 Senior Notes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 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2030 Senior Notes were initially fully and unconditionally guaranteed by each of the Company’s current subsidiaries. The 2030 Senior Notes will also be guaranteed by each of the Company’s future subsidiaries that guarantee the Company’s indebtedness or indebtedness of guarantors, including under the New ABL Facility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New ABL Facility on a first priority basis) and a second priority security interest on the guarantors’ assets which secure the New ABL Facility on a first priority basis, subject in each case to certain excluded assets.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be required to redeem the 2030 Senior Notes in an amount equal to 2.00% per annum of all 2030 Senior Notes outstanding as of the prior applicable Interest Payment Date (as defined in the 2030 Senior Notes Indenture) on the last business day of each of March, June, September and December, commencing on March 31, 2025. Additionally, upon certain changes of control, consummation of certain asset sales and other events, the Company will be required to repurchase the 2030 Senior Notes at the applicable redemption prices.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2030 Senior Notes Indenture contains certain financial covenants that include (i) a maximum total net leverage ratio of not greater than 4.50 to 1.0 for the test periods ending March 31, 2025 through December 31, 2025, stepping down to 4.00 to 1.0 for the test periods ending March 31, 2026 through December 31, 2026, 3.50 to 1.0 for the test periods ending March 31, 2027 through December 31, 2027, 3.00 to 1.0 for the test periods ending March 31, 2028 through December 31, 2028, and 2.50 to 1.0 for each test period thereafter and (ii) restrictions on making net capital expenditures in any test period in excess of the greater of (x) $65.0 in the aggregate or (y) 7% of revenues during such test period.</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2025, the principal amount outstanding under the 2030 Senior Notes was $231.0. On a net basis, after taking into consideration unamortized debt issuance costs and original issue discount for the 2030 Senior Notes, total debt related to the 2030 Senior Notes as of March 31, 2025 was $206.0. The effective interest rate under the 2030 Senior Notes was approximately 12.83% on March 31, 2025. Accrued interest related to the 2030 Senior Notes was $1.6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ABL Facility</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10, 2018, the Company entered into a Credit Agreement, by and among the Company, as borrower, certain subsidiaries of the Company, as guarantors, JPMorgan Chase Bank, N.A., as administrative agent (“Prior Administrative Agent”), as collateral agent and as issuing lender, and the lenders party thereto, which has been repaid in full and the commitments thereunder terminated (as amended, supplemented, or otherwise modified prior to the termination thereof, the “Prior ABL Facility”). The Prior ABL Facility became effective on September 14, 2018 and was scheduled to mature in 2025. Borrowings under the Prior ABL Facility bore interest at a rate equal to Term SOFR (as defined in the Prior ABL Facility) plus the Applicable Margin (as defined in the Prior ABL Facility).</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12, 2025, in connection with the completion of the Refinancing, the Prior ABL Facility was repaid in full using borrowings under the New ABL Facility and the commitments thereunder terminated. In connection with the prepayment and termination of the Prior ABL Facility, the Company provided Prior Administrative Agent cash collateral in support of certain existing letters of credit and existing purchasing card program in an aggregate amount of approximately $8.1.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ABL Facility</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March 7, 2025, the Company also entered into a Credit Agreement, dated as of March 7, 2025 (the “New ABL Facility”), with the Company, as borrower, Eclipse Business Capital LLC, as administrative agent, as collateral agent and as FILO administrative agent and the lenders party thereto. The New ABL Facility is comprised of an asset-based revolving credit facility with a $125.0 commitment (the “Revolving Facility”), a first-in-last-out asset-based credit facility with a $10.0 commitment (the “FILO Facility”), and a committed incremental loan option under the Revolving Facility with a $25.0 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$ 5.0 over-advance provided on the initial funding date under the Revolving Facility. The New ABL Facility is secured by, among other things, a first priority lien on accounts receivable and inventory and contains customary conditions precedent to borrowing and affirmative and negative covenants.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funding under the New ABL Facility occurred on March 12, 2025, and the proceeds therefrom were used to repay the Prior ABL Facility in full. After giving effect to the foregoing, we had approximately $39.9 of available borrowing capacity under the New ABL Facility. The New ABL Facility includes a springing financial covenant which requires the Company’s consolidated fixed charge coverage ratio to be at least 1.0 to 1.0 if availability under the Revolving Facility falls below $7.0.</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New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New ABL Facility could result in an event of default, which could permit acceleration of the debt, termination of undrawn commitments and enforcement against any liens securing the debt. The New ABL Facility contains certain other covenants (including the ability to incur indebtedness for the purpose of consummating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acquisitions, subject to the terms of the New ABL Facility), events of default and other customary provisions. Our New ABL Facility matures in 2028.</w:t>
      </w:r>
    </w:p>
    <w:p>
      <w:pPr>
        <w:spacing w:after="0" w:line="159"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As of March 31, 2025, the borrowings outstanding under the New ABL Facility were $55.0. The effective interest rate under the New ABL Facility was approximately 9.06% on March 31, 2025. Accrued interest related to the New ABL Facility was $0.3 as of March 31, 2025.</w:t>
      </w:r>
    </w:p>
    <w:p>
      <w:pPr>
        <w:spacing w:after="0" w:line="159"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We have funds available under the New ABL Facility of $43.5 on the March 31, 2025 borrowing base certificate, which includes the undrawn availability on the FILO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debt-related items</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uses standby letters of credit to facilitate commercial transactions with third parties and to secure our performance to certain vendors. Total letters of credit outstanding under the New ABL Facility were $6.4 at March 31, 2025 and under the Prior ABL Facility were $6.5 at December 31, 2024. To the extent liabilities are incurred as a result of the activities covered by the letters of credit, such liabilities are included on the accompanying consolidated balance sheets. Restricted cash on the balance sheet is largely tied to cash collateralized letters of credit as we shift from our Prior ABL Facility to the New ABL Facility. As of the date of filing, $6.1 of the restricted cash is no longer restricted.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the Company had $0.6 of outstanding short-term indebtedness related to the financing of various insurance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Information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48" w:lineRule="exact"/>
        <w:rPr>
          <w:sz w:val="20"/>
          <w:szCs w:val="20"/>
          <w:color w:val="auto"/>
        </w:rPr>
      </w:pPr>
    </w:p>
    <w:p>
      <w:pPr>
        <w:ind w:left="640"/>
        <w:spacing w:after="0" w:line="280"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86" w:lineRule="exact"/>
        <w:rPr>
          <w:sz w:val="20"/>
          <w:szCs w:val="20"/>
          <w:color w:val="auto"/>
        </w:rPr>
      </w:pPr>
    </w:p>
    <w:p>
      <w:pPr>
        <w:ind w:left="640"/>
        <w:spacing w:after="0" w:line="280"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amounts of cash and cash equivalents, restricted cash, accounts receivable-trade and accounts payable represent their respective fair values due to their short-term nature. There was $55.0 debt outstanding under the ABL Facility as of March 31, 2025. The fair value of the ABL Facility approximates its carrying value as of March 31, 2025.</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following tables present the placement in the fair value hierarchy of the Senior Secured Notes, based on market prices for publicly traded debt, as of March 31, 2025 and December 31, 2024: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7"/>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2025</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1360" w:type="dxa"/>
            <w:vAlign w:val="bottom"/>
          </w:tcPr>
          <w:p>
            <w:pPr>
              <w:jc w:val="right"/>
              <w:ind w:right="50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2030 Senior Notes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w:t>
            </w:r>
          </w:p>
        </w:tc>
      </w:tr>
      <w:tr>
        <w:trPr>
          <w:trHeight w:val="207"/>
        </w:trPr>
        <w:tc>
          <w:tcPr>
            <w:tcW w:w="4320" w:type="dxa"/>
            <w:vAlign w:val="bottom"/>
          </w:tcPr>
          <w:p>
            <w:pPr>
              <w:ind w:left="240"/>
              <w:spacing w:after="0"/>
              <w:rPr>
                <w:sz w:val="20"/>
                <w:szCs w:val="20"/>
                <w:color w:val="auto"/>
              </w:rPr>
            </w:pPr>
            <w:r>
              <w:rPr>
                <w:rFonts w:ascii="Arial" w:cs="Arial" w:eastAsia="Arial" w:hAnsi="Arial"/>
                <w:sz w:val="16"/>
                <w:szCs w:val="16"/>
                <w:color w:val="auto"/>
              </w:rPr>
              <w:t>Total Senior Secured Notes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7"/>
        </w:trPr>
        <w:tc>
          <w:tcPr>
            <w:tcW w:w="430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2024</w:t>
            </w:r>
          </w:p>
        </w:tc>
        <w:tc>
          <w:tcPr>
            <w:tcW w:w="36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Level 2</w:t>
            </w:r>
          </w:p>
        </w:tc>
        <w:tc>
          <w:tcPr>
            <w:tcW w:w="34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 Senior Notes</w:t>
            </w:r>
          </w:p>
        </w:tc>
        <w:tc>
          <w:tcPr>
            <w:tcW w:w="600" w:type="dxa"/>
            <w:vAlign w:val="bottom"/>
            <w:tcBorders>
              <w:top w:val="single" w:sz="8" w:color="auto"/>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7"/>
        </w:trPr>
        <w:tc>
          <w:tcPr>
            <w:tcW w:w="4300" w:type="dxa"/>
            <w:vAlign w:val="bottom"/>
          </w:tcPr>
          <w:p>
            <w:pPr>
              <w:ind w:left="240"/>
              <w:spacing w:after="0"/>
              <w:rPr>
                <w:sz w:val="20"/>
                <w:szCs w:val="20"/>
                <w:color w:val="auto"/>
              </w:rPr>
            </w:pPr>
            <w:r>
              <w:rPr>
                <w:rFonts w:ascii="Arial" w:cs="Arial" w:eastAsia="Arial" w:hAnsi="Arial"/>
                <w:sz w:val="16"/>
                <w:szCs w:val="16"/>
                <w:color w:val="auto"/>
              </w:rPr>
              <w:t>Total Senior Secured Notes</w:t>
            </w:r>
          </w:p>
        </w:tc>
        <w:tc>
          <w:tcPr>
            <w:tcW w:w="6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placement in the fair value hierarchy of Assets Held for Sale, as disclosed in Note 4 - Property and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Equipment, Net, based on sales contracts and comparative price quotes, as of March 31, 2025 and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7"/>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March 31, 2025</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55"/>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7"/>
        </w:trPr>
        <w:tc>
          <w:tcPr>
            <w:tcW w:w="4320" w:type="dxa"/>
            <w:vAlign w:val="bottom"/>
          </w:tcPr>
          <w:p>
            <w:pPr>
              <w:spacing w:after="0"/>
              <w:rPr>
                <w:sz w:val="18"/>
                <w:szCs w:val="18"/>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December 31, 2024</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2025 and March 31, 2024, there was no before-tax loss (gain) related to Assets Held for Sale.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Contingencies and Off-Balance-Sheet Arrangements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Equity and Stock-Based Compensation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the Company’s common stock, par value $0.01 per share (“Common Stock”), having an aggregate offering price of up to $50.0. On November 16, 2022, the Company entered into Amendment No. 1 to the Equity Distribution Agreement, which, among other things, allows for debt-for-equity exchanges in accordance with Section 3(a)(9) of the Securities Act. On March 14, 2025, the Company entered into Amendment No. 2 to the Equity Distribution Agreement (the “EDA Amendment”), which, among other things, increased the aggregate offering price to up to approximately $57.8 (which amount includes all of the Common Stock previously sold pursuant to the Equity Distribution Agreement prior to the EDA Amendment) and provides for the Company's election not to deliver a placement notice.</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Common Stock offered and sold in the ATM Offering may be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three months ended March 31, 2025, the Company sold 142,769 shares of Common Stock in exchange for gross proceeds of approximately $0.5 and incurred legal and administrative fees of $0.1.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three months ended March 31, 2024, the Company did not sell any shares of Common Stock and incurred legal and administrative fees of $0.1.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10, 2023, the stockholders of KLXE approved the Second Amended and Restated KLX Energy Services Holdings, Inc. Long-Term Incentive Plan, amended and restated as of March 8, 2023 (the “Amended and Restated LTIP”), which, among other things, increased the total number of shares of Company Common Stock, par value $0.01 per share, for issuance by 1,200,000 shares, resulting in an increase of the total number of shares of our Common Stock reserved for issuance to 1,256,289, and extended the expiration date to March 8, 2033. A description of the Amended and Restated LTIP is included in the Company’s proxy statement, filed with the SEC on March 28, 2023.</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cost recognized during the three months ended March 31, 2025 and March 31, 2024 was related to grants of restricted stock as approved by the Compensation Committee. Stock-based compensation was $0.8 and $0.9 for the three months ended March 31, 2025 and March 31, 2024, respectively. Unrecognized compensation cost related to restricted stock awards made by the Company was $5.2 at March 31, 2025 and $3.9 at December 31,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was $0.2 and $0.2 for the three months ended March 31, 2025 and March 31, 2024, respectively, and was comprised primarily of state and local taxes. The Company has a valuation allowance against its deferred tax balances and, as a result, it was unable to recognize a federal tax benefit on its year-to-date losses.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additional guidance issued by the U.S. Treasury Department, the Internal Revenue Service and others.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Reporting</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for capital expenditures and acquisition funding to the Chief Operating Decision Maker (“CODM”). The Company's CODM is our Chief Executive Officer. As a result, the Company has three reportable segments.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significant expenses and operating (loss) income by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720"/>
              <w:spacing w:after="0"/>
              <w:rPr>
                <w:sz w:val="20"/>
                <w:szCs w:val="20"/>
                <w:color w:val="auto"/>
              </w:rPr>
            </w:pPr>
            <w:r>
              <w:rPr>
                <w:rFonts w:ascii="Arial" w:cs="Arial" w:eastAsia="Arial" w:hAnsi="Arial"/>
                <w:sz w:val="16"/>
                <w:szCs w:val="16"/>
                <w:b w:val="1"/>
                <w:bCs w:val="1"/>
                <w:color w:val="auto"/>
                <w:w w:val="99"/>
              </w:rPr>
              <w:t>Three Months Ended</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March 31, 2025</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rPr>
              <w:t>Northeast</w:t>
            </w:r>
          </w:p>
        </w:tc>
        <w:tc>
          <w:tcPr>
            <w:tcW w:w="18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13"/>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Less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gridSpan w:val="2"/>
          </w:tcPr>
          <w:p>
            <w:pPr>
              <w:ind w:left="1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CEEFF"/>
          </w:tcPr>
          <w:p>
            <w:pPr>
              <w:ind w:left="160"/>
              <w:spacing w:after="0" w:line="215" w:lineRule="exact"/>
              <w:rPr>
                <w:sz w:val="20"/>
                <w:szCs w:val="20"/>
                <w:color w:val="auto"/>
              </w:rPr>
            </w:pPr>
            <w:r>
              <w:rPr>
                <w:rFonts w:ascii="Arial" w:cs="Arial" w:eastAsia="Arial" w:hAnsi="Arial"/>
                <w:sz w:val="16"/>
                <w:szCs w:val="16"/>
                <w:color w:val="auto"/>
              </w:rPr>
              <w:t>Selling, general and administrative</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Other segment items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Segment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2"/>
        </w:trPr>
        <w:tc>
          <w:tcPr>
            <w:tcW w:w="4780" w:type="dxa"/>
            <w:vAlign w:val="bottom"/>
            <w:gridSpan w:val="2"/>
          </w:tcPr>
          <w:p>
            <w:pPr>
              <w:ind w:left="140"/>
              <w:spacing w:after="0"/>
              <w:rPr>
                <w:sz w:val="20"/>
                <w:szCs w:val="20"/>
                <w:color w:val="auto"/>
              </w:rPr>
            </w:pPr>
            <w:r>
              <w:rPr>
                <w:rFonts w:ascii="Arial" w:cs="Arial" w:eastAsia="Arial" w:hAnsi="Arial"/>
                <w:sz w:val="16"/>
                <w:szCs w:val="16"/>
                <w:i w:val="1"/>
                <w:iCs w:val="1"/>
                <w:color w:val="auto"/>
              </w:rPr>
              <w:t>Reconciliation of profit or loss (segment profit/(loss))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Unallocated corporate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3"/>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4"/>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9"/>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Loss before income tax</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firstLine="7"/>
        <w:spacing w:after="0" w:line="265" w:lineRule="auto"/>
        <w:tabs>
          <w:tab w:leader="none" w:pos="153"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Note that the Selling, general and administrative line item in the Consolidated Statement of Operations contains the Other segment items line item here, less the Research and development costs line item.</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720"/>
              <w:spacing w:after="0"/>
              <w:rPr>
                <w:sz w:val="20"/>
                <w:szCs w:val="20"/>
                <w:color w:val="auto"/>
              </w:rPr>
            </w:pPr>
            <w:r>
              <w:rPr>
                <w:rFonts w:ascii="Arial" w:cs="Arial" w:eastAsia="Arial" w:hAnsi="Arial"/>
                <w:sz w:val="16"/>
                <w:szCs w:val="16"/>
                <w:b w:val="1"/>
                <w:bCs w:val="1"/>
                <w:color w:val="auto"/>
                <w:w w:val="99"/>
              </w:rPr>
              <w:t>Three Months Ended</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March 31, 2024</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rPr>
              <w:t>Northeast</w:t>
            </w:r>
          </w:p>
        </w:tc>
        <w:tc>
          <w:tcPr>
            <w:tcW w:w="18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213"/>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Less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gridSpan w:val="2"/>
          </w:tcPr>
          <w:p>
            <w:pPr>
              <w:ind w:left="1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CEEFF"/>
          </w:tcPr>
          <w:p>
            <w:pPr>
              <w:ind w:left="160"/>
              <w:spacing w:after="0" w:line="215" w:lineRule="exact"/>
              <w:rPr>
                <w:sz w:val="20"/>
                <w:szCs w:val="20"/>
                <w:color w:val="auto"/>
              </w:rPr>
            </w:pPr>
            <w:r>
              <w:rPr>
                <w:rFonts w:ascii="Arial" w:cs="Arial" w:eastAsia="Arial" w:hAnsi="Arial"/>
                <w:sz w:val="16"/>
                <w:szCs w:val="16"/>
                <w:color w:val="auto"/>
              </w:rPr>
              <w:t>Selling, general and administrative</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Other segment items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Segment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2"/>
        </w:trPr>
        <w:tc>
          <w:tcPr>
            <w:tcW w:w="4780" w:type="dxa"/>
            <w:vAlign w:val="bottom"/>
            <w:gridSpan w:val="2"/>
          </w:tcPr>
          <w:p>
            <w:pPr>
              <w:ind w:left="140"/>
              <w:spacing w:after="0"/>
              <w:rPr>
                <w:sz w:val="20"/>
                <w:szCs w:val="20"/>
                <w:color w:val="auto"/>
              </w:rPr>
            </w:pPr>
            <w:r>
              <w:rPr>
                <w:rFonts w:ascii="Arial" w:cs="Arial" w:eastAsia="Arial" w:hAnsi="Arial"/>
                <w:sz w:val="16"/>
                <w:szCs w:val="16"/>
                <w:i w:val="1"/>
                <w:iCs w:val="1"/>
                <w:color w:val="auto"/>
              </w:rPr>
              <w:t>Reconciliation of profit or loss (segment profit/(loss))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Unallocated corporate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3"/>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4"/>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9"/>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Loss before income tax</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firstLine="7"/>
        <w:spacing w:after="0" w:line="287" w:lineRule="auto"/>
        <w:tabs>
          <w:tab w:leader="none" w:pos="153"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Note that the Selling, general and administrative line item in the Consolidated Statement of Operations contains the Other segment items line item here, less the Research and development costs line item.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Other segment items include research and development costs, allocations and other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revenues by service offering by reportable segment: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8"/>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rPr>
              <w:t>Northeast</w:t>
            </w: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3"/>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8"/>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March 31, 2024</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rPr>
              <w:t>Northeast</w:t>
            </w: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3"/>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Three Months Ended</w:t>
            </w:r>
          </w:p>
        </w:tc>
        <w:tc>
          <w:tcPr>
            <w:tcW w:w="2580" w:type="dxa"/>
            <w:vAlign w:val="bottom"/>
            <w:tcBorders>
              <w:bottom w:val="single" w:sz="8" w:color="auto"/>
            </w:tcBorders>
          </w:tcPr>
          <w:p>
            <w:pPr>
              <w:spacing w:after="0"/>
              <w:rPr>
                <w:sz w:val="18"/>
                <w:szCs w:val="18"/>
                <w:color w:val="auto"/>
              </w:rPr>
            </w:pPr>
          </w:p>
        </w:tc>
      </w:tr>
      <w:tr>
        <w:trPr>
          <w:trHeight w:val="207"/>
        </w:trPr>
        <w:tc>
          <w:tcPr>
            <w:tcW w:w="4200" w:type="dxa"/>
            <w:vAlign w:val="bottom"/>
            <w:tcBorders>
              <w:bottom w:val="single" w:sz="8" w:color="CCEEFF"/>
            </w:tcBorders>
          </w:tcPr>
          <w:p>
            <w:pPr>
              <w:spacing w:after="0"/>
              <w:rPr>
                <w:sz w:val="18"/>
                <w:szCs w:val="18"/>
                <w:color w:val="auto"/>
              </w:rPr>
            </w:pPr>
          </w:p>
        </w:tc>
        <w:tc>
          <w:tcPr>
            <w:tcW w:w="25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March 31, 2025</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b w:val="1"/>
                <w:bCs w:val="1"/>
                <w:color w:val="auto"/>
              </w:rPr>
              <w:t>December 31, 2024</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520" w:type="dxa"/>
            <w:vAlign w:val="bottom"/>
            <w:shd w:val="clear" w:color="auto" w:fill="CCEEFF"/>
          </w:tcPr>
          <w:p>
            <w:pPr>
              <w:jc w:val="right"/>
              <w:ind w:right="23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6"/>
                <w:szCs w:val="16"/>
                <w:color w:val="auto"/>
                <w:w w:val="8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152.3</w:t>
            </w: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206"/>
        </w:trPr>
        <w:tc>
          <w:tcPr>
            <w:tcW w:w="4200" w:type="dxa"/>
            <w:vAlign w:val="bottom"/>
          </w:tcPr>
          <w:p>
            <w:pPr>
              <w:ind w:left="160"/>
              <w:spacing w:after="0"/>
              <w:rPr>
                <w:sz w:val="20"/>
                <w:szCs w:val="20"/>
                <w:color w:val="auto"/>
              </w:rPr>
            </w:pPr>
            <w:r>
              <w:rPr>
                <w:rFonts w:ascii="Arial" w:cs="Arial" w:eastAsia="Arial" w:hAnsi="Arial"/>
                <w:sz w:val="16"/>
                <w:szCs w:val="16"/>
                <w:color w:val="auto"/>
              </w:rPr>
              <w:t>Total</w:t>
            </w:r>
          </w:p>
        </w:tc>
        <w:tc>
          <w:tcPr>
            <w:tcW w:w="2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356.4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364.7</w:t>
            </w:r>
          </w:p>
        </w:tc>
      </w:tr>
      <w:tr>
        <w:trPr>
          <w:trHeight w:val="214"/>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assets</w:t>
            </w:r>
          </w:p>
        </w:tc>
        <w:tc>
          <w:tcPr>
            <w:tcW w:w="2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09"/>
        </w:trPr>
        <w:tc>
          <w:tcPr>
            <w:tcW w:w="420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2520" w:type="dxa"/>
            <w:vAlign w:val="bottom"/>
            <w:tcBorders>
              <w:bottom w:val="single" w:sz="8" w:color="auto"/>
            </w:tcBorders>
          </w:tcPr>
          <w:p>
            <w:pPr>
              <w:jc w:val="right"/>
              <w:ind w:right="2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w w:val="89"/>
              </w:rPr>
              <w:t>$</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r>
      <w:tr>
        <w:trPr>
          <w:trHeight w:val="20"/>
        </w:trPr>
        <w:tc>
          <w:tcPr>
            <w:tcW w:w="42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capital expenditures by reportable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Three Months Ended</w:t>
            </w:r>
          </w:p>
        </w:tc>
        <w:tc>
          <w:tcPr>
            <w:tcW w:w="2520" w:type="dxa"/>
            <w:vAlign w:val="bottom"/>
            <w:tcBorders>
              <w:bottom w:val="single" w:sz="8" w:color="auto"/>
            </w:tcBorders>
          </w:tcPr>
          <w:p>
            <w:pPr>
              <w:spacing w:after="0"/>
              <w:rPr>
                <w:sz w:val="18"/>
                <w:szCs w:val="18"/>
                <w:color w:val="auto"/>
              </w:rPr>
            </w:pPr>
          </w:p>
        </w:tc>
      </w:tr>
      <w:tr>
        <w:trPr>
          <w:trHeight w:val="207"/>
        </w:trPr>
        <w:tc>
          <w:tcPr>
            <w:tcW w:w="4200" w:type="dxa"/>
            <w:vAlign w:val="bottom"/>
            <w:tcBorders>
              <w:bottom w:val="single" w:sz="8" w:color="CCEEFF"/>
            </w:tcBorders>
          </w:tcPr>
          <w:p>
            <w:pPr>
              <w:spacing w:after="0"/>
              <w:rPr>
                <w:sz w:val="18"/>
                <w:szCs w:val="18"/>
                <w:color w:val="auto"/>
              </w:rPr>
            </w:pPr>
          </w:p>
        </w:tc>
        <w:tc>
          <w:tcPr>
            <w:tcW w:w="25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March 31, 2025</w:t>
            </w: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b w:val="1"/>
                <w:bCs w:val="1"/>
                <w:color w:val="auto"/>
              </w:rPr>
              <w:t>March 31, 2024</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520" w:type="dxa"/>
            <w:vAlign w:val="bottom"/>
            <w:shd w:val="clear" w:color="auto" w:fill="CCEEFF"/>
          </w:tcPr>
          <w:p>
            <w:pPr>
              <w:jc w:val="right"/>
              <w:ind w:right="23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Unallocated expenditures</w:t>
            </w:r>
          </w:p>
        </w:tc>
        <w:tc>
          <w:tcPr>
            <w:tcW w:w="2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4"/>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2520" w:type="dxa"/>
            <w:vAlign w:val="bottom"/>
            <w:tcBorders>
              <w:bottom w:val="single" w:sz="8" w:color="auto"/>
            </w:tcBorders>
            <w:shd w:val="clear" w:color="auto" w:fill="CCEEFF"/>
          </w:tcPr>
          <w:p>
            <w:pPr>
              <w:jc w:val="right"/>
              <w:ind w:right="2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Per Common Share</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three months ended March 31, 2025 and March 31, 2024, 0.7 and 0.2 million shares of the Company’s Common Stock, respectively, were excluded from the determination of diluted net loss per common share because their effect would have been anti-dilutive. The computations of basic and diluted net loss per share for the three months ended March 31, 2025 and March 31, 2024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80" w:type="dxa"/>
            <w:vAlign w:val="bottom"/>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2025</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b w:val="1"/>
                <w:bCs w:val="1"/>
                <w:color w:val="auto"/>
              </w:rPr>
              <w:t>March 31, 2024</w:t>
            </w:r>
          </w:p>
        </w:tc>
        <w:tc>
          <w:tcPr>
            <w:tcW w:w="0" w:type="dxa"/>
            <w:vAlign w:val="bottom"/>
          </w:tcPr>
          <w:p>
            <w:pPr>
              <w:spacing w:after="0"/>
              <w:rPr>
                <w:sz w:val="1"/>
                <w:szCs w:val="1"/>
                <w:color w:val="auto"/>
              </w:rPr>
            </w:pPr>
          </w:p>
        </w:tc>
      </w:tr>
      <w:tr>
        <w:trPr>
          <w:trHeight w:val="231"/>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0" w:type="dxa"/>
            <w:vAlign w:val="bottom"/>
            <w:tcBorders>
              <w:bottom w:val="single" w:sz="8" w:color="auto"/>
            </w:tcBorders>
            <w:shd w:val="clear" w:color="auto" w:fill="CCEEFF"/>
          </w:tcPr>
          <w:p>
            <w:pPr>
              <w:jc w:val="right"/>
              <w:ind w:right="18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in millions)</w:t>
            </w: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28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0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20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0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per common share</w:t>
            </w:r>
          </w:p>
        </w:tc>
        <w:tc>
          <w:tcPr>
            <w:tcW w:w="2000" w:type="dxa"/>
            <w:vAlign w:val="bottom"/>
            <w:shd w:val="clear" w:color="auto" w:fill="CCEEFF"/>
          </w:tcPr>
          <w:p>
            <w:pPr>
              <w:jc w:val="right"/>
              <w:ind w:right="18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6"/>
                <w:szCs w:val="16"/>
                <w:color w:val="auto"/>
              </w:rPr>
              <w:t>Diluted net loss per common share</w:t>
            </w:r>
          </w:p>
        </w:tc>
        <w:tc>
          <w:tcPr>
            <w:tcW w:w="2000" w:type="dxa"/>
            <w:vAlign w:val="bottom"/>
          </w:tcPr>
          <w:p>
            <w:pPr>
              <w:jc w:val="right"/>
              <w:ind w:right="18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780" w:type="dxa"/>
            <w:vAlign w:val="bottom"/>
          </w:tcPr>
          <w:p>
            <w:pPr>
              <w:jc w:val="right"/>
              <w:ind w:right="600"/>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Securities and Exchange Commission (the “SEC”), in particular those discussed under the headings “Risk Factors” in our Annual Report on Form 10-K for the year ended December 31, 2024 and in this Quarterly Report, including the following factors:</w:t>
      </w:r>
    </w:p>
    <w:p>
      <w:pPr>
        <w:spacing w:after="0" w:line="207" w:lineRule="exact"/>
        <w:rPr>
          <w:sz w:val="20"/>
          <w:szCs w:val="20"/>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such as market volatility, inflation and government efforts to reduce inflation or a recession;</w:t>
      </w:r>
    </w:p>
    <w:p>
      <w:pPr>
        <w:spacing w:after="0" w:line="24"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persistent volatility in national and global crude oil demand and crude oil prices;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in response to reductions in demand or other factors;</w:t>
      </w: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6" w:lineRule="exact"/>
        <w:rPr>
          <w:rFonts w:ascii="Arial" w:cs="Arial" w:eastAsia="Arial" w:hAnsi="Arial"/>
          <w:sz w:val="18"/>
          <w:szCs w:val="18"/>
          <w:color w:val="auto"/>
        </w:rPr>
      </w:pPr>
    </w:p>
    <w:p>
      <w:pPr>
        <w:jc w:val="both"/>
        <w:ind w:left="800" w:hanging="151"/>
        <w:spacing w:after="0" w:line="248"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domestic and global political and economic conditions, including the imposition of increased, new and retaliatory tariffs or trade or other economic sanctions, political instability or armed conflict, including the ongoing conflicts in Ukraine, the Israel-Gaza region and elsewhere in the Middle East, including rising tensions with Iran;</w:t>
      </w: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or interruption in operations of one or more key suppliers;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24"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liquidity levels and the need to obtain additional capital or financing, and the availability and/or cost of obtaining such capital or financing;</w:t>
      </w:r>
    </w:p>
    <w:p>
      <w:pPr>
        <w:jc w:val="both"/>
        <w:ind w:left="800" w:hanging="151"/>
        <w:spacing w:after="0" w:line="248"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supply, demand and costs of equipment, including as a result of tariffs;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of terrorist or cyber attacks and the consequences of any such events;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environment and impacts resulting from a global pandemic and subsequent variants;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successfully consummate or integrate our acquisitions or inability to manage potential growth; and</w:t>
      </w:r>
    </w:p>
    <w:p>
      <w:pPr>
        <w:spacing w:after="0" w:line="6" w:lineRule="exact"/>
        <w:rPr>
          <w:rFonts w:ascii="Arial" w:cs="Arial" w:eastAsia="Arial" w:hAnsi="Arial"/>
          <w:sz w:val="18"/>
          <w:szCs w:val="18"/>
          <w:color w:val="auto"/>
        </w:rPr>
      </w:pPr>
    </w:p>
    <w:p>
      <w:pPr>
        <w:ind w:left="800" w:hanging="151"/>
        <w:spacing w:after="0" w:line="244"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(U.S. dollars in millions, except per share data)</w:t>
      </w:r>
    </w:p>
    <w:p>
      <w:pPr>
        <w:spacing w:after="0" w:line="15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auto"/>
        </w:rPr>
        <w:t>The following discussion and analysis should be read in conjunction with the historical condensed consolidated financial statements and related notes included elsewhere in this Quarterly Report as well as our Annual Report on Form 10-K for the year ended December 31, 2024</w:t>
      </w:r>
      <w:r>
        <w:rPr>
          <w:rFonts w:ascii="Arial" w:cs="Arial" w:eastAsia="Arial" w:hAnsi="Arial"/>
          <w:sz w:val="18"/>
          <w:szCs w:val="18"/>
          <w:color w:val="auto"/>
        </w:rPr>
        <w:t>.</w:t>
      </w:r>
    </w:p>
    <w:p>
      <w:pPr>
        <w:jc w:val="both"/>
        <w:spacing w:after="0" w:line="225" w:lineRule="auto"/>
        <w:rPr>
          <w:sz w:val="20"/>
          <w:szCs w:val="20"/>
          <w:color w:val="auto"/>
        </w:rPr>
      </w:pPr>
      <w:r>
        <w:rPr>
          <w:rFonts w:ascii="Arial" w:cs="Arial" w:eastAsia="Arial" w:hAnsi="Arial"/>
          <w:sz w:val="18"/>
          <w:szCs w:val="18"/>
          <w:i w:val="1"/>
          <w:iCs w:val="1"/>
          <w:color w:val="auto"/>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addresses the results of our operations for the three months ended March 31, 2025, as compared to our results of operations for the three months ended March 31, 2024. In addition, the discussion and analysis addresses our liquidity, financial condition and other matters for these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Quintana Energy Services, Inc. (“QES”) during the second quarter of 2020 and, by doing so, helped establish KLXE as an industry leading provider of asset-light oilfield solutions across the full well lifecycle to the major onshore oil and gas producing regions of the United States.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merger of KLXE and QES (the “QES Merger”)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resulting in KLXE becoming a leading diversified provider of drilling, completions and production services, with market leadership positions in coiled tubing and fishing services. After closing the QES Merger, the Company integrated personnel, facilities, processes and systems across all functional areas of the organization.</w:t>
      </w:r>
    </w:p>
    <w:p>
      <w:pPr>
        <w:spacing w:after="0" w:line="21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On March 8, 2023, KLXE acquired all of the equity interests of Greene’s Energy Group, LLC (“Greene’s”), in an all-stock transaction, including $1.7 in cash remaining at Greene's, which was subsequently adjusted to $1.1 due to a $0.6 working capital adjustment.</w:t>
      </w:r>
    </w:p>
    <w:p>
      <w:pPr>
        <w:spacing w:after="0" w:line="186"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Looking ahead, the Company expects to continue to pursue opportunistic, strategic, accretive acquisitions that would be expected to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geographic segments. While we manage our business based upon these geographic groupings, our assets and our technical personnel are deployed on a dynamic basis across all of our service facilities to optimize utilization and profitability.</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and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37 patents and 7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Demand for services in the oil and natural gas industry is cyclical and subject to sudden and significant volatility. While oil prices declined in the first half of 2023 from their 2022 highs, oil prices rebounded in the third quarter of 2023 due to stronger than anticipated economic growth and sustained production cuts from Saudi Arabia and Russia, followed by oil price stabilization, through decreases, in the fourth quarter of 2023 due to a decrease in demand as the overall economy declined. During the first half of 2024, oil prices increased steadily, while in the second half of the year they fell back and traded within a relatively narrow band. Natural gas prices also declined since the fourth quarter of 2023, bottoming out in the first quarter of 2024 and remaining near historic lows for the remainder of the year, before increasing in early 2025 to a two-year high. Oil and natural gas prices have been, and may remain, volatile, which impacts demand for our business. West Texas Intermediate’s (“WTI") average daily price per barrel increased by approximately 1.4%, to $71.78 per Bbl during the three months ended March 31, 2025, compared to the WTI average daily price per barrel of $70.81 per Bbl during the three months ended December 31, 2024. In early April 2025, after the introduction of tariffs by the U.S. government and an announced increase in production from the Organization of the Petroleum Exporting Countries and its allies (“OPEC+”), the price of oil dropped by approximately 15%, from $71.87 per Bbl to $61.05 per Bbl. As of March 31, 2025, U.S. rig count stood at 592, which remained flat compared to December 31, 2024, when the U.S. rig count was 589.</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volatility in commodity prices during the fiscal year ended December 31, 2024, the Company remains focused on providing the highest level of customer service across our regions and different service offerings, which has allowed us to make meaningful positive impacts to our revenue, operating margins, cash flows and Adjusted EBITDA (as defined below). We are taking steps to hire essential personnel and increase capital expenditures as activity rebounds, but we are measured in our growth and focused on returns.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Looking ahead to the year ending December 31, 2025, assuming economic activity holds at the recent level and commodity prices remain volatile, we anticipate that our customers will continue to cautiously allocate capital and operating expense spending. So far in the year ending December 31, 2025, WTI prices have increased slightly in the first quarter, before suddenly decreasing due to the above events, making it difficult to anticipate future changes in price. Currently, global oil inventories supplied from OPEC+ and other oil producing nations are expected to decrease and therefore put downwards pricing pressure globally. As oil price remains at the break-even level for some operators, we expect the industry to retain a cautious approach to drilling expansion, as evidenced by the U.S. rig count being flat through mid-April 2025.</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Oil and natural gas prices may fluctuate with changes in demand due to, among other things, the ongoing war in Ukraine, the Israel-Hamas conflict, rising tensions with Iran, international sanctions, speculation as to future actions by OPEC+, gas prices, interest rates, inflation and government efforts to reduce inflation, and possible changes in the overall health of the global economy, including a perceived economic recovery or any increased volatility in financial and credit markets, the imposition of increased, new and retaliatory tariffs or a recession.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that are not within our control and cannot be accurately predicted.</w:t>
      </w:r>
    </w:p>
    <w:p>
      <w:pPr>
        <w:spacing w:after="0" w:line="21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We believe our diverse product and service offerings uniquely position KLXE to respond to a rapidly evolving marketplace where we can provide a comprehensive suite of engineered solutions for our customers with one call and one master services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services providers. As part of our returns-focused approach to capital spending, we are focused on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utilizing capital to develop new products. We support our existing asset base with targeted investments in R&amp;D, which we believe allows us to maintain a technical advantage over our competitors providing similar services using standard equipment.</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major basins, while preserving a solid balance sheet, maintaining sufficient operating liquidity and prudently managing our capital expenditures.</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may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2025 Compared to Three Months Ended March 31,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9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 and product line for the periods indicated:</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22"/>
        </w:trPr>
        <w:tc>
          <w:tcPr>
            <w:tcW w:w="464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1"/>
        </w:trPr>
        <w:tc>
          <w:tcPr>
            <w:tcW w:w="46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March 31, 2025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3"/>
          </w:tcPr>
          <w:p>
            <w:pPr>
              <w:ind w:left="500"/>
              <w:spacing w:after="0"/>
              <w:rPr>
                <w:sz w:val="20"/>
                <w:szCs w:val="20"/>
                <w:color w:val="auto"/>
              </w:rPr>
            </w:pPr>
            <w:r>
              <w:rPr>
                <w:rFonts w:ascii="Arial" w:cs="Arial" w:eastAsia="Arial" w:hAnsi="Arial"/>
                <w:sz w:val="18"/>
                <w:szCs w:val="18"/>
                <w:b w:val="1"/>
                <w:bCs w:val="1"/>
                <w:color w:val="auto"/>
              </w:rPr>
              <w:t>March 31, 2024</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464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1940" w:type="dxa"/>
            <w:vAlign w:val="bottom"/>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660" w:type="dxa"/>
            <w:vAlign w:val="bottom"/>
          </w:tcPr>
          <w:p>
            <w:pPr>
              <w:jc w:val="right"/>
              <w:ind w:right="145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2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1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7"/>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Northeast/Mid-Con</w:t>
            </w:r>
          </w:p>
        </w:tc>
        <w:tc>
          <w:tcPr>
            <w:tcW w:w="1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4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940" w:type="dxa"/>
            <w:vAlign w:val="bottom"/>
            <w:tcBorders>
              <w:bottom w:val="single" w:sz="8" w:color="auto"/>
            </w:tcBorders>
            <w:shd w:val="clear" w:color="auto" w:fill="CCEEFF"/>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45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4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46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March 31, 2025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2024</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4640" w:type="dxa"/>
            <w:vAlign w:val="bottom"/>
          </w:tcPr>
          <w:p>
            <w:pPr>
              <w:ind w:left="280"/>
              <w:spacing w:after="0"/>
              <w:rPr>
                <w:sz w:val="20"/>
                <w:szCs w:val="20"/>
                <w:color w:val="auto"/>
              </w:rPr>
            </w:pPr>
            <w:r>
              <w:rPr>
                <w:rFonts w:ascii="Arial" w:cs="Arial" w:eastAsia="Arial" w:hAnsi="Arial"/>
                <w:sz w:val="18"/>
                <w:szCs w:val="18"/>
                <w:color w:val="auto"/>
              </w:rPr>
              <w:t>Drilling</w:t>
            </w:r>
          </w:p>
        </w:tc>
        <w:tc>
          <w:tcPr>
            <w:tcW w:w="1940" w:type="dxa"/>
            <w:vAlign w:val="bottom"/>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Completion</w:t>
            </w:r>
          </w:p>
        </w:tc>
        <w:tc>
          <w:tcPr>
            <w:tcW w:w="1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7"/>
        </w:trPr>
        <w:tc>
          <w:tcPr>
            <w:tcW w:w="4640" w:type="dxa"/>
            <w:vAlign w:val="bottom"/>
          </w:tcPr>
          <w:p>
            <w:pPr>
              <w:ind w:left="280"/>
              <w:spacing w:after="0"/>
              <w:rPr>
                <w:sz w:val="20"/>
                <w:szCs w:val="20"/>
                <w:color w:val="auto"/>
              </w:rPr>
            </w:pPr>
            <w:r>
              <w:rPr>
                <w:rFonts w:ascii="Arial" w:cs="Arial" w:eastAsia="Arial" w:hAnsi="Arial"/>
                <w:sz w:val="18"/>
                <w:szCs w:val="18"/>
                <w:color w:val="auto"/>
              </w:rPr>
              <w:t>Production</w:t>
            </w:r>
          </w:p>
        </w:tc>
        <w:tc>
          <w:tcPr>
            <w:tcW w:w="1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19.4 %</w:t>
            </w:r>
          </w:p>
        </w:tc>
      </w:tr>
      <w:tr>
        <w:trPr>
          <w:trHeight w:val="22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Intervention</w:t>
            </w:r>
          </w:p>
        </w:tc>
        <w:tc>
          <w:tcPr>
            <w:tcW w:w="1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21"/>
        </w:trPr>
        <w:tc>
          <w:tcPr>
            <w:tcW w:w="46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940" w:type="dxa"/>
            <w:vAlign w:val="bottom"/>
            <w:tcBorders>
              <w:bottom w:val="single" w:sz="8" w:color="auto"/>
            </w:tcBorders>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46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quarter ended March 31, 2025, revenues were $154.0, a decrease of $20.7, or 11.8%, as compared with the prior year period. The overall decrease in revenues reflects a decline in activity during the quarter, leading to lower demand for our services. Lower weighted average price contributed to approximately 3% of the $20.7 decrease, and lower weighted average volume contributed to the remaining approximately 97%. On a segment basis, Rocky Mountains segment revenue increased by $2.2 or 4.8%. This increase was driven entirely by an increase in weighted average volume. Southwest segment revenue decreased by $4.2 or 6.1%. This decrease was driven entirely by a decrease in weighted average volume. Northeast/Mid-Con segment revenue decreased by $18.7 or 31.3%. Lower weighted average price contributed to approximately 13% of the dollar decrease, and lower weighted average volume contributed to the remaining approximately 87%.</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quarter ended March 31, 2025, cost of sales were $123.8, or 80.4% of sales, as compared to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2024 of $144.0, or 82.4% of sales. Cost of sales as a percentage of revenues decreased primarily due to higher leverage of fixed costs during the quarter. The two largest components of cost of sales are labor and repair &amp; maintenance. As cost of sales as a percentage of revenues decreased, labor costs per employee decreased by 2.6% as compared with the three months ended March 31, 2024. Repair &amp; maintenance costs as a percentage of revenues decreased by 11.1% as compared to the three months ended March 31, 2024, due to a decrease in repair &amp; maintenance costs during the quarter.</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 (“SG&amp;A”)</w:t>
      </w:r>
      <w:r>
        <w:rPr>
          <w:rFonts w:ascii="Arial" w:cs="Arial" w:eastAsia="Arial" w:hAnsi="Arial"/>
          <w:sz w:val="18"/>
          <w:szCs w:val="18"/>
          <w:color w:val="auto"/>
        </w:rPr>
        <w:t>. For the quarter ended March 31, 2025, SG&amp;A expenses were $21.6, or 14.0%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as compared with $21.6, or 12.4% of revenues, in the prior year period. The increase in percentage of revenues is due to the lower revenues and lower leverage of fixed costs during the quarter, as SG&amp;A remained the same on a dollar basis compared to the three months ended March 31,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income</w:t>
      </w:r>
      <w:r>
        <w:rPr>
          <w:rFonts w:ascii="Arial" w:cs="Arial" w:eastAsia="Arial" w:hAnsi="Arial"/>
          <w:sz w:val="18"/>
          <w:szCs w:val="18"/>
          <w:color w:val="auto"/>
        </w:rPr>
        <w:t>. The following is a summary of operating (loss) income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5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191"/>
              <w:spacing w:after="0"/>
              <w:rPr>
                <w:sz w:val="20"/>
                <w:szCs w:val="20"/>
                <w:color w:val="auto"/>
              </w:rPr>
            </w:pPr>
            <w:r>
              <w:rPr>
                <w:rFonts w:ascii="Arial" w:cs="Arial" w:eastAsia="Arial" w:hAnsi="Arial"/>
                <w:sz w:val="18"/>
                <w:szCs w:val="18"/>
                <w:b w:val="1"/>
                <w:bCs w:val="1"/>
                <w:color w:val="auto"/>
              </w:rPr>
              <w:t>March 31, 2025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2024</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76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83.3 %</w:t>
            </w:r>
          </w:p>
        </w:tc>
      </w:tr>
      <w:tr>
        <w:trPr>
          <w:trHeight w:val="227"/>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7"/>
        </w:trPr>
        <w:tc>
          <w:tcPr>
            <w:tcW w:w="5760" w:type="dxa"/>
            <w:vAlign w:val="bottom"/>
          </w:tcPr>
          <w:p>
            <w:pPr>
              <w:ind w:left="280"/>
              <w:spacing w:after="0"/>
              <w:rPr>
                <w:sz w:val="20"/>
                <w:szCs w:val="20"/>
                <w:color w:val="auto"/>
              </w:rPr>
            </w:pPr>
            <w:r>
              <w:rPr>
                <w:rFonts w:ascii="Arial" w:cs="Arial" w:eastAsia="Arial" w:hAnsi="Arial"/>
                <w:sz w:val="18"/>
                <w:szCs w:val="18"/>
                <w:color w:val="auto"/>
              </w:rPr>
              <w:t>Northeast/Mid-Con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7"/>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21"/>
        </w:trPr>
        <w:tc>
          <w:tcPr>
            <w:tcW w:w="5760" w:type="dxa"/>
            <w:vAlign w:val="bottom"/>
          </w:tcPr>
          <w:p>
            <w:pPr>
              <w:ind w:left="20"/>
              <w:spacing w:after="0"/>
              <w:rPr>
                <w:sz w:val="20"/>
                <w:szCs w:val="20"/>
                <w:color w:val="auto"/>
              </w:rPr>
            </w:pPr>
            <w:r>
              <w:rPr>
                <w:rFonts w:ascii="Arial" w:cs="Arial" w:eastAsia="Arial" w:hAnsi="Arial"/>
                <w:sz w:val="18"/>
                <w:szCs w:val="18"/>
                <w:color w:val="auto"/>
              </w:rPr>
              <w:t>Total operating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For the quarter ended March 31, 2025, operating loss was $17.7 compared to operating loss of $13.1 in the prior year period, due to a reduction in activity and pricing.</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results across our three geographic segments declined as a function of lower revenues compared to the prior year period. Rocky Mountains segment operating loss was $0.2, Southwest segment operating income was $3.0, and Northeast/Mid-Con segment operating loss was $8.1 for the three months ended March 31, 2025.</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quarter ended March 31, 2025, income tax expense was $0.2, consistent with income tax expense of $0.2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and was comprised primarily of state and local taxes. The Company did not recognize a federal tax benefit on its year-to-date losses because it has a valuation allowance against its deferred tax balances.</w:t>
      </w:r>
    </w:p>
    <w:p>
      <w:pPr>
        <w:spacing w:after="0" w:line="200"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Net (loss) income</w:t>
      </w:r>
      <w:r>
        <w:rPr>
          <w:rFonts w:ascii="Arial" w:cs="Arial" w:eastAsia="Arial" w:hAnsi="Arial"/>
          <w:sz w:val="18"/>
          <w:szCs w:val="18"/>
          <w:color w:val="auto"/>
        </w:rPr>
        <w:t>. For the quarter ended March 31, 2025, net loss was $27.9, as compared to net loss of $22.2 in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decreasing primarily as a result of lower revenues as discussed above.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our Prior ABL Facility and New ABL Facility and cash flows from operations. At March 31, 2025, we had $14.6 of cash and cash equivalents, and $43.5 available on the March 2025 ABL Facility Borrowing Base Certificate, which resulted in a total liquidity position of $58.1.</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taken several actions to continue to improve our liquidity position, including efficiencies gained from the QES Merger, equity issuances under our ATM Offering program, debt-for-equity exchanges that have reduced interest burden and monetized non-core and obsolete assets. Most recently, we completed a refinancing of our long-term indebtedness on March 12, 2025, as described in greater detail under “—Refinancing”, “—ABL Facilities—New ABL Facility” and “—Senior Secured Notes—2030 Senior Notes” below. As market conditions warrant and subject to our contractual restrictions, liquidity position and other factors, we may further access the public or private debt and equity markets or seek to recapitalize, refinance or otherwise restructure our capital structure.</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pay the principal and interest on our debt and to satisfy our other liabilities will depend on our future operating performance. Our future operating performance will be affected by prevailing economic and 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 In addition, incurring additional debt in excess of our existing outstanding indebtedness would result in increased interest expense and financial leverage, and issuing Common Stock may result in dilution to our current stockholders.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actively manage our capital spending and are focused primarily on required maintenance spending. For the past couple of years, due to increasing oil prices leading to an increase in demand for our services, our operating cash flow has been positive. Based on our current forecasts, we believe our cash on hand, availability under the New ABL Facility and our cash flows will provide us with the ability to fund our operations for at least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7, 2025, the Company and certain of our subsidiaries party thereto entered into a Securities Purchase Agreement with certain holders (the “Investors”) of our 11.5% senior secured notes due 2025 (the “2025 Senior Notes”), pursuant to which the Company agreed to issue and sell to the Investors (a) approximately $232.2 in aggregate principal amount of the Senior Secured Floating Rate Cash / PIK Notes due 2030 (the “2030 Senior Notes” and, together with the 2025 Senior Notes, the “Senior Secured Notes”) and (b) warrants entitling the holders thereof to purchase, in the aggregate, up to 2,373,187 shares of Common Stock, at an exercise price of $0.01 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ABL Facility</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10, 2018, the Company entered into a Credit Agreement, by and among the Company, as borrower, certain subsidiaries of the Company, as guarantors, JPMorgan Chase Bank, N.A., as administrative agent (“Prior Administrative Agent”), as collateral agent and as issuing lender, and the lenders party thereto, which has been repaid in full and the commitments thereunder terminated (as amended, supplemented, or otherwise modified prior to the termination thereof, the “Prior ABL Facility”). The Prior ABL Facility became effective on September 14, 2018 and was scheduled to mature in 2025. Borrowings under the Prior ABL Facility bore interest at a rate equal to Term SOFR (as defined in the Prior ABL Facility) plus the Applicable Margin (as defined in the Prior ABL Facility).</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12, 2025, in connection with the completion of the Refinancing, the Prior ABL Facility was repaid in full using borrowings under the New ABL Facility and the commitments thereunder terminated. In connection with the prepayment and termination of the Prior ABL Facility, the Company provided Prior Administrative Agent cash collateral in support of certain existing letters of credit and existing purchasing card program in an aggregate amount of approximately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ABL Facility</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March 7, 2025, the Company also entered into a Credit Agreement, dated as of March 7, 2025 (the “New ABL Facility”), with the Company, as borrower, Eclipse Business Capital LLC, as administrative agent, as collateral agent and as FILO administrative agent and the lenders party thereto. The New ABL Facility is comprised of an asset-based revolving credit facility with a $125.0 commitment (the “Revolving Facility”), a first-in-last-out asset-based credit facility with a $10.0 commitment (the “FILO Facility”), and a committed incremental loan option under the Revolving Facility with a $25.0 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$ 5.0 over-advance provided on the initial funding date under the Revolving Facility. The New ABL Facility is secured by, among other things, a first priority lien on accounts receivable and inventory and contains customary conditions precedent to borrowing and affirmative and negative covenants.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funding under the New ABL Facility occurred on March 12, 2025, and the proceeds therefrom were used to repay the Prior ABL Facility in full. After giving effect to the foregoing, we had approximately $39.9 of available borrowing capacity under the New ABL Facility. The New ABL Facility includes a springing financial covenant which requires the Company’s consolidated fixed charge coverage ratio to be at least 1.0 to 1.0 if availability under the Revolving Facility falls below $7.0.</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New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New ABL Facility could result in an event of default, which could permit acceleration of the debt, termination of undrawn commitments and enforcement against any liens securing the debt. The New ABL Facility contains certain other covenants (including the ability to incur indebtedness for the purpose of consummating permitted acquisitions, subject to the terms of the New ABL Facility), events of default and other customary provisions. Our New ABL Facility matures in 2028.</w:t>
      </w:r>
    </w:p>
    <w:p>
      <w:pPr>
        <w:spacing w:after="0" w:line="184"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As of March 31, 2025, the borrowings outstanding under the New ABL Facility were $55.0. The effective interest rate under the New ABL Facility was approximately 9.06% on March 31, 2025. Accrued interest related to the New ABL Facility was $0.3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Senior Notes</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conjunction with the acquisition of Motley Services, LLC (“Motley”) in 2018, we issued $250.0 principal amount of the 2025 Senior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2025 Senior Notes, total debt related to the 2025 Senior Notes as of December 31, 2024 was $235.1. The 2025 Senior Notes bore interest at an annual rate of 11.5%, payable semi-annually in arrears on May 1 and November 1. Accrued interest as of December 31, 2024 was $4.5.</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12, 2025, approximately $143.6 aggregate principal amount of the 2025 Senior Notes were exchanged in connection with the Refinancing, and the Company deposited $97.1 in trust with the trustee for the 2025 Senior Notes and irrevocably instructed the trustee to apply such funds to effect the redemption of all of the remaining outstanding 2025 Senior Notes on March 30, 2025 at a redemption price of 100.000% of the principal amount thereof, plus accrued and unpaid interest. Upon deposit of such redemption amount, the indenture that governs the 2025 Senior Notes (the “2025 Senior Notes Indenture”) was satisfied and discharged in accordance with its terms and, as a result thereof, the Company has been released from its obligations under the 2025 Senior Notes and the 2025 Senior Notes Indenture except with respect to those provisions of the 2025 Senior Notes Indenture that, by their terms, survive the satisfaction and discharge of thereof.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2030 Senior Notes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 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 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2030 Senior Notes were initially fully and unconditionally guaranteed by each of the Company’s current subsidiaries. The 2030 Senior Notes will also be guaranteed by each of the Company’s future subsidiaries that guarantee the Company’s indebtedness or indebtedness of guarantors, including under the New ABL Facility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New ABL Facility on a first priority basis) and a second priority security interest on the guarantors’ assets which secure the New ABL Facility on a first priority basis, subject in each case to certain excluded assets.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be required to redeem the 2030 Senior Notes in an amount equal to 2.00% per annum of all 2030 Senior Notes outstanding as of the prior applicable Interest Payment Date (as defined in the 2030 Senior Notes Indenture) on the last business day of each of March, June, September and December, commencing on March 31, 2025. Additionally, upon certain changes of control, consummation of certain asset sales and other events, the Company will be required to repurchase the 2030 Senior Notes at the applicable redemption prices.</w:t>
      </w:r>
    </w:p>
    <w:p>
      <w:pPr>
        <w:spacing w:after="0" w:line="18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2030 Senior Notes Indenture contains certain financial covenants that include (i) a maximum total net leverage ratio of not greater than 4.50 to 1.0 for the test periods ending March 31, 2025 through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31, 2025, stepping down to 4.00 to 1.0 for the test periods ending March 31, 2026 through December 31, 2026, 3.50 to 1.0 for the test periods ending March 31, 2027 through December 31, 2027, 3.00 to 1.0 for the test periods ending March 31, 2028 through December 31, 2028, and 2.50 to 1.0 for each test period thereafter and (ii) restrictions on making net capital expenditures in any test period in excess of the greater of (x) $65.0 in the aggregate or (y) 7% of revenues during such test period.</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2025, the principal amount outstanding under the 2030 Senior Notes was $231.0. On a net basis, after taking into consideration unamortized debt issuance costs and original issue discount for the 2030 Senior Notes, total debt related to the 2030 Senior Notes as of March 31, 2025 was $206.0. The effective interest rate under the 2030 Senior Notes was approximately 12.83% on March 31, 2025. Accrued interest related to the 2030 Senior Notes was $1.6 as of March 31,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debt-related items</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uses standby letters of credit to facilitate commercial transactions with third parties and to secure our performance to certain vendors. Total letters of credit outstanding under the New ABL Facility were $6.4 at March 31, 2025 and under the Prior ABL Facility were $6.5 at December 31, 2024. To the extent liabilities are incurred as a result of the activities covered by the letters of credit, such liabilities are included on the accompanying consolidated balance sheets. Restricted cash on the balance sheet is largely tied to cash collateralized letters of credit as we shift from our Prior ABL Facility to the New ABL Facility. As of the date of filing, $6.1 of the restricted cash is no longer restricted.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the Company had $0.6 of outstanding short-term indebtedness related to the financing of various insurance premiums.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capital expenditures were $15.0 during the three months ended March 31, 2025, compared to $13.5 in the three months ended March 31, 2024. We offset $ 4.8 of capital spending during the three months ended March 31, 2025 with the same amount of proceeds from asset sales. Based on current industry conditions and our significant investments in capital expenditures over the past several years, we expect to incur between $ 40.0 and $50.0 in total capital expenditures for the year ending December 31, 2025.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the Company’s common stock, par value $0.01 per share (“Common Stock”), having an aggregate offering price of up to $50.0. On November 16, 2022, the Company entered into Amendment No. 1 to the Equity Distribution Agreement, which, among other things, allows for debt-for-equity exchanges in accordance with Section 3(a)(9) of the Securities Act. On March 14, 2025, the Company entered into Amendment No. 2 to the Equity Distribution Agreement (the “EDA Amendment”), which, among other things, increased the aggregate offering price to up to approximately $57.75 (which amount includes all of the Common Stock previously sold pursuant to the Equity Distribution Agreement prior to the EDA Amendment) and provides for the Company's election not to deliver a placement notice. Under the terms of the Equity Distribution Agreement, the Company will pay the Agent a commission equal to 3.0% of the gross sales price of the Common Stock sold.</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Common Stock offered and sold in the ATM Offering may be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three months ended March 31, 2025, the Company sold 142,769 shares of Common Stock in exchange for gross proceeds of approximately $0.5 and incurred legal and administrative fees of $0.1.</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three months ended March 31, 2024, the Company did not sell any shares of Common Stock and incurred legal and administrative fees of $0.1.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cash flows used in operating activities for the three months ended March 31, 2025 were approximately $37.6 as compared to approximately $10.8 used in operating activities for the three months ended March 31, 2024.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2025, we had $14.6 of cash and cash equivalents and $8.1 of restricted cash. Cash on hand at March 31, 2025 decreased by $68.9, as a result of $37.6 of cash flows used in operating activities, $ 10.2 of cash flows used in investing activities and $21.1 used in financing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r>
              <w:rPr>
                <w:rFonts w:ascii="Arial" w:cs="Arial" w:eastAsia="Arial" w:hAnsi="Arial"/>
                <w:sz w:val="18"/>
                <w:szCs w:val="18"/>
                <w:color w:val="auto"/>
              </w:rPr>
              <w:t>The following table sets forth our cash flows for the periods presented below:</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45"/>
        </w:trPr>
        <w:tc>
          <w:tcPr>
            <w:tcW w:w="7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7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2025</w:t>
            </w:r>
          </w:p>
        </w:tc>
        <w:tc>
          <w:tcPr>
            <w:tcW w:w="240" w:type="dxa"/>
            <w:vAlign w:val="bottom"/>
          </w:tcPr>
          <w:p>
            <w:pPr>
              <w:spacing w:after="0"/>
              <w:rPr>
                <w:sz w:val="19"/>
                <w:szCs w:val="19"/>
                <w:color w:val="auto"/>
              </w:rPr>
            </w:pPr>
          </w:p>
        </w:tc>
        <w:tc>
          <w:tcPr>
            <w:tcW w:w="1720" w:type="dxa"/>
            <w:vAlign w:val="bottom"/>
          </w:tcPr>
          <w:p>
            <w:pPr>
              <w:jc w:val="right"/>
              <w:ind w:right="251"/>
              <w:spacing w:after="0"/>
              <w:rPr>
                <w:sz w:val="20"/>
                <w:szCs w:val="20"/>
                <w:color w:val="auto"/>
              </w:rPr>
            </w:pPr>
            <w:r>
              <w:rPr>
                <w:rFonts w:ascii="Arial" w:cs="Arial" w:eastAsia="Arial" w:hAnsi="Arial"/>
                <w:sz w:val="18"/>
                <w:szCs w:val="18"/>
                <w:b w:val="1"/>
                <w:bCs w:val="1"/>
                <w:color w:val="auto"/>
              </w:rPr>
              <w:t>March 31, 2024</w:t>
            </w:r>
          </w:p>
        </w:tc>
      </w:tr>
      <w:tr>
        <w:trPr>
          <w:trHeight w:val="221"/>
        </w:trPr>
        <w:tc>
          <w:tcPr>
            <w:tcW w:w="72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flows used in operating activities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center"/>
              <w:ind w:left="1091"/>
              <w:spacing w:after="0"/>
              <w:rPr>
                <w:sz w:val="20"/>
                <w:szCs w:val="20"/>
                <w:color w:val="auto"/>
              </w:rPr>
            </w:pPr>
            <w:r>
              <w:rPr>
                <w:rFonts w:ascii="Arial" w:cs="Arial" w:eastAsia="Arial" w:hAnsi="Arial"/>
                <w:sz w:val="18"/>
                <w:szCs w:val="18"/>
                <w:color w:val="auto"/>
                <w:w w:val="97"/>
              </w:rPr>
              <w:t>(37.6)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7"/>
        </w:trPr>
        <w:tc>
          <w:tcPr>
            <w:tcW w:w="7200" w:type="dxa"/>
            <w:vAlign w:val="bottom"/>
          </w:tcPr>
          <w:p>
            <w:pPr>
              <w:ind w:left="280"/>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tcPr>
          <w:p>
            <w:pPr>
              <w:spacing w:after="0"/>
              <w:rPr>
                <w:sz w:val="19"/>
                <w:szCs w:val="19"/>
                <w:color w:val="auto"/>
              </w:rPr>
            </w:pPr>
          </w:p>
        </w:tc>
        <w:tc>
          <w:tcPr>
            <w:tcW w:w="1720" w:type="dxa"/>
            <w:vAlign w:val="bottom"/>
          </w:tcPr>
          <w:p>
            <w:pPr>
              <w:jc w:val="center"/>
              <w:ind w:left="1091"/>
              <w:spacing w:after="0"/>
              <w:rPr>
                <w:sz w:val="20"/>
                <w:szCs w:val="20"/>
                <w:color w:val="auto"/>
              </w:rPr>
            </w:pPr>
            <w:r>
              <w:rPr>
                <w:rFonts w:ascii="Arial" w:cs="Arial" w:eastAsia="Arial" w:hAnsi="Arial"/>
                <w:sz w:val="18"/>
                <w:szCs w:val="18"/>
                <w:color w:val="auto"/>
                <w:w w:val="97"/>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flows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center"/>
              <w:ind w:left="1091"/>
              <w:spacing w:after="0"/>
              <w:rPr>
                <w:sz w:val="20"/>
                <w:szCs w:val="20"/>
                <w:color w:val="auto"/>
              </w:rPr>
            </w:pPr>
            <w:r>
              <w:rPr>
                <w:rFonts w:ascii="Arial" w:cs="Arial" w:eastAsia="Arial" w:hAnsi="Arial"/>
                <w:sz w:val="18"/>
                <w:szCs w:val="18"/>
                <w:color w:val="auto"/>
                <w:w w:val="97"/>
              </w:rPr>
              <w:t>(21.1)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1"/>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cash and cash equivalents and restricted cash</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1091"/>
              <w:spacing w:after="0"/>
              <w:rPr>
                <w:sz w:val="20"/>
                <w:szCs w:val="20"/>
                <w:color w:val="auto"/>
              </w:rPr>
            </w:pPr>
            <w:r>
              <w:rPr>
                <w:rFonts w:ascii="Arial" w:cs="Arial" w:eastAsia="Arial" w:hAnsi="Arial"/>
                <w:sz w:val="18"/>
                <w:szCs w:val="18"/>
                <w:color w:val="auto"/>
                <w:w w:val="97"/>
              </w:rPr>
              <w:t>(68.9)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4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balance end of period</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center"/>
              <w:ind w:left="1131"/>
              <w:spacing w:after="0"/>
              <w:rPr>
                <w:sz w:val="20"/>
                <w:szCs w:val="20"/>
                <w:color w:val="auto"/>
              </w:rPr>
            </w:pPr>
            <w:r>
              <w:rPr>
                <w:rFonts w:ascii="Arial" w:cs="Arial" w:eastAsia="Arial" w:hAnsi="Arial"/>
                <w:sz w:val="18"/>
                <w:szCs w:val="18"/>
                <w:color w:val="auto"/>
                <w:w w:val="96"/>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was $37.6 for the three months ended March 31, 2025, as compared to net cash used in operating activities of $10.8 for the three months ended March 31, 2024. The negative operating cash flows were attributable to the net loss position, an increase in days receivable outstanding and a decrease in days payable outstanding.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$10.2 for the three months ended March 31, 2025, as compared to net cash used in investing activities of $10.2 for the three months ended March 31, 2024. The cash flows used in investing activities for the three months ended March 31, 2025 were primarily driven by maintenance capital spending tied to the operation of our existing asset base offset by sales of property and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cash used in financing activities was $21.1 for the three months ended March 31, 2025, compared to net cash used in financing activities of $6.6 for the three months ended March 31, 2024. We refinanced both our 2025 Senior Notes and Prior ABL Facility during the three months ended March 31, 2025, which brought additional cash outlays. We also restarted sales under our ATM Offering program, which generated proceeds of $0.5</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Other than the critical accounting policy included below, we believe that our critical accounting policies are limited to those described in the Critical Accounting Estimates section of Management’s Discussion and Analysis of Financial Condition and Results of Operations included in our 2024 Annual Report on Form 10-K filed with the SEC on March 13, 2025.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evaluate any recently issued accounting pronouncements for future adoption.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1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50" w:lineRule="exact"/>
        <w:rPr>
          <w:sz w:val="20"/>
          <w:szCs w:val="20"/>
          <w:color w:val="auto"/>
        </w:rPr>
      </w:pPr>
    </w:p>
    <w:p>
      <w:pPr>
        <w:ind w:left="960" w:hanging="311"/>
        <w:spacing w:after="0"/>
        <w:tabs>
          <w:tab w:leader="none" w:pos="9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pacing w:after="0" w:line="113" w:lineRule="exact"/>
        <w:rPr>
          <w:rFonts w:ascii="Arial" w:cs="Arial" w:eastAsia="Arial" w:hAnsi="Arial"/>
          <w:sz w:val="18"/>
          <w:szCs w:val="18"/>
          <w:i w:val="1"/>
          <w:iCs w:val="1"/>
          <w:color w:val="auto"/>
        </w:rPr>
      </w:pPr>
    </w:p>
    <w:p>
      <w:pPr>
        <w:ind w:left="960" w:hanging="311"/>
        <w:spacing w:after="0"/>
        <w:tabs>
          <w:tab w:leader="none" w:pos="9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w:t>
      </w:r>
    </w:p>
    <w:p>
      <w:pPr>
        <w:spacing w:after="0" w:line="111" w:lineRule="exact"/>
        <w:rPr>
          <w:rFonts w:ascii="Arial" w:cs="Arial" w:eastAsia="Arial" w:hAnsi="Arial"/>
          <w:sz w:val="18"/>
          <w:szCs w:val="18"/>
          <w:i w:val="1"/>
          <w:iCs w:val="1"/>
          <w:color w:val="auto"/>
        </w:rPr>
      </w:pPr>
    </w:p>
    <w:p>
      <w:pPr>
        <w:jc w:val="both"/>
        <w:ind w:left="980" w:hanging="331"/>
        <w:spacing w:after="0" w:line="253" w:lineRule="auto"/>
        <w:tabs>
          <w:tab w:leader="none" w:pos="97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Earnings before interest, taxes, depreciation and amortization (</w:t>
      </w:r>
      <w:r>
        <w:rPr>
          <w:rFonts w:ascii="Arial" w:cs="Arial" w:eastAsia="Arial" w:hAnsi="Arial"/>
          <w:sz w:val="18"/>
          <w:szCs w:val="18"/>
          <w:color w:val="auto"/>
        </w:rPr>
        <w:t>“Adjusted EBITDA”</w:t>
      </w:r>
      <w:r>
        <w:rPr>
          <w:rFonts w:ascii="Arial" w:cs="Arial" w:eastAsia="Arial" w:hAnsi="Arial"/>
          <w:sz w:val="18"/>
          <w:szCs w:val="18"/>
          <w:i w:val="1"/>
          <w:iCs w:val="1"/>
          <w:color w:val="auto"/>
        </w:rPr>
        <w:t>)</w:t>
      </w:r>
      <w:r>
        <w:rPr>
          <w:rFonts w:ascii="Arial" w:cs="Arial" w:eastAsia="Arial" w:hAnsi="Arial"/>
          <w:sz w:val="18"/>
          <w:szCs w:val="18"/>
          <w:color w:val="auto"/>
        </w:rPr>
        <w:t>: Adjusted EBITDA is a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77" w:lineRule="exact"/>
        <w:rPr>
          <w:rFonts w:ascii="Arial" w:cs="Arial" w:eastAsia="Arial" w:hAnsi="Arial"/>
          <w:sz w:val="18"/>
          <w:szCs w:val="18"/>
          <w:i w:val="1"/>
          <w:iCs w:val="1"/>
          <w:color w:val="auto"/>
        </w:rPr>
      </w:pPr>
    </w:p>
    <w:p>
      <w:pPr>
        <w:ind w:left="980" w:right="20" w:hanging="331"/>
        <w:spacing w:after="0" w:line="280" w:lineRule="auto"/>
        <w:tabs>
          <w:tab w:leader="none" w:pos="97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of this Quarterly Report for the quarter ended March 31, 2025,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March 31,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8"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6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 (U.S.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(“Redmon-Keys”) and certain underwriters at Lloyd's (the “Magellan Underwriters”) to recover $4.6 owed on invoices duly issued by the Company for services rendered on behalf of the defendants in response to an offshore well blowout near Bob Hall Pier in Corpus Christi, Texas. On March 30, 2021, Magellan filed for bankruptcy pursuant to Chapter 7 of the U.S. bankruptcy code. During the fiscal year ended January 31, 2021, the Company reserved the full amount of its invoices totaling $4.6 as a prudent action in light of the Chapter 7 filing. Through the bankruptcy proceedings, the Company recovered $ 1.0 in March 2024 and, following a settlement by the Chapter 7 Trustee with the Magellan Underwriters in December 2024 and approved by the Court in January 2025, the Company expects to receive an additional $1.0 to $1.3 in 2025. The Company continues to pursue claims against Redmon-Keys.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In addition to the information set forth in this Quarterly Report, you should carefully consider the risk factors previously described in Part I, Item IA. “Risk Factors” in our Annual Report on Form 10-K for the year ended December 31, 2024.</w:t>
      </w:r>
    </w:p>
    <w:p>
      <w:pPr>
        <w:spacing w:after="0" w:line="1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46"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 March 31,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b w:val="1"/>
                <w:bCs w:val="1"/>
                <w:color w:val="auto"/>
              </w:rPr>
              <w:t>shares purchased as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20"/>
              <w:spacing w:after="0" w:line="161" w:lineRule="exact"/>
              <w:rPr>
                <w:sz w:val="20"/>
                <w:szCs w:val="20"/>
                <w:color w:val="auto"/>
              </w:rPr>
            </w:pPr>
            <w:r>
              <w:rPr>
                <w:rFonts w:ascii="Arial" w:cs="Arial" w:eastAsia="Arial" w:hAnsi="Arial"/>
                <w:sz w:val="16"/>
                <w:szCs w:val="16"/>
                <w:b w:val="1"/>
                <w:bCs w:val="1"/>
                <w:color w:val="auto"/>
                <w:w w:val="99"/>
              </w:rPr>
              <w:t>value of shares that</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Total number of shares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9"/>
              </w:rPr>
              <w:t>Average price paid</w:t>
            </w: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rPr>
              <w:t>part of publicly</w:t>
            </w:r>
          </w:p>
        </w:tc>
        <w:tc>
          <w:tcPr>
            <w:tcW w:w="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160"/>
        </w:trPr>
        <w:tc>
          <w:tcPr>
            <w:tcW w:w="38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Period</w:t>
            </w:r>
          </w:p>
        </w:tc>
        <w:tc>
          <w:tcPr>
            <w:tcW w:w="2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continue"/>
            <w:shd w:val="clear" w:color="auto" w:fill="CCEEFF"/>
          </w:tcPr>
          <w:p>
            <w:pPr>
              <w:spacing w:after="0"/>
              <w:rPr>
                <w:sz w:val="13"/>
                <w:szCs w:val="13"/>
                <w:color w:val="auto"/>
              </w:rPr>
            </w:pP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9"/>
              </w:rPr>
              <w:t>announced plans or</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40"/>
              <w:spacing w:after="0" w:line="161" w:lineRule="exact"/>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800" w:type="dxa"/>
            <w:vAlign w:val="bottom"/>
            <w:vMerge w:val="continue"/>
            <w:shd w:val="clear" w:color="auto" w:fill="CCEEFF"/>
          </w:tcPr>
          <w:p>
            <w:pPr>
              <w:spacing w:after="0"/>
              <w:rPr>
                <w:sz w:val="18"/>
                <w:szCs w:val="18"/>
                <w:color w:val="auto"/>
              </w:rPr>
            </w:pPr>
          </w:p>
        </w:tc>
        <w:tc>
          <w:tcPr>
            <w:tcW w:w="2020" w:type="dxa"/>
            <w:vAlign w:val="bottom"/>
            <w:shd w:val="clear" w:color="auto" w:fill="CCEEFF"/>
          </w:tcPr>
          <w:p>
            <w:pPr>
              <w:jc w:val="right"/>
              <w:ind w:right="460"/>
              <w:spacing w:after="0" w:line="214"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0"/>
                <w:szCs w:val="20"/>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00"/>
              <w:spacing w:after="0" w:line="214" w:lineRule="exact"/>
              <w:rPr>
                <w:sz w:val="20"/>
                <w:szCs w:val="20"/>
                <w:color w:val="auto"/>
              </w:rPr>
            </w:pPr>
            <w:r>
              <w:rPr>
                <w:rFonts w:ascii="Arial" w:cs="Arial" w:eastAsia="Arial" w:hAnsi="Arial"/>
                <w:sz w:val="16"/>
                <w:szCs w:val="16"/>
                <w:b w:val="1"/>
                <w:bCs w:val="1"/>
                <w:color w:val="auto"/>
                <w:w w:val="97"/>
              </w:rPr>
              <w:t>per share</w:t>
            </w:r>
            <w:r>
              <w:rPr>
                <w:rFonts w:ascii="Arial" w:cs="Arial" w:eastAsia="Arial" w:hAnsi="Arial"/>
                <w:sz w:val="20"/>
                <w:szCs w:val="20"/>
                <w:b w:val="1"/>
                <w:bCs w:val="1"/>
                <w:color w:val="auto"/>
                <w:w w:val="97"/>
                <w:vertAlign w:val="superscript"/>
              </w:rPr>
              <w:t>(2)</w:t>
            </w:r>
          </w:p>
        </w:tc>
        <w:tc>
          <w:tcPr>
            <w:tcW w:w="1760" w:type="dxa"/>
            <w:vAlign w:val="bottom"/>
            <w:shd w:val="clear" w:color="auto" w:fill="CCEEFF"/>
          </w:tcPr>
          <w:p>
            <w:pPr>
              <w:jc w:val="center"/>
              <w:spacing w:after="0" w:line="214" w:lineRule="exact"/>
              <w:rPr>
                <w:sz w:val="20"/>
                <w:szCs w:val="20"/>
                <w:color w:val="auto"/>
              </w:rPr>
            </w:pPr>
            <w:r>
              <w:rPr>
                <w:rFonts w:ascii="Arial" w:cs="Arial" w:eastAsia="Arial" w:hAnsi="Arial"/>
                <w:sz w:val="16"/>
                <w:szCs w:val="16"/>
                <w:b w:val="1"/>
                <w:bCs w:val="1"/>
                <w:color w:val="auto"/>
                <w:w w:val="97"/>
              </w:rPr>
              <w:t>programs</w:t>
            </w:r>
            <w:r>
              <w:rPr>
                <w:rFonts w:ascii="Arial" w:cs="Arial" w:eastAsia="Arial" w:hAnsi="Arial"/>
                <w:sz w:val="20"/>
                <w:szCs w:val="20"/>
                <w:b w:val="1"/>
                <w:bCs w:val="1"/>
                <w:color w:val="auto"/>
                <w:w w:val="97"/>
                <w:vertAlign w:val="superscript"/>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06"/>
        </w:trPr>
        <w:tc>
          <w:tcPr>
            <w:tcW w:w="3800" w:type="dxa"/>
            <w:vAlign w:val="bottom"/>
          </w:tcPr>
          <w:p>
            <w:pPr>
              <w:ind w:left="20"/>
              <w:spacing w:after="0"/>
              <w:rPr>
                <w:sz w:val="20"/>
                <w:szCs w:val="20"/>
                <w:color w:val="auto"/>
              </w:rPr>
            </w:pPr>
            <w:r>
              <w:rPr>
                <w:rFonts w:ascii="Arial" w:cs="Arial" w:eastAsia="Arial" w:hAnsi="Arial"/>
                <w:sz w:val="16"/>
                <w:szCs w:val="16"/>
                <w:color w:val="auto"/>
              </w:rPr>
              <w:t>January 1, 2025 - January 31, 2025</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1, 2025 - February 28, 2025</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March 1, 2025 - March 31, 2025</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84,016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right="40" w:firstLine="7"/>
        <w:spacing w:after="0" w:line="279" w:lineRule="auto"/>
        <w:tabs>
          <w:tab w:leader="none" w:pos="241"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shares purchased from employees in connection with the settlement of income tax and related benefit withholding obligations arising from vesting of restricted stock grants under the Company’s Amended and Restated LTIP.</w:t>
      </w:r>
    </w:p>
    <w:p>
      <w:pPr>
        <w:spacing w:after="0" w:line="67" w:lineRule="exact"/>
        <w:rPr>
          <w:rFonts w:ascii="Arial" w:cs="Arial" w:eastAsia="Arial" w:hAnsi="Arial"/>
          <w:sz w:val="16"/>
          <w:szCs w:val="16"/>
          <w:color w:val="auto"/>
        </w:rPr>
      </w:pPr>
    </w:p>
    <w:p>
      <w:pPr>
        <w:ind w:left="240" w:hanging="233"/>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includes commissions paid to the brokers.</w:t>
      </w:r>
    </w:p>
    <w:p>
      <w:pPr>
        <w:spacing w:after="0" w:line="110" w:lineRule="exact"/>
        <w:rPr>
          <w:rFonts w:ascii="Arial" w:cs="Arial" w:eastAsia="Arial" w:hAnsi="Arial"/>
          <w:sz w:val="16"/>
          <w:szCs w:val="16"/>
          <w:color w:val="auto"/>
        </w:rPr>
      </w:pPr>
    </w:p>
    <w:p>
      <w:pPr>
        <w:ind w:firstLine="7"/>
        <w:spacing w:after="0" w:line="297" w:lineRule="auto"/>
        <w:tabs>
          <w:tab w:leader="none" w:pos="247"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August 2019, our Board authorized a share repurchase program for the repurchase of outstanding shares of the Company’s Common Stock having an aggregate purchase price up to $50.0 million.</w:t>
      </w: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2025, except as set forth in the table below, no directors or executive officers adopted or terminated a “Rule 10b5-1 trading arrangement,” as defined in Item 408(a) of Regulation S-K or a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Action</w:t>
            </w:r>
          </w:p>
        </w:tc>
        <w:tc>
          <w:tcPr>
            <w:tcW w:w="1700" w:type="dxa"/>
            <w:vAlign w:val="bottom"/>
          </w:tcPr>
          <w:p>
            <w:pPr>
              <w:jc w:val="center"/>
              <w:ind w:left="11"/>
              <w:spacing w:after="0"/>
              <w:rPr>
                <w:sz w:val="20"/>
                <w:szCs w:val="20"/>
                <w:color w:val="auto"/>
              </w:rPr>
            </w:pPr>
            <w:r>
              <w:rPr>
                <w:rFonts w:ascii="Arial" w:cs="Arial" w:eastAsia="Arial" w:hAnsi="Arial"/>
                <w:sz w:val="18"/>
                <w:szCs w:val="18"/>
                <w:b w:val="1"/>
                <w:bCs w:val="1"/>
                <w:color w:val="auto"/>
              </w:rPr>
              <w:t>Date</w:t>
            </w:r>
          </w:p>
        </w:tc>
        <w:tc>
          <w:tcPr>
            <w:tcW w:w="2320" w:type="dxa"/>
            <w:vAlign w:val="bottom"/>
            <w:gridSpan w:val="2"/>
          </w:tcPr>
          <w:p>
            <w:pPr>
              <w:ind w:left="320"/>
              <w:spacing w:after="0"/>
              <w:rPr>
                <w:sz w:val="20"/>
                <w:szCs w:val="20"/>
                <w:color w:val="auto"/>
              </w:rPr>
            </w:pPr>
            <w:r>
              <w:rPr>
                <w:rFonts w:ascii="Arial" w:cs="Arial" w:eastAsia="Arial" w:hAnsi="Arial"/>
                <w:sz w:val="18"/>
                <w:szCs w:val="18"/>
                <w:b w:val="1"/>
                <w:bCs w:val="1"/>
                <w:color w:val="auto"/>
              </w:rPr>
              <w:t>Trading Arrangement</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Total Shares to</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9"/>
              </w:rPr>
              <w:t>Arrangement</w:t>
            </w:r>
          </w:p>
        </w:tc>
        <w:tc>
          <w:tcPr>
            <w:tcW w:w="0" w:type="dxa"/>
            <w:vAlign w:val="bottom"/>
          </w:tcPr>
          <w:p>
            <w:pPr>
              <w:spacing w:after="0"/>
              <w:rPr>
                <w:sz w:val="1"/>
                <w:szCs w:val="1"/>
                <w:color w:val="auto"/>
              </w:rPr>
            </w:pPr>
          </w:p>
        </w:tc>
      </w:tr>
      <w:tr>
        <w:trPr>
          <w:trHeight w:val="316"/>
        </w:trPr>
        <w:tc>
          <w:tcPr>
            <w:tcW w:w="2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Rule 10b5-</w:t>
            </w: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Non-Rule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be Sold</w:t>
            </w:r>
            <w:r>
              <w:rPr>
                <w:rFonts w:ascii="Arial" w:cs="Arial" w:eastAsia="Arial" w:hAnsi="Arial"/>
                <w:sz w:val="23"/>
                <w:szCs w:val="23"/>
                <w:b w:val="1"/>
                <w:bCs w:val="1"/>
                <w:color w:val="auto"/>
                <w:w w:val="93"/>
                <w:vertAlign w:val="superscript"/>
              </w:rPr>
              <w:t>(3)</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 Date</w:t>
            </w:r>
            <w:r>
              <w:rPr>
                <w:rFonts w:ascii="Arial" w:cs="Arial" w:eastAsia="Arial" w:hAnsi="Arial"/>
                <w:sz w:val="23"/>
                <w:szCs w:val="23"/>
                <w:b w:val="1"/>
                <w:bCs w:val="1"/>
                <w:color w:val="auto"/>
                <w:w w:val="95"/>
                <w:vertAlign w:val="superscript"/>
              </w:rPr>
              <w:t>(4)</w:t>
            </w:r>
          </w:p>
        </w:tc>
        <w:tc>
          <w:tcPr>
            <w:tcW w:w="0" w:type="dxa"/>
            <w:vAlign w:val="bottom"/>
          </w:tcPr>
          <w:p>
            <w:pPr>
              <w:spacing w:after="0"/>
              <w:rPr>
                <w:sz w:val="1"/>
                <w:szCs w:val="1"/>
                <w:color w:val="auto"/>
              </w:rPr>
            </w:pPr>
          </w:p>
        </w:tc>
      </w:tr>
      <w:tr>
        <w:trPr>
          <w:trHeight w:val="112"/>
        </w:trPr>
        <w:tc>
          <w:tcPr>
            <w:tcW w:w="2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7"/>
        </w:trPr>
        <w:tc>
          <w:tcPr>
            <w:tcW w:w="2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35"/>
                <w:szCs w:val="35"/>
                <w:b w:val="1"/>
                <w:bCs w:val="1"/>
                <w:color w:val="auto"/>
                <w:w w:val="86"/>
                <w:vertAlign w:val="subscript"/>
              </w:rPr>
              <w:t>1</w:t>
            </w:r>
            <w:r>
              <w:rPr>
                <w:rFonts w:ascii="Arial" w:cs="Arial" w:eastAsia="Arial" w:hAnsi="Arial"/>
                <w:sz w:val="12"/>
                <w:szCs w:val="12"/>
                <w:b w:val="1"/>
                <w:bCs w:val="1"/>
                <w:color w:val="auto"/>
                <w:w w:val="86"/>
              </w:rPr>
              <w:t>(1)</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10b5-1</w:t>
            </w:r>
            <w:r>
              <w:rPr>
                <w:rFonts w:ascii="Arial" w:cs="Arial" w:eastAsia="Arial" w:hAnsi="Arial"/>
                <w:sz w:val="23"/>
                <w:szCs w:val="23"/>
                <w:b w:val="1"/>
                <w:bCs w:val="1"/>
                <w:color w:val="auto"/>
                <w:w w:val="92"/>
                <w:vertAlign w:val="superscript"/>
              </w:rPr>
              <w:t>(2)</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6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Keefer M. Lehner (Executive</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Adopt</w:t>
            </w:r>
          </w:p>
        </w:tc>
        <w:tc>
          <w:tcPr>
            <w:tcW w:w="1700" w:type="dxa"/>
            <w:vAlign w:val="bottom"/>
            <w:shd w:val="clear" w:color="auto" w:fill="CCEEFF"/>
          </w:tcPr>
          <w:p>
            <w:pPr>
              <w:jc w:val="center"/>
              <w:ind w:left="11"/>
              <w:spacing w:after="0" w:line="176" w:lineRule="exact"/>
              <w:rPr>
                <w:sz w:val="20"/>
                <w:szCs w:val="20"/>
                <w:color w:val="auto"/>
              </w:rPr>
            </w:pPr>
            <w:r>
              <w:rPr>
                <w:rFonts w:ascii="Arial" w:cs="Arial" w:eastAsia="Arial" w:hAnsi="Arial"/>
                <w:sz w:val="18"/>
                <w:szCs w:val="18"/>
                <w:color w:val="auto"/>
                <w:w w:val="99"/>
              </w:rPr>
              <w:t>March 28, 2025</w:t>
            </w:r>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10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24,746</w:t>
            </w:r>
          </w:p>
        </w:tc>
        <w:tc>
          <w:tcPr>
            <w:tcW w:w="1880" w:type="dxa"/>
            <w:vAlign w:val="bottom"/>
            <w:shd w:val="clear" w:color="auto" w:fill="CCEEFF"/>
          </w:tcPr>
          <w:p>
            <w:pPr>
              <w:jc w:val="center"/>
              <w:ind w:right="11"/>
              <w:spacing w:after="0" w:line="176" w:lineRule="exact"/>
              <w:rPr>
                <w:sz w:val="20"/>
                <w:szCs w:val="20"/>
                <w:color w:val="auto"/>
              </w:rPr>
            </w:pPr>
            <w:r>
              <w:rPr>
                <w:rFonts w:ascii="Arial" w:cs="Arial" w:eastAsia="Arial" w:hAnsi="Arial"/>
                <w:sz w:val="18"/>
                <w:szCs w:val="18"/>
                <w:color w:val="auto"/>
                <w:w w:val="99"/>
              </w:rPr>
              <w:t>February 27, 2026</w:t>
            </w:r>
          </w:p>
        </w:tc>
        <w:tc>
          <w:tcPr>
            <w:tcW w:w="0" w:type="dxa"/>
            <w:vAlign w:val="bottom"/>
          </w:tcPr>
          <w:p>
            <w:pPr>
              <w:spacing w:after="0"/>
              <w:rPr>
                <w:sz w:val="1"/>
                <w:szCs w:val="1"/>
                <w:color w:val="auto"/>
              </w:rPr>
            </w:pPr>
          </w:p>
        </w:tc>
      </w:tr>
      <w:tr>
        <w:trPr>
          <w:trHeight w:val="201"/>
        </w:trPr>
        <w:tc>
          <w:tcPr>
            <w:tcW w:w="2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Vice President and Chief</w:t>
            </w:r>
          </w:p>
        </w:tc>
        <w:tc>
          <w:tcPr>
            <w:tcW w:w="1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Officer)</w:t>
            </w:r>
          </w:p>
        </w:tc>
        <w:tc>
          <w:tcPr>
            <w:tcW w:w="1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Intended to satisfy the affirmative defense of Rule 10b5-1(c).</w:t>
      </w:r>
    </w:p>
    <w:p>
      <w:pPr>
        <w:spacing w:after="0" w:line="110" w:lineRule="exact"/>
        <w:rPr>
          <w:rFonts w:ascii="Arial" w:cs="Arial" w:eastAsia="Arial" w:hAnsi="Arial"/>
          <w:sz w:val="16"/>
          <w:szCs w:val="16"/>
          <w:color w:val="auto"/>
        </w:rPr>
      </w:pP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 intended to satisfy the affirmative defense of Rule 10b5-1(c).</w:t>
      </w:r>
    </w:p>
    <w:p>
      <w:pPr>
        <w:spacing w:after="0" w:line="123" w:lineRule="exact"/>
        <w:rPr>
          <w:rFonts w:ascii="Arial" w:cs="Arial" w:eastAsia="Arial" w:hAnsi="Arial"/>
          <w:sz w:val="16"/>
          <w:szCs w:val="16"/>
          <w:color w:val="auto"/>
        </w:rPr>
      </w:pPr>
    </w:p>
    <w:p>
      <w:pPr>
        <w:ind w:firstLine="7"/>
        <w:spacing w:after="0" w:line="279" w:lineRule="auto"/>
        <w:tabs>
          <w:tab w:leader="none" w:pos="26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maximum number of shares that may be sold pursuant to the 10b5-1 trading arrangement. The actual number of shares sold will be dependent on the terms of, and satisfaction of the conditions as set forth in, the written plan.</w:t>
      </w:r>
    </w:p>
    <w:p>
      <w:pPr>
        <w:spacing w:after="0" w:line="67" w:lineRule="exact"/>
        <w:rPr>
          <w:rFonts w:ascii="Arial" w:cs="Arial" w:eastAsia="Arial" w:hAnsi="Arial"/>
          <w:sz w:val="16"/>
          <w:szCs w:val="16"/>
          <w:color w:val="auto"/>
        </w:rPr>
      </w:pP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Or when the execution of all trades contemplated by the written plan is completed,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29"/>
            <w:shd w:val="clear" w:color="auto" w:fill="CCEEFF"/>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08"/>
        </w:trPr>
        <w:tc>
          <w:tcPr>
            <w:tcW w:w="1040" w:type="dxa"/>
            <w:vAlign w:val="bottom"/>
          </w:tcPr>
          <w:p>
            <w:pPr>
              <w:ind w:left="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0120" w:type="dxa"/>
            <w:vAlign w:val="bottom"/>
            <w:gridSpan w:val="28"/>
          </w:tcPr>
          <w:p>
            <w:pPr>
              <w:spacing w:after="0"/>
              <w:rPr>
                <w:rFonts w:ascii="Arial" w:cs="Arial" w:eastAsia="Arial" w:hAnsi="Arial"/>
                <w:sz w:val="18"/>
                <w:szCs w:val="18"/>
                <w:color w:val="0000FF"/>
              </w:rPr>
            </w:pPr>
            <w:hyperlink r:id="rId53">
              <w:r>
                <w:rPr>
                  <w:rFonts w:ascii="Arial" w:cs="Arial" w:eastAsia="Arial" w:hAnsi="Arial"/>
                  <w:sz w:val="18"/>
                  <w:szCs w:val="18"/>
                  <w:color w:val="0000FF"/>
                </w:rPr>
                <w:t>Amendment No. 2 to Equity Distribution Agreement, dated March 14, 2025, by and between the Company and the Agent</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4" w:lineRule="exact"/>
              <w:rPr>
                <w:rFonts w:ascii="Arial" w:cs="Arial" w:eastAsia="Arial" w:hAnsi="Arial"/>
                <w:sz w:val="17"/>
                <w:szCs w:val="17"/>
                <w:color w:val="0000FF"/>
              </w:rPr>
            </w:pPr>
            <w:hyperlink r:id="rId53">
              <w:r>
                <w:rPr>
                  <w:rFonts w:ascii="Arial" w:cs="Arial" w:eastAsia="Arial" w:hAnsi="Arial"/>
                  <w:sz w:val="17"/>
                  <w:szCs w:val="17"/>
                  <w:color w:val="0000FF"/>
                </w:rPr>
                <w:t>(incorporated by reference to Exhibit 1.1 of KLX Energy Services Holdings, Inc.’s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4" w:lineRule="exact"/>
              <w:rPr>
                <w:rFonts w:ascii="Arial" w:cs="Arial" w:eastAsia="Arial" w:hAnsi="Arial"/>
                <w:sz w:val="17"/>
                <w:szCs w:val="17"/>
                <w:color w:val="0000FF"/>
              </w:rPr>
            </w:pPr>
            <w:hyperlink r:id="rId53">
              <w:r>
                <w:rPr>
                  <w:rFonts w:ascii="Arial" w:cs="Arial" w:eastAsia="Arial" w:hAnsi="Arial"/>
                  <w:sz w:val="17"/>
                  <w:szCs w:val="17"/>
                  <w:color w:val="0000FF"/>
                </w:rPr>
                <w:t>March 14, 2025, File No. 001-38609).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9"/>
                <w:szCs w:val="19"/>
                <w:color w:val="auto"/>
              </w:rPr>
            </w:pPr>
          </w:p>
        </w:tc>
        <w:tc>
          <w:tcPr>
            <w:tcW w:w="10120" w:type="dxa"/>
            <w:vAlign w:val="bottom"/>
            <w:gridSpan w:val="28"/>
          </w:tcPr>
          <w:p>
            <w:pPr>
              <w:spacing w:after="0"/>
              <w:rPr>
                <w:rFonts w:ascii="Arial" w:cs="Arial" w:eastAsia="Arial" w:hAnsi="Arial"/>
                <w:sz w:val="18"/>
                <w:szCs w:val="18"/>
                <w:color w:val="0000FF"/>
              </w:rPr>
            </w:pPr>
            <w:hyperlink r:id="rId54">
              <w:r>
                <w:rPr>
                  <w:rFonts w:ascii="Arial" w:cs="Arial" w:eastAsia="Arial" w:hAnsi="Arial"/>
                  <w:sz w:val="18"/>
                  <w:szCs w:val="18"/>
                  <w:color w:val="0000FF"/>
                </w:rPr>
                <w:t>Amended and Restated Certificate of Incorporation of KLX Energy Services Holdings, Inc. (incorporated by reference to</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2"/>
          </w:tcPr>
          <w:p>
            <w:pPr>
              <w:spacing w:after="0" w:line="154" w:lineRule="exact"/>
              <w:rPr>
                <w:rFonts w:ascii="Arial" w:cs="Arial" w:eastAsia="Arial" w:hAnsi="Arial"/>
                <w:sz w:val="17"/>
                <w:szCs w:val="17"/>
                <w:color w:val="0000FF"/>
              </w:rPr>
            </w:pPr>
            <w:hyperlink r:id="rId54">
              <w:r>
                <w:rPr>
                  <w:rFonts w:ascii="Arial" w:cs="Arial" w:eastAsia="Arial" w:hAnsi="Arial"/>
                  <w:sz w:val="17"/>
                  <w:szCs w:val="17"/>
                  <w:color w:val="0000FF"/>
                </w:rPr>
                <w:t>Exhibit 3.1 of KLX Energy Services Holdings, Inc.’s Quarterly Report on Form 10-Q, filed on September 8, 2020,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bottom w:val="single" w:sz="8" w:color="0000FF"/>
            </w:tcBorders>
            <w:gridSpan w:val="2"/>
          </w:tcPr>
          <w:p>
            <w:pPr>
              <w:spacing w:after="0" w:line="154" w:lineRule="exact"/>
              <w:rPr>
                <w:rFonts w:ascii="Arial" w:cs="Arial" w:eastAsia="Arial" w:hAnsi="Arial"/>
                <w:sz w:val="17"/>
                <w:szCs w:val="17"/>
                <w:color w:val="0000FF"/>
              </w:rPr>
            </w:pPr>
            <w:hyperlink r:id="rId54">
              <w:r>
                <w:rPr>
                  <w:rFonts w:ascii="Arial" w:cs="Arial" w:eastAsia="Arial" w:hAnsi="Arial"/>
                  <w:sz w:val="17"/>
                  <w:szCs w:val="17"/>
                  <w:color w:val="0000FF"/>
                </w:rPr>
                <w:t>001-38609).</w:t>
              </w:r>
            </w:hyperlink>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9"/>
                <w:szCs w:val="19"/>
                <w:color w:val="auto"/>
              </w:rPr>
            </w:pPr>
          </w:p>
        </w:tc>
        <w:tc>
          <w:tcPr>
            <w:tcW w:w="10120" w:type="dxa"/>
            <w:vAlign w:val="bottom"/>
            <w:gridSpan w:val="28"/>
          </w:tcPr>
          <w:p>
            <w:pPr>
              <w:spacing w:after="0"/>
              <w:rPr>
                <w:rFonts w:ascii="Arial" w:cs="Arial" w:eastAsia="Arial" w:hAnsi="Arial"/>
                <w:sz w:val="18"/>
                <w:szCs w:val="18"/>
                <w:color w:val="0000FF"/>
              </w:rPr>
            </w:pPr>
            <w:hyperlink r:id="rId55">
              <w:r>
                <w:rPr>
                  <w:rFonts w:ascii="Arial" w:cs="Arial" w:eastAsia="Arial" w:hAnsi="Arial"/>
                  <w:sz w:val="18"/>
                  <w:szCs w:val="18"/>
                  <w:color w:val="0000FF"/>
                </w:rPr>
                <w:t>Fourth Amended and Restated Bylaws of KLX Energy Services Holdings, Inc. (incorporated by reference to Exhibit 3.1 of</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0"/>
          </w:tcPr>
          <w:p>
            <w:pPr>
              <w:spacing w:after="0" w:line="154" w:lineRule="exact"/>
              <w:rPr>
                <w:rFonts w:ascii="Arial" w:cs="Arial" w:eastAsia="Arial" w:hAnsi="Arial"/>
                <w:sz w:val="17"/>
                <w:szCs w:val="17"/>
                <w:color w:val="0000FF"/>
              </w:rPr>
            </w:pPr>
            <w:hyperlink r:id="rId55">
              <w:r>
                <w:rPr>
                  <w:rFonts w:ascii="Arial" w:cs="Arial" w:eastAsia="Arial" w:hAnsi="Arial"/>
                  <w:sz w:val="17"/>
                  <w:szCs w:val="17"/>
                  <w:color w:val="0000FF"/>
                </w:rPr>
                <w:t>KLX Energy Services Holdings, Inc.'s Current Report on Form 8-K, filed on September 9, 2021, File No. 001-38609).</w:t>
              </w:r>
            </w:hyperlink>
          </w:p>
        </w:tc>
        <w:tc>
          <w:tcPr>
            <w:tcW w:w="360" w:type="dxa"/>
            <w:vAlign w:val="bottom"/>
            <w:tcBorders>
              <w:top w:val="single" w:sz="8" w:color="0000FF"/>
            </w:tcBorders>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10120" w:type="dxa"/>
            <w:vAlign w:val="bottom"/>
            <w:gridSpan w:val="28"/>
          </w:tcPr>
          <w:p>
            <w:pPr>
              <w:spacing w:after="0"/>
              <w:rPr>
                <w:rFonts w:ascii="Arial" w:cs="Arial" w:eastAsia="Arial" w:hAnsi="Arial"/>
                <w:sz w:val="18"/>
                <w:szCs w:val="18"/>
                <w:color w:val="0000FF"/>
              </w:rPr>
            </w:pPr>
            <w:hyperlink r:id="rId56">
              <w:r>
                <w:rPr>
                  <w:rFonts w:ascii="Arial" w:cs="Arial" w:eastAsia="Arial" w:hAnsi="Arial"/>
                  <w:sz w:val="18"/>
                  <w:szCs w:val="18"/>
                  <w:color w:val="0000FF"/>
                </w:rPr>
                <w:t>Indenture, dated March 12, 2025, among KLX Energy Services Holdings, Inc., as the issuer, the guarantor parties thereto</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6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r:id="rId56">
              <w:r>
                <w:rPr>
                  <w:rFonts w:ascii="Arial" w:cs="Arial" w:eastAsia="Arial" w:hAnsi="Arial"/>
                  <w:sz w:val="17"/>
                  <w:szCs w:val="17"/>
                  <w:color w:val="0000FF"/>
                </w:rPr>
                <w:t>and U.S. Bank Trust Company, National Association, as trustee and collateral agent (incorporated by reference to Exhibit 4.1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9"/>
          </w:tcPr>
          <w:p>
            <w:pPr>
              <w:spacing w:after="0" w:line="154" w:lineRule="exact"/>
              <w:rPr>
                <w:rFonts w:ascii="Arial" w:cs="Arial" w:eastAsia="Arial" w:hAnsi="Arial"/>
                <w:sz w:val="17"/>
                <w:szCs w:val="17"/>
                <w:color w:val="0000FF"/>
              </w:rPr>
            </w:pPr>
            <w:hyperlink r:id="rId56">
              <w:r>
                <w:rPr>
                  <w:rFonts w:ascii="Arial" w:cs="Arial" w:eastAsia="Arial" w:hAnsi="Arial"/>
                  <w:sz w:val="17"/>
                  <w:szCs w:val="17"/>
                  <w:color w:val="0000FF"/>
                </w:rPr>
                <w:t>of KLX Energy Services Holdings, Inc.’s Current Report on Form 8-K, filed on March 12, 2025, File No. 001-38609).</w:t>
              </w:r>
            </w:hyperlink>
          </w:p>
        </w:tc>
        <w:tc>
          <w:tcPr>
            <w:tcW w:w="9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10120" w:type="dxa"/>
            <w:vAlign w:val="bottom"/>
            <w:gridSpan w:val="28"/>
          </w:tcPr>
          <w:p>
            <w:pPr>
              <w:spacing w:after="0"/>
              <w:rPr>
                <w:rFonts w:ascii="Arial" w:cs="Arial" w:eastAsia="Arial" w:hAnsi="Arial"/>
                <w:sz w:val="18"/>
                <w:szCs w:val="18"/>
                <w:color w:val="0000FF"/>
              </w:rPr>
            </w:pPr>
            <w:hyperlink r:id="rId56">
              <w:r>
                <w:rPr>
                  <w:rFonts w:ascii="Arial" w:cs="Arial" w:eastAsia="Arial" w:hAnsi="Arial"/>
                  <w:sz w:val="18"/>
                  <w:szCs w:val="18"/>
                  <w:color w:val="0000FF"/>
                </w:rPr>
                <w:t>Form of Senior Secured Floating Rate Cash / PIK Notes due 2030 (included in Exhibit 4.1) (incorporated by reference to</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60" w:type="dxa"/>
            <w:vAlign w:val="bottom"/>
            <w:tcBorders>
              <w:top w:val="single" w:sz="8" w:color="0000FF"/>
            </w:tcBorders>
            <w:gridSpan w:val="20"/>
          </w:tcPr>
          <w:p>
            <w:pPr>
              <w:spacing w:after="0" w:line="154" w:lineRule="exact"/>
              <w:rPr>
                <w:rFonts w:ascii="Arial" w:cs="Arial" w:eastAsia="Arial" w:hAnsi="Arial"/>
                <w:sz w:val="17"/>
                <w:szCs w:val="17"/>
                <w:color w:val="0000FF"/>
              </w:rPr>
            </w:pPr>
            <w:hyperlink r:id="rId56">
              <w:r>
                <w:rPr>
                  <w:rFonts w:ascii="Arial" w:cs="Arial" w:eastAsia="Arial" w:hAnsi="Arial"/>
                  <w:sz w:val="17"/>
                  <w:szCs w:val="17"/>
                  <w:color w:val="0000FF"/>
                </w:rPr>
                <w:t>Exhibit 4.2 of KLX Energy Services Holdings, Inc.’s Current Report on Form 8-K, filed on March 12, 2025,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rPr>
            </w:pPr>
            <w:hyperlink r:id="rId56">
              <w:r>
                <w:rPr>
                  <w:rFonts w:ascii="Arial" w:cs="Arial" w:eastAsia="Arial" w:hAnsi="Arial"/>
                  <w:sz w:val="17"/>
                  <w:szCs w:val="17"/>
                  <w:color w:val="0000FF"/>
                </w:rPr>
                <w:t>38609).</w:t>
              </w:r>
            </w:hyperlink>
          </w:p>
        </w:tc>
        <w:tc>
          <w:tcPr>
            <w:tcW w:w="36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3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10120" w:type="dxa"/>
            <w:vAlign w:val="bottom"/>
            <w:gridSpan w:val="28"/>
          </w:tcPr>
          <w:p>
            <w:pPr>
              <w:spacing w:after="0"/>
              <w:rPr>
                <w:rFonts w:ascii="Arial" w:cs="Arial" w:eastAsia="Arial" w:hAnsi="Arial"/>
                <w:sz w:val="18"/>
                <w:szCs w:val="18"/>
                <w:color w:val="0000FF"/>
              </w:rPr>
            </w:pPr>
            <w:hyperlink r:id="rId57">
              <w:r>
                <w:rPr>
                  <w:rFonts w:ascii="Arial" w:cs="Arial" w:eastAsia="Arial" w:hAnsi="Arial"/>
                  <w:sz w:val="18"/>
                  <w:szCs w:val="18"/>
                  <w:color w:val="0000FF"/>
                </w:rPr>
                <w:t>Form of Warrant Agreement (incorporated by reference to Exhibit 4.3 of KLX Energy Services Holdings, Inc.’s Current</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20" w:type="dxa"/>
            <w:vAlign w:val="bottom"/>
            <w:tcBorders>
              <w:top w:val="single" w:sz="8" w:color="0000FF"/>
            </w:tcBorders>
            <w:gridSpan w:val="18"/>
          </w:tcPr>
          <w:p>
            <w:pPr>
              <w:spacing w:after="0" w:line="154" w:lineRule="exact"/>
              <w:rPr>
                <w:rFonts w:ascii="Arial" w:cs="Arial" w:eastAsia="Arial" w:hAnsi="Arial"/>
                <w:sz w:val="17"/>
                <w:szCs w:val="17"/>
                <w:color w:val="0000FF"/>
              </w:rPr>
            </w:pPr>
            <w:hyperlink r:id="rId57">
              <w:r>
                <w:rPr>
                  <w:rFonts w:ascii="Arial" w:cs="Arial" w:eastAsia="Arial" w:hAnsi="Arial"/>
                  <w:sz w:val="17"/>
                  <w:szCs w:val="17"/>
                  <w:color w:val="0000FF"/>
                </w:rPr>
                <w:t>Report on Form 8-K, filed on March 12, 2025, File No. 001-38609).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9"/>
                <w:szCs w:val="19"/>
                <w:color w:val="auto"/>
              </w:rPr>
            </w:pPr>
          </w:p>
        </w:tc>
        <w:tc>
          <w:tcPr>
            <w:tcW w:w="10120" w:type="dxa"/>
            <w:vAlign w:val="bottom"/>
            <w:gridSpan w:val="28"/>
          </w:tcPr>
          <w:p>
            <w:pPr>
              <w:spacing w:after="0"/>
              <w:rPr>
                <w:rFonts w:ascii="Arial" w:cs="Arial" w:eastAsia="Arial" w:hAnsi="Arial"/>
                <w:sz w:val="18"/>
                <w:szCs w:val="18"/>
                <w:color w:val="0000FF"/>
              </w:rPr>
            </w:pPr>
            <w:hyperlink r:id="rId58">
              <w:r>
                <w:rPr>
                  <w:rFonts w:ascii="Arial" w:cs="Arial" w:eastAsia="Arial" w:hAnsi="Arial"/>
                  <w:sz w:val="18"/>
                  <w:szCs w:val="18"/>
                  <w:color w:val="0000FF"/>
                </w:rPr>
                <w:t>Securities Purchase Agreement, dated as of March 7, 2025, by and among KLX Energy Services Holdings, Inc., the</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7"/>
          </w:tcPr>
          <w:p>
            <w:pPr>
              <w:spacing w:after="0" w:line="154" w:lineRule="exact"/>
              <w:rPr>
                <w:rFonts w:ascii="Arial" w:cs="Arial" w:eastAsia="Arial" w:hAnsi="Arial"/>
                <w:sz w:val="17"/>
                <w:szCs w:val="17"/>
                <w:color w:val="0000FF"/>
              </w:rPr>
            </w:pPr>
            <w:hyperlink r:id="rId58">
              <w:r>
                <w:rPr>
                  <w:rFonts w:ascii="Arial" w:cs="Arial" w:eastAsia="Arial" w:hAnsi="Arial"/>
                  <w:sz w:val="17"/>
                  <w:szCs w:val="17"/>
                  <w:color w:val="0000FF"/>
                </w:rPr>
                <w:t>subsidiary guarantors party thereto, and the holders of Existing Notes party thereto (incorporated by reference to Exhibit</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0" w:type="dxa"/>
            <w:vAlign w:val="bottom"/>
            <w:tcBorders>
              <w:bottom w:val="single" w:sz="8" w:color="0000FF"/>
            </w:tcBorders>
            <w:gridSpan w:val="11"/>
          </w:tcPr>
          <w:p>
            <w:pPr>
              <w:spacing w:after="0" w:line="154" w:lineRule="exact"/>
              <w:rPr>
                <w:rFonts w:ascii="Arial" w:cs="Arial" w:eastAsia="Arial" w:hAnsi="Arial"/>
                <w:sz w:val="17"/>
                <w:szCs w:val="17"/>
                <w:color w:val="0000FF"/>
              </w:rPr>
            </w:pPr>
            <w:hyperlink r:id="rId58">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of KLX Energy Services Holdings, Inc.’s Current Report on Form 8-K, filed on March 7, 2025, File No. 001-38609).</w:t>
              </w:r>
            </w:hyperlink>
          </w:p>
        </w:tc>
        <w:tc>
          <w:tcPr>
            <w:tcW w:w="660" w:type="dxa"/>
            <w:vAlign w:val="bottom"/>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9"/>
                <w:szCs w:val="19"/>
                <w:color w:val="auto"/>
              </w:rPr>
            </w:pPr>
          </w:p>
        </w:tc>
        <w:tc>
          <w:tcPr>
            <w:tcW w:w="10120" w:type="dxa"/>
            <w:vAlign w:val="bottom"/>
            <w:gridSpan w:val="28"/>
          </w:tcPr>
          <w:p>
            <w:pPr>
              <w:spacing w:after="0"/>
              <w:rPr>
                <w:rFonts w:ascii="Arial" w:cs="Arial" w:eastAsia="Arial" w:hAnsi="Arial"/>
                <w:sz w:val="18"/>
                <w:szCs w:val="18"/>
                <w:color w:val="0000FF"/>
              </w:rPr>
            </w:pPr>
            <w:hyperlink r:id="rId59">
              <w:r>
                <w:rPr>
                  <w:rFonts w:ascii="Arial" w:cs="Arial" w:eastAsia="Arial" w:hAnsi="Arial"/>
                  <w:sz w:val="18"/>
                  <w:szCs w:val="18"/>
                  <w:color w:val="0000FF"/>
                </w:rPr>
                <w:t>Credit Agreement, dated as of March 7, 2025, by and among KLX Energy Services Holdings, Inc., Eclipse Business Capital</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4" w:lineRule="exact"/>
              <w:rPr>
                <w:rFonts w:ascii="Arial" w:cs="Arial" w:eastAsia="Arial" w:hAnsi="Arial"/>
                <w:sz w:val="17"/>
                <w:szCs w:val="17"/>
                <w:color w:val="0000FF"/>
              </w:rPr>
            </w:pPr>
            <w:hyperlink r:id="rId59">
              <w:r>
                <w:rPr>
                  <w:rFonts w:ascii="Arial" w:cs="Arial" w:eastAsia="Arial" w:hAnsi="Arial"/>
                  <w:sz w:val="17"/>
                  <w:szCs w:val="17"/>
                  <w:color w:val="0000FF"/>
                </w:rPr>
                <w:t>LLC, as administrative agent, as collateral agent and as FILO administrative agent and the lenders party thereto</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9"/>
          </w:tcPr>
          <w:p>
            <w:pPr>
              <w:spacing w:after="0" w:line="154" w:lineRule="exact"/>
              <w:rPr>
                <w:rFonts w:ascii="Arial" w:cs="Arial" w:eastAsia="Arial" w:hAnsi="Arial"/>
                <w:sz w:val="17"/>
                <w:szCs w:val="17"/>
                <w:color w:val="0000FF"/>
              </w:rPr>
            </w:pPr>
            <w:hyperlink r:id="rId59">
              <w:r>
                <w:rPr>
                  <w:rFonts w:ascii="Arial" w:cs="Arial" w:eastAsia="Arial" w:hAnsi="Arial"/>
                  <w:sz w:val="17"/>
                  <w:szCs w:val="17"/>
                  <w:color w:val="0000FF"/>
                </w:rPr>
                <w:t>(incorporated by reference to Exhibit 10.2 of KLX Energy Services Holdings, Inc.’s Current Report on Form 8-K, filed on</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80" w:type="dxa"/>
            <w:vAlign w:val="bottom"/>
            <w:gridSpan w:val="21"/>
          </w:tcPr>
          <w:p>
            <w:pPr>
              <w:spacing w:after="0" w:line="167" w:lineRule="exact"/>
              <w:rPr>
                <w:rFonts w:ascii="Arial" w:cs="Arial" w:eastAsia="Arial" w:hAnsi="Arial"/>
                <w:sz w:val="18"/>
                <w:szCs w:val="18"/>
                <w:color w:val="0000FF"/>
              </w:rPr>
            </w:pPr>
            <w:hyperlink r:id="rId59">
              <w:r>
                <w:rPr>
                  <w:rFonts w:ascii="Arial" w:cs="Arial" w:eastAsia="Arial" w:hAnsi="Arial"/>
                  <w:sz w:val="18"/>
                  <w:szCs w:val="18"/>
                  <w:color w:val="0000FF"/>
                </w:rPr>
                <w:t>March 7, 2025, File No. 001-38609).</w:t>
              </w:r>
            </w:hyperlink>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10120" w:type="dxa"/>
            <w:vAlign w:val="bottom"/>
            <w:gridSpan w:val="28"/>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8"/>
          </w:tcPr>
          <w:p>
            <w:pPr>
              <w:spacing w:after="0" w:line="154"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78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9"/>
                <w:szCs w:val="19"/>
                <w:color w:val="auto"/>
              </w:rPr>
            </w:pPr>
          </w:p>
        </w:tc>
        <w:tc>
          <w:tcPr>
            <w:tcW w:w="10120" w:type="dxa"/>
            <w:vAlign w:val="bottom"/>
            <w:gridSpan w:val="28"/>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8"/>
          </w:tcPr>
          <w:p>
            <w:pPr>
              <w:spacing w:after="0" w:line="154"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9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9"/>
                <w:szCs w:val="19"/>
                <w:color w:val="auto"/>
              </w:rPr>
            </w:pPr>
          </w:p>
        </w:tc>
        <w:tc>
          <w:tcPr>
            <w:tcW w:w="10120" w:type="dxa"/>
            <w:vAlign w:val="bottom"/>
            <w:gridSpan w:val="28"/>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4"/>
          </w:tcPr>
          <w:p>
            <w:pPr>
              <w:spacing w:after="0" w:line="154" w:lineRule="exact"/>
              <w:rPr>
                <w:sz w:val="20"/>
                <w:szCs w:val="20"/>
                <w:color w:val="auto"/>
              </w:rPr>
            </w:pPr>
            <w:r>
              <w:rPr>
                <w:rFonts w:ascii="Arial" w:cs="Arial" w:eastAsia="Arial" w:hAnsi="Arial"/>
                <w:sz w:val="17"/>
                <w:szCs w:val="17"/>
                <w:color w:val="0000FF"/>
              </w:rPr>
              <w:t>Sarbanes-Oxley Act of 2002.</w:t>
            </w:r>
          </w:p>
        </w:tc>
        <w:tc>
          <w:tcPr>
            <w:tcW w:w="7720" w:type="dxa"/>
            <w:vAlign w:val="bottom"/>
            <w:tcBorders>
              <w:top w:val="single" w:sz="8" w:color="0000FF"/>
            </w:tcBorders>
            <w:gridSpan w:val="19"/>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9"/>
                <w:szCs w:val="19"/>
                <w:color w:val="auto"/>
              </w:rPr>
            </w:pPr>
          </w:p>
        </w:tc>
        <w:tc>
          <w:tcPr>
            <w:tcW w:w="10120" w:type="dxa"/>
            <w:vAlign w:val="bottom"/>
            <w:gridSpan w:val="28"/>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4" w:lineRule="exact"/>
              <w:rPr>
                <w:sz w:val="20"/>
                <w:szCs w:val="20"/>
                <w:color w:val="auto"/>
              </w:rPr>
            </w:pPr>
            <w:r>
              <w:rPr>
                <w:rFonts w:ascii="Arial" w:cs="Arial" w:eastAsia="Arial" w:hAnsi="Arial"/>
                <w:sz w:val="17"/>
                <w:szCs w:val="17"/>
                <w:color w:val="0000FF"/>
              </w:rPr>
              <w:t>Sarbanes-Oxley Act of 2002.</w:t>
            </w:r>
          </w:p>
        </w:tc>
        <w:tc>
          <w:tcPr>
            <w:tcW w:w="280" w:type="dxa"/>
            <w:vAlign w:val="bottom"/>
            <w:gridSpan w:val="14"/>
          </w:tcPr>
          <w:p>
            <w:pPr>
              <w:spacing w:after="0"/>
              <w:rPr>
                <w:sz w:val="13"/>
                <w:szCs w:val="13"/>
                <w:color w:val="auto"/>
              </w:rPr>
            </w:pPr>
          </w:p>
        </w:tc>
      </w:tr>
      <w:tr>
        <w:trPr>
          <w:trHeight w:val="255"/>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2"/>
                <w:szCs w:val="22"/>
                <w:color w:val="auto"/>
              </w:rPr>
            </w:pPr>
          </w:p>
        </w:tc>
        <w:tc>
          <w:tcPr>
            <w:tcW w:w="22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7840" w:type="dxa"/>
            <w:vAlign w:val="bottom"/>
            <w:gridSpan w:val="25"/>
          </w:tcPr>
          <w:p>
            <w:pPr>
              <w:spacing w:after="0"/>
              <w:rPr>
                <w:sz w:val="22"/>
                <w:szCs w:val="22"/>
                <w:color w:val="auto"/>
              </w:rPr>
            </w:pP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19"/>
                <w:szCs w:val="19"/>
                <w:color w:val="auto"/>
              </w:rPr>
            </w:pPr>
          </w:p>
        </w:tc>
        <w:tc>
          <w:tcPr>
            <w:tcW w:w="10120" w:type="dxa"/>
            <w:vAlign w:val="bottom"/>
            <w:gridSpan w:val="2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19"/>
                <w:szCs w:val="19"/>
                <w:color w:val="auto"/>
              </w:rPr>
            </w:pPr>
          </w:p>
        </w:tc>
        <w:tc>
          <w:tcPr>
            <w:tcW w:w="10120" w:type="dxa"/>
            <w:vAlign w:val="bottom"/>
            <w:gridSpan w:val="2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19"/>
                <w:szCs w:val="19"/>
                <w:color w:val="auto"/>
              </w:rPr>
            </w:pPr>
          </w:p>
        </w:tc>
        <w:tc>
          <w:tcPr>
            <w:tcW w:w="10120" w:type="dxa"/>
            <w:vAlign w:val="bottom"/>
            <w:gridSpan w:val="2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9"/>
                <w:szCs w:val="19"/>
                <w:color w:val="auto"/>
              </w:rPr>
            </w:pPr>
          </w:p>
        </w:tc>
        <w:tc>
          <w:tcPr>
            <w:tcW w:w="10120" w:type="dxa"/>
            <w:vAlign w:val="bottom"/>
            <w:gridSpan w:val="2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5"/>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0"/>
                <w:szCs w:val="20"/>
                <w:color w:val="auto"/>
              </w:rPr>
            </w:pPr>
          </w:p>
        </w:tc>
        <w:tc>
          <w:tcPr>
            <w:tcW w:w="10120" w:type="dxa"/>
            <w:vAlign w:val="bottom"/>
            <w:gridSpan w:val="2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ind w:right="2820" w:firstLine="25"/>
        <w:spacing w:after="0" w:line="300" w:lineRule="auto"/>
        <w:tabs>
          <w:tab w:leader="none" w:pos="13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ind w:left="340" w:hanging="333"/>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9" w:lineRule="exact"/>
        <w:rPr>
          <w:sz w:val="20"/>
          <w:szCs w:val="20"/>
          <w:color w:val="auto"/>
        </w:rPr>
      </w:pPr>
    </w:p>
    <w:p>
      <w:pPr>
        <w:ind w:right="380" w:firstLine="7"/>
        <w:spacing w:after="0" w:line="296" w:lineRule="auto"/>
        <w:tabs>
          <w:tab w:leader="none" w:pos="1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601(a)(5) of Regulation S-K. A copy of any omitted schedule and/or exhibit will be furnished to the SEC 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KLX ENERGY SERVICES HOLDINGS, INC.</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16510</wp:posOffset>
            </wp:positionV>
            <wp:extent cx="24542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Christopher J. Baker</w:t>
      </w:r>
    </w:p>
    <w:p>
      <w:pPr>
        <w:spacing w:after="0" w:line="28"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8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May 9, 2025</w:t>
      </w:r>
    </w:p>
    <w:p>
      <w:pPr>
        <w:spacing w:after="0" w:line="274"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16510</wp:posOffset>
            </wp:positionV>
            <wp:extent cx="24542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Keefer M. Lehner</w:t>
      </w:r>
    </w:p>
    <w:p>
      <w:pPr>
        <w:spacing w:after="0" w:line="5"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Executive Vice President and Chief Financial</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28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May 9, 2025</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16510</wp:posOffset>
            </wp:positionV>
            <wp:extent cx="24542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Geoffrey C. Stanford</w:t>
      </w:r>
    </w:p>
    <w:p>
      <w:pPr>
        <w:spacing w:after="0" w:line="5"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Senior  Vice  President  and  Chief  Accounting</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28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May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1" w:right="3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J. Baker, certify that:</w:t>
      </w:r>
    </w:p>
    <w:p>
      <w:pPr>
        <w:spacing w:after="0" w:line="141" w:lineRule="exact"/>
        <w:rPr>
          <w:sz w:val="20"/>
          <w:szCs w:val="20"/>
          <w:color w:val="auto"/>
        </w:rPr>
      </w:pPr>
    </w:p>
    <w:p>
      <w:pPr>
        <w:ind w:left="680" w:right="60" w:hanging="655"/>
        <w:spacing w:after="0" w:line="235"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KLX Energy Services Holdings, Inc. (the “registrant”);</w:t>
      </w:r>
    </w:p>
    <w:p>
      <w:pPr>
        <w:spacing w:after="0" w:line="116" w:lineRule="exact"/>
        <w:rPr>
          <w:rFonts w:ascii="Times New Roman" w:cs="Times New Roman" w:eastAsia="Times New Roman" w:hAnsi="Times New Roman"/>
          <w:sz w:val="18"/>
          <w:szCs w:val="18"/>
          <w:color w:val="auto"/>
        </w:rPr>
      </w:pPr>
    </w:p>
    <w:p>
      <w:pPr>
        <w:jc w:val="both"/>
        <w:ind w:left="680" w:right="60" w:hanging="655"/>
        <w:spacing w:after="0" w:line="229"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left="680" w:right="40" w:hanging="655"/>
        <w:spacing w:after="0" w:line="235"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8"/>
          <w:szCs w:val="18"/>
          <w:color w:val="auto"/>
        </w:rPr>
      </w:pPr>
    </w:p>
    <w:p>
      <w:pPr>
        <w:jc w:val="both"/>
        <w:ind w:left="680" w:right="40" w:hanging="655"/>
        <w:spacing w:after="0" w:line="224"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jc w:val="both"/>
        <w:ind w:left="1340" w:right="60" w:hanging="660"/>
        <w:spacing w:after="0" w:line="229"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40" w:right="80" w:hanging="660"/>
        <w:spacing w:after="0" w:line="227"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Times New Roman" w:cs="Times New Roman" w:eastAsia="Times New Roman" w:hAnsi="Times New Roman"/>
          <w:sz w:val="18"/>
          <w:szCs w:val="18"/>
          <w:color w:val="auto"/>
        </w:rPr>
      </w:pPr>
    </w:p>
    <w:p>
      <w:pPr>
        <w:jc w:val="both"/>
        <w:ind w:left="1340" w:right="80" w:hanging="660"/>
        <w:spacing w:after="0" w:line="224"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80" w:right="40" w:hanging="655"/>
        <w:spacing w:after="0" w:line="24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15875</wp:posOffset>
            </wp:positionV>
            <wp:extent cx="3074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1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Christopher J. Baker</w:t>
      </w:r>
    </w:p>
    <w:p>
      <w:pPr>
        <w:spacing w:after="0" w:line="2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Keefer M. Lehner, certify that:</w:t>
      </w:r>
    </w:p>
    <w:p>
      <w:pPr>
        <w:spacing w:after="0" w:line="47" w:lineRule="exact"/>
        <w:rPr>
          <w:sz w:val="20"/>
          <w:szCs w:val="20"/>
          <w:color w:val="auto"/>
        </w:rPr>
      </w:pPr>
    </w:p>
    <w:p>
      <w:pPr>
        <w:ind w:left="680" w:right="60" w:hanging="655"/>
        <w:spacing w:after="0" w:line="235"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KLX Energy Services Holdings, Inc. (the “registrant”);</w:t>
      </w:r>
    </w:p>
    <w:p>
      <w:pPr>
        <w:spacing w:after="0" w:line="129" w:lineRule="exact"/>
        <w:rPr>
          <w:rFonts w:ascii="Times New Roman" w:cs="Times New Roman" w:eastAsia="Times New Roman" w:hAnsi="Times New Roman"/>
          <w:sz w:val="18"/>
          <w:szCs w:val="18"/>
          <w:color w:val="auto"/>
        </w:rPr>
      </w:pPr>
    </w:p>
    <w:p>
      <w:pPr>
        <w:jc w:val="both"/>
        <w:ind w:left="680" w:right="60" w:hanging="655"/>
        <w:spacing w:after="0" w:line="224"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8"/>
          <w:szCs w:val="18"/>
          <w:color w:val="auto"/>
        </w:rPr>
      </w:pPr>
    </w:p>
    <w:p>
      <w:pPr>
        <w:ind w:left="680" w:right="40" w:hanging="655"/>
        <w:spacing w:after="0" w:line="24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80" w:right="40" w:hanging="655"/>
        <w:spacing w:after="0" w:line="229"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Times New Roman" w:cs="Times New Roman" w:eastAsia="Times New Roman" w:hAnsi="Times New Roman"/>
          <w:sz w:val="18"/>
          <w:szCs w:val="18"/>
          <w:color w:val="auto"/>
        </w:rPr>
      </w:pPr>
    </w:p>
    <w:p>
      <w:pPr>
        <w:jc w:val="both"/>
        <w:ind w:left="1360" w:right="20" w:hanging="653"/>
        <w:spacing w:after="0" w:line="224" w:lineRule="auto"/>
        <w:tabs>
          <w:tab w:leader="none" w:pos="13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8"/>
          <w:szCs w:val="18"/>
          <w:color w:val="auto"/>
        </w:rPr>
      </w:pPr>
    </w:p>
    <w:p>
      <w:pPr>
        <w:jc w:val="both"/>
        <w:ind w:left="1360" w:right="20" w:hanging="653"/>
        <w:spacing w:after="0" w:line="224" w:lineRule="auto"/>
        <w:tabs>
          <w:tab w:leader="none" w:pos="13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8"/>
          <w:szCs w:val="18"/>
          <w:color w:val="auto"/>
        </w:rPr>
      </w:pPr>
    </w:p>
    <w:p>
      <w:pPr>
        <w:ind w:left="1340" w:right="60" w:hanging="660"/>
        <w:spacing w:after="0" w:line="247"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340" w:right="60" w:hanging="660"/>
        <w:spacing w:after="0" w:line="229"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Times New Roman" w:cs="Times New Roman" w:eastAsia="Times New Roman" w:hAnsi="Times New Roman"/>
          <w:sz w:val="18"/>
          <w:szCs w:val="18"/>
          <w:color w:val="auto"/>
        </w:rPr>
      </w:pPr>
    </w:p>
    <w:p>
      <w:pPr>
        <w:ind w:left="680" w:right="40" w:hanging="655"/>
        <w:spacing w:after="0" w:line="24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60" w:right="20" w:hanging="653"/>
        <w:spacing w:after="0" w:line="235" w:lineRule="auto"/>
        <w:tabs>
          <w:tab w:leader="none" w:pos="13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ind w:left="20"/>
        <w:spacing w:after="0"/>
        <w:tabs>
          <w:tab w:leader="none" w:pos="648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7"/>
          <w:szCs w:val="17"/>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15875</wp:posOffset>
            </wp:positionV>
            <wp:extent cx="30232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Keefer M. Lehner</w:t>
      </w:r>
    </w:p>
    <w:p>
      <w:pPr>
        <w:spacing w:after="0" w:line="2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in connection with the Quarterly Report of KLX Energy Services Holdings, Inc. (the “Company”) on Form 10-Q for the period ended March 31, 2025, as filed with the Securities and Exchange Commission on the date hereof (the “Periodic Report”), I, Christopher J. Baker, as President and Chief Executive Officer of the Company, hereby certify that:</w:t>
      </w:r>
    </w:p>
    <w:p>
      <w:pPr>
        <w:spacing w:after="0" w:line="79" w:lineRule="exact"/>
        <w:rPr>
          <w:sz w:val="20"/>
          <w:szCs w:val="20"/>
          <w:color w:val="auto"/>
        </w:rPr>
      </w:pPr>
    </w:p>
    <w:p>
      <w:pPr>
        <w:ind w:left="560" w:hanging="312"/>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as amended;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J. Baker</w:t>
            </w:r>
          </w:p>
        </w:tc>
      </w:tr>
      <w:tr>
        <w:trPr>
          <w:trHeight w:val="216"/>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Baker</w:t>
            </w:r>
          </w:p>
        </w:tc>
      </w:tr>
      <w:tr>
        <w:trPr>
          <w:trHeight w:val="227"/>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3"/>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in connection with the Quarterly Report of KLX Energy Services Holdings, Inc. (the “Company”) on Form 10-Q for the period ended March 31, 2025, as filed with the Securities and Exchange Commission on the date hereof (the “Periodic Report”), I, Keefer M. Lehner, as Executive Vice President and Chief Financial Officer of the Company, hereby certify that:</w:t>
      </w:r>
    </w:p>
    <w:p>
      <w:pPr>
        <w:spacing w:after="0" w:line="79" w:lineRule="exact"/>
        <w:rPr>
          <w:sz w:val="20"/>
          <w:szCs w:val="20"/>
          <w:color w:val="auto"/>
        </w:rPr>
      </w:pPr>
    </w:p>
    <w:p>
      <w:pPr>
        <w:ind w:left="560" w:hanging="312"/>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as amended;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Keefer M. Lehner</w:t>
            </w:r>
          </w:p>
        </w:tc>
      </w:tr>
      <w:tr>
        <w:trPr>
          <w:trHeight w:val="216"/>
        </w:trPr>
        <w:tc>
          <w:tcPr>
            <w:tcW w:w="64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Keefer M. Lehner</w:t>
            </w:r>
          </w:p>
        </w:tc>
      </w:tr>
      <w:tr>
        <w:trPr>
          <w:trHeight w:val="227"/>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3"/>
        </w:trPr>
        <w:tc>
          <w:tcPr>
            <w:tcW w:w="64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lvl w:ilvl="1">
      <w:lvlJc w:val="left"/>
      <w:lvlText w:val="%2"/>
      <w:numFmt w:val="decimal"/>
      <w:start w:val="104"/>
    </w:lvl>
  </w:abstractNum>
  <w:abstractNum w:abstractNumId="10">
    <w:nsid w:val="109CF92E"/>
    <w:multiLevelType w:val="hybridMultilevel"/>
    <w:lvl w:ilvl="0">
      <w:lvlJc w:val="left"/>
      <w:lvlText w:val="**"/>
      <w:numFmt w:val="bullet"/>
      <w:start w:val="1"/>
    </w:lvl>
    <w:lvl w:ilvl="1">
      <w:lvlJc w:val="left"/>
      <w:lvlText w:val="%2"/>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53" Type="http://schemas.openxmlformats.org/officeDocument/2006/relationships/hyperlink" Target="https://www.sec.gov/Archives/edgar/data/1738827/000119312525054870/d898044dex11.htm" TargetMode="External"/><Relationship Id="rId54" Type="http://schemas.openxmlformats.org/officeDocument/2006/relationships/hyperlink" Target="https://www.sec.gov/Archives/edgar/data/1738827/000173882720000004/klxenergy-archarter2020.htm" TargetMode="External"/><Relationship Id="rId55" Type="http://schemas.openxmlformats.org/officeDocument/2006/relationships/hyperlink" Target="https://www.sec.gov/Archives/edgar/data/0001738827/000173882721000031/fourthamendedandrestatedby.htm" TargetMode="External"/><Relationship Id="rId56" Type="http://schemas.openxmlformats.org/officeDocument/2006/relationships/hyperlink" Target="https://www.sec.gov/Archives/edgar/data/1738827/000119312525052936/d936400dex41.htm" TargetMode="External"/><Relationship Id="rId57" Type="http://schemas.openxmlformats.org/officeDocument/2006/relationships/hyperlink" Target="https://www.sec.gov/Archives/edgar/data/1738827/000119312525052936/d936400dex43.htm" TargetMode="External"/><Relationship Id="rId58" Type="http://schemas.openxmlformats.org/officeDocument/2006/relationships/hyperlink" Target="https://www.sec.gov/Archives/edgar/data/1738827/000119312525049126/d889500dex101.htm" TargetMode="External"/><Relationship Id="rId59" Type="http://schemas.openxmlformats.org/officeDocument/2006/relationships/hyperlink" Target="https://www.sec.gov/Archives/edgar/data/1738827/000119312525049126/d88950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2025-05-09T16:21:29Z</dcterms:created>
  <dcterms:modified xsi:type="dcterms:W3CDTF">2025-05-09T16:21:29Z</dcterms:modified>
</cp:coreProperties>
</file>