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259715</wp:posOffset>
            </wp:positionH>
            <wp:positionV relativeFrom="page">
              <wp:posOffset>706120</wp:posOffset>
            </wp:positionV>
            <wp:extent cx="70377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8890"/>
                    </a:xfrm>
                    <a:prstGeom prst="rect">
                      <a:avLst/>
                    </a:prstGeom>
                    <a:noFill/>
                  </pic:spPr>
                </pic:pic>
              </a:graphicData>
            </a:graphic>
          </wp:anchor>
        </w:drawing>
        <w:drawing>
          <wp:anchor simplePos="0" relativeHeight="251657728" behindDoc="1" locked="0" layoutInCell="0" allowOverlap="1">
            <wp:simplePos x="0" y="0"/>
            <wp:positionH relativeFrom="page">
              <wp:posOffset>259715</wp:posOffset>
            </wp:positionH>
            <wp:positionV relativeFrom="page">
              <wp:posOffset>637540</wp:posOffset>
            </wp:positionV>
            <wp:extent cx="70377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7705"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2366645</wp:posOffset>
            </wp:positionH>
            <wp:positionV relativeFrom="paragraph">
              <wp:posOffset>180340</wp:posOffset>
            </wp:positionV>
            <wp:extent cx="2374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6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2366645</wp:posOffset>
            </wp:positionH>
            <wp:positionV relativeFrom="paragraph">
              <wp:posOffset>52705</wp:posOffset>
            </wp:positionV>
            <wp:extent cx="2374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12, 2026</w:t>
      </w:r>
    </w:p>
    <w:p>
      <w:pPr>
        <w:spacing w:after="0" w:line="25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_____________________</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7"/>
          <w:szCs w:val="37"/>
          <w:b w:val="1"/>
          <w:bCs w:val="1"/>
          <w:color w:val="auto"/>
        </w:rPr>
        <w:t>KLX ENERGY SERVICES HOLDINGS, INC.</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Charter)</w:t>
      </w:r>
    </w:p>
    <w:p>
      <w:pPr>
        <w:ind w:left="4560"/>
        <w:spacing w:after="0"/>
        <w:rPr>
          <w:sz w:val="20"/>
          <w:szCs w:val="20"/>
          <w:color w:val="auto"/>
        </w:rPr>
      </w:pPr>
      <w:r>
        <w:rPr>
          <w:rFonts w:ascii="Times New Roman" w:cs="Times New Roman" w:eastAsia="Times New Roman" w:hAnsi="Times New Roman"/>
          <w:sz w:val="20"/>
          <w:szCs w:val="20"/>
          <w:b w:val="1"/>
          <w:bCs w:val="1"/>
          <w:color w:val="auto"/>
        </w:rPr>
        <w:t>_____________________</w:t>
      </w:r>
    </w:p>
    <w:p>
      <w:pPr>
        <w:sectPr>
          <w:pgSz w:w="11900" w:h="16838" w:orient="portrait"/>
          <w:cols w:equalWidth="0" w:num="1">
            <w:col w:w="11220"/>
          </w:cols>
          <w:pgMar w:left="340" w:top="1424" w:right="339" w:bottom="1440" w:gutter="0" w:footer="0" w:header="0"/>
        </w:sectPr>
      </w:pPr>
    </w:p>
    <w:p>
      <w:pPr>
        <w:spacing w:after="0" w:line="290"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5"/>
          <w:szCs w:val="15"/>
          <w:b w:val="1"/>
          <w:bCs w:val="1"/>
          <w:color w:val="auto"/>
        </w:rPr>
        <w:t>001-38609</w:t>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36-4904146</w:t>
      </w:r>
    </w:p>
    <w:p>
      <w:pPr>
        <w:spacing w:after="0" w:line="72" w:lineRule="exact"/>
        <w:rPr>
          <w:sz w:val="24"/>
          <w:szCs w:val="24"/>
          <w:color w:val="auto"/>
        </w:rPr>
      </w:pPr>
    </w:p>
    <w:p>
      <w:pPr>
        <w:sectPr>
          <w:pgSz w:w="11900" w:h="16838" w:orient="portrait"/>
          <w:cols w:equalWidth="0" w:num="3">
            <w:col w:w="4540" w:space="720"/>
            <w:col w:w="2980" w:space="720"/>
            <w:col w:w="2260"/>
          </w:cols>
          <w:pgMar w:left="340" w:top="1424" w:right="33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200" w:lineRule="exact"/>
        <w:rPr>
          <w:sz w:val="24"/>
          <w:szCs w:val="24"/>
          <w:color w:val="auto"/>
        </w:rPr>
      </w:pPr>
    </w:p>
    <w:p>
      <w:pPr>
        <w:sectPr>
          <w:pgSz w:w="11900" w:h="16838" w:orient="portrait"/>
          <w:cols w:equalWidth="0" w:num="3">
            <w:col w:w="4140" w:space="720"/>
            <w:col w:w="2780" w:space="720"/>
            <w:col w:w="2860"/>
          </w:cols>
          <w:pgMar w:left="340" w:top="1424" w:right="339" w:bottom="1440" w:gutter="0" w:footer="0" w:header="0"/>
          <w:type w:val="continuous"/>
        </w:sectPr>
      </w:pPr>
    </w:p>
    <w:p>
      <w:pPr>
        <w:spacing w:after="0" w:line="1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3040 Post Oak Boulevard, 15th Floor</w:t>
      </w:r>
    </w:p>
    <w:p>
      <w:pPr>
        <w:spacing w:after="0" w:line="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Houston, Texas 77056</w:t>
      </w: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and Zip Code)</w:t>
      </w:r>
    </w:p>
    <w:p>
      <w:pPr>
        <w:spacing w:after="0" w:line="3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(832) 844-1015</w:t>
      </w:r>
    </w:p>
    <w:p>
      <w:pPr>
        <w:spacing w:after="0" w:line="3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200" w:lineRule="exact"/>
        <w:rPr>
          <w:sz w:val="24"/>
          <w:szCs w:val="24"/>
          <w:color w:val="auto"/>
        </w:rPr>
      </w:pPr>
    </w:p>
    <w:p>
      <w:pPr>
        <w:spacing w:after="0" w:line="2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(Former address, if changed since last report)</w:t>
      </w:r>
    </w:p>
    <w:p>
      <w:pPr>
        <w:spacing w:after="0" w:line="383" w:lineRule="exact"/>
        <w:rPr>
          <w:sz w:val="24"/>
          <w:szCs w:val="24"/>
          <w:color w:val="auto"/>
        </w:rPr>
      </w:pPr>
    </w:p>
    <w:p>
      <w:pPr>
        <w:ind w:right="1060"/>
        <w:spacing w:after="0" w:line="278"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420" w:hanging="414"/>
        <w:spacing w:after="0"/>
        <w:tabs>
          <w:tab w:leader="none" w:pos="4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rFonts w:ascii="MS PGothic" w:cs="MS PGothic" w:eastAsia="MS PGothic" w:hAnsi="MS PGothic"/>
          <w:sz w:val="20"/>
          <w:szCs w:val="20"/>
          <w:color w:val="auto"/>
        </w:rPr>
      </w:pPr>
    </w:p>
    <w:p>
      <w:pPr>
        <w:ind w:left="420" w:hanging="414"/>
        <w:spacing w:after="0"/>
        <w:tabs>
          <w:tab w:leader="none" w:pos="4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20"/>
          <w:szCs w:val="20"/>
          <w:color w:val="auto"/>
        </w:rPr>
      </w:pPr>
    </w:p>
    <w:p>
      <w:pPr>
        <w:ind w:left="420" w:hanging="414"/>
        <w:spacing w:after="0"/>
        <w:tabs>
          <w:tab w:leader="none" w:pos="4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20"/>
          <w:szCs w:val="20"/>
          <w:color w:val="auto"/>
        </w:rPr>
      </w:pPr>
    </w:p>
    <w:p>
      <w:pPr>
        <w:ind w:right="3560" w:firstLine="6"/>
        <w:spacing w:after="0" w:line="462" w:lineRule="auto"/>
        <w:tabs>
          <w:tab w:leader="none" w:pos="418"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203"/>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30"/>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17"/>
        </w:trPr>
        <w:tc>
          <w:tcPr>
            <w:tcW w:w="3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KLXE</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r>
      <w:tr>
        <w:trPr>
          <w:trHeight w:val="458"/>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_____________________</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237" w:lineRule="exact"/>
        <w:rPr>
          <w:sz w:val="24"/>
          <w:szCs w:val="24"/>
          <w:color w:val="auto"/>
        </w:rPr>
      </w:pPr>
    </w:p>
    <w:p>
      <w:pPr>
        <w:ind w:right="4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4"/>
          <w:szCs w:val="24"/>
          <w:color w:val="auto"/>
        </w:rPr>
      </w:pPr>
    </w:p>
    <w:p>
      <w:pPr>
        <w:ind w:left="400" w:hanging="394"/>
        <w:spacing w:after="0"/>
        <w:tabs>
          <w:tab w:leader="none" w:pos="4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944880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24" w:right="339" w:bottom="1440" w:gutter="0" w:footer="0" w:header="0"/>
          <w:type w:val="continuous"/>
        </w:sectPr>
      </w:pPr>
    </w:p>
    <w:bookmarkStart w:id="1" w:name="page2"/>
    <w:bookmarkEnd w:id="1"/>
    <w:p>
      <w:pPr>
        <w:ind w:left="20" w:right="58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6951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6951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91" w:lineRule="exact"/>
        <w:rPr>
          <w:sz w:val="20"/>
          <w:szCs w:val="20"/>
          <w:color w:val="auto"/>
        </w:rPr>
      </w:pPr>
    </w:p>
    <w:p>
      <w:pPr>
        <w:ind w:right="420"/>
        <w:spacing w:after="0" w:line="351" w:lineRule="auto"/>
        <w:rPr>
          <w:sz w:val="20"/>
          <w:szCs w:val="20"/>
          <w:color w:val="auto"/>
        </w:rPr>
      </w:pPr>
      <w:r>
        <w:rPr>
          <w:rFonts w:ascii="Times New Roman" w:cs="Times New Roman" w:eastAsia="Times New Roman" w:hAnsi="Times New Roman"/>
          <w:sz w:val="16"/>
          <w:szCs w:val="16"/>
          <w:color w:val="auto"/>
        </w:rPr>
        <w:t>On May 12, 2026, KLX Energy Services Holdings, Inc. (“KLXE” or the “Company”) issued a press release (the “Press Release”) to report its financial results for the first quarter ended March 31, 2026. KLXE is hereby furnishing the Press Release, which is included as Exhibit 99.1 hereto, pursuant to Item 2.02 of Form 8-K.</w:t>
      </w:r>
    </w:p>
    <w:p>
      <w:pPr>
        <w:spacing w:after="0" w:line="191" w:lineRule="exact"/>
        <w:rPr>
          <w:sz w:val="20"/>
          <w:szCs w:val="20"/>
          <w:color w:val="auto"/>
        </w:rPr>
      </w:pPr>
    </w:p>
    <w:p>
      <w:pPr>
        <w:jc w:val="both"/>
        <w:ind w:right="120"/>
        <w:spacing w:after="0" w:line="334" w:lineRule="auto"/>
        <w:rPr>
          <w:sz w:val="20"/>
          <w:szCs w:val="20"/>
          <w:color w:val="auto"/>
        </w:rPr>
      </w:pPr>
      <w:r>
        <w:rPr>
          <w:rFonts w:ascii="Times New Roman" w:cs="Times New Roman" w:eastAsia="Times New Roman" w:hAnsi="Times New Roman"/>
          <w:sz w:val="16"/>
          <w:szCs w:val="16"/>
          <w:color w:val="auto"/>
        </w:rPr>
        <w:t>In accordance with General Instruction B.2 of Form 8-K, the information furnished pursuant to this Item 2.02, and including Exhibit 99.1 furnished herewith, shall not be deemed “filed” for purposes of Section 18 of the Exchange Act, nor shall it be deemed incorporated by reference in any filing under the Securities Act or the Exchange Act, except as shall be expressly set forth by specific reference in such a filing.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set forth under Item 2.02 above is incorporated by reference into this Item 7.01.</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7"/>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No.</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Description</w:t>
            </w:r>
          </w:p>
        </w:tc>
        <w:tc>
          <w:tcPr>
            <w:tcW w:w="20" w:type="dxa"/>
            <w:vAlign w:val="bottom"/>
          </w:tcPr>
          <w:p>
            <w:pPr>
              <w:spacing w:after="0"/>
              <w:rPr>
                <w:sz w:val="21"/>
                <w:szCs w:val="21"/>
                <w:color w:val="auto"/>
              </w:rPr>
            </w:pPr>
          </w:p>
        </w:tc>
      </w:tr>
      <w:tr>
        <w:trPr>
          <w:trHeight w:val="186"/>
        </w:trPr>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Press Release, dated May 12, 2026</w:t>
            </w:r>
          </w:p>
        </w:tc>
      </w:tr>
      <w:tr>
        <w:trPr>
          <w:trHeight w:val="20"/>
        </w:trPr>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r>
      <w:tr>
        <w:trPr>
          <w:trHeight w:val="258"/>
        </w:trPr>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 the cover page iXBRL tags are embedded within the Inline XBRL document</w:t>
            </w:r>
          </w:p>
        </w:tc>
      </w:tr>
      <w:tr>
        <w:trPr>
          <w:trHeight w:val="1876"/>
        </w:trPr>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8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77"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2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KLX Energy Services Holdings, Inc.</w:t>
      </w:r>
    </w:p>
    <w:p>
      <w:pPr>
        <w:spacing w:after="0" w:line="275" w:lineRule="exact"/>
        <w:rPr>
          <w:sz w:val="20"/>
          <w:szCs w:val="20"/>
          <w:color w:val="auto"/>
        </w:rPr>
      </w:pPr>
    </w:p>
    <w:p>
      <w:pPr>
        <w:ind w:left="4500"/>
        <w:spacing w:after="0"/>
        <w:tabs>
          <w:tab w:leader="none" w:pos="510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Geoffrey C. Stanford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29210</wp:posOffset>
            </wp:positionV>
            <wp:extent cx="30943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53" w:lineRule="exact"/>
        <w:rPr>
          <w:sz w:val="20"/>
          <w:szCs w:val="20"/>
          <w:color w:val="auto"/>
        </w:rPr>
      </w:pPr>
    </w:p>
    <w:p>
      <w:pPr>
        <w:ind w:left="4500"/>
        <w:spacing w:after="0"/>
        <w:tabs>
          <w:tab w:leader="none" w:pos="5100" w:val="left"/>
        </w:tabs>
        <w:rPr>
          <w:sz w:val="20"/>
          <w:szCs w:val="20"/>
          <w:color w:val="auto"/>
        </w:rPr>
      </w:pPr>
      <w:r>
        <w:rPr>
          <w:rFonts w:ascii="Times New Roman" w:cs="Times New Roman" w:eastAsia="Times New Roman" w:hAnsi="Times New Roman"/>
          <w:sz w:val="16"/>
          <w:szCs w:val="16"/>
          <w:color w:val="auto"/>
        </w:rPr>
        <w:t>Name:</w:t>
        <w:tab/>
        <w:t>Geoffrey C. Stanford</w:t>
      </w:r>
    </w:p>
    <w:p>
      <w:pPr>
        <w:spacing w:after="0" w:line="10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Senior Vice President, Interim Chief Financial Officer and Chief</w:t>
      </w:r>
    </w:p>
    <w:p>
      <w:pPr>
        <w:spacing w:after="0" w:line="26" w:lineRule="exact"/>
        <w:rPr>
          <w:sz w:val="20"/>
          <w:szCs w:val="20"/>
          <w:color w:val="auto"/>
        </w:rPr>
      </w:pPr>
    </w:p>
    <w:p>
      <w:pPr>
        <w:ind w:left="4500"/>
        <w:spacing w:after="0"/>
        <w:tabs>
          <w:tab w:leader="none" w:pos="510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Accounting Officer</w:t>
      </w:r>
    </w:p>
    <w:p>
      <w:pPr>
        <w:spacing w:after="0" w:line="51" w:lineRule="exact"/>
        <w:rPr>
          <w:sz w:val="20"/>
          <w:szCs w:val="20"/>
          <w:color w:val="auto"/>
        </w:rPr>
      </w:pPr>
    </w:p>
    <w:p>
      <w:pPr>
        <w:ind w:left="4500"/>
        <w:spacing w:after="0"/>
        <w:tabs>
          <w:tab w:leader="none" w:pos="510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May 12, 2026</w:t>
      </w:r>
    </w:p>
    <w:p>
      <w:pPr>
        <w:sectPr>
          <w:pgSz w:w="11900" w:h="16838" w:orient="portrait"/>
          <w:cols w:equalWidth="0" w:num="1">
            <w:col w:w="10900"/>
          </w:cols>
          <w:pgMar w:left="320" w:top="610" w:right="6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50"/>
          <w:szCs w:val="50"/>
          <w:b w:val="1"/>
          <w:bCs w:val="1"/>
          <w:i w:val="1"/>
          <w:iCs w:val="1"/>
          <w:color w:val="auto"/>
        </w:rPr>
        <w:t>NEWS RELEASE</w:t>
      </w:r>
    </w:p>
    <w:p>
      <w:pPr>
        <w:spacing w:after="0" w:line="227" w:lineRule="exact"/>
        <w:rPr>
          <w:sz w:val="20"/>
          <w:szCs w:val="20"/>
          <w:color w:val="auto"/>
        </w:rPr>
      </w:pPr>
    </w:p>
    <w:p>
      <w:pPr>
        <w:ind w:left="5200"/>
        <w:spacing w:after="0"/>
        <w:tabs>
          <w:tab w:leader="none" w:pos="5960" w:val="left"/>
        </w:tabs>
        <w:rPr>
          <w:sz w:val="20"/>
          <w:szCs w:val="20"/>
          <w:color w:val="auto"/>
        </w:rPr>
      </w:pPr>
      <w:r>
        <w:rPr>
          <w:rFonts w:ascii="Times New Roman" w:cs="Times New Roman" w:eastAsia="Times New Roman" w:hAnsi="Times New Roman"/>
          <w:sz w:val="16"/>
          <w:szCs w:val="16"/>
          <w:color w:val="auto"/>
        </w:rPr>
        <w:t>Contacts:</w:t>
        <w:tab/>
        <w:t>KLX Energy Services Holdings, Inc.</w:t>
      </w:r>
    </w:p>
    <w:p>
      <w:pPr>
        <w:spacing w:after="0" w:line="2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Geoffrey C. Stanford, SVP, Interim CFO &amp; CAO</w:t>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832-930-8066</w:t>
      </w:r>
    </w:p>
    <w:p>
      <w:pPr>
        <w:spacing w:after="0" w:line="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u w:val="single" w:color="auto"/>
          <w:color w:val="0000FF"/>
        </w:rPr>
        <w:t>IR@klx.com</w:t>
      </w:r>
    </w:p>
    <w:p>
      <w:pPr>
        <w:spacing w:after="0" w:line="24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u w:val="single" w:color="auto"/>
          <w:color w:val="auto"/>
        </w:rPr>
        <w:t>Dennard Lascar Investor Relations</w:t>
      </w:r>
    </w:p>
    <w:p>
      <w:pPr>
        <w:spacing w:after="0" w:line="2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Ken Dennard / Natalie Hairston</w:t>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713-529-6600</w:t>
      </w:r>
    </w:p>
    <w:p>
      <w:pPr>
        <w:spacing w:after="0" w:line="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u w:val="single" w:color="auto"/>
          <w:color w:val="0000FF"/>
        </w:rPr>
        <w:t>KLXE@dennardlascar.com</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KLX ENERGY SERVICES HOLDINGS, INC. REPORTS FIRST QUARTER 2026 RESULTS</w:t>
      </w:r>
    </w:p>
    <w:p>
      <w:pPr>
        <w:spacing w:after="0" w:line="364" w:lineRule="exact"/>
        <w:rPr>
          <w:sz w:val="20"/>
          <w:szCs w:val="20"/>
          <w:color w:val="auto"/>
        </w:rPr>
      </w:pPr>
    </w:p>
    <w:p>
      <w:pPr>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HOUSTON, TX - May 12, 2026 - KLX Energy Services Holdings, Inc. (Nasdaq: KLXE) </w:t>
      </w:r>
      <w:r>
        <w:rPr>
          <w:rFonts w:ascii="Times New Roman" w:cs="Times New Roman" w:eastAsia="Times New Roman" w:hAnsi="Times New Roman"/>
          <w:sz w:val="18"/>
          <w:szCs w:val="18"/>
          <w:color w:val="auto"/>
        </w:rPr>
        <w:t>(“KLX”, the “Company”, “we”, “us” or “our”) today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first quarter ended March 31,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and Operational Highlights</w:t>
      </w:r>
    </w:p>
    <w:p>
      <w:pPr>
        <w:spacing w:after="0" w:line="35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$145 million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$(24) million and diluted loss per share of $(1.23)</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$11.1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margin of (17)%</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of 8%</w:t>
      </w:r>
    </w:p>
    <w:p>
      <w:pPr>
        <w:spacing w:after="0" w:line="103" w:lineRule="exact"/>
        <w:rPr>
          <w:rFonts w:ascii="Times New Roman" w:cs="Times New Roman" w:eastAsia="Times New Roman" w:hAnsi="Times New Roman"/>
          <w:sz w:val="18"/>
          <w:szCs w:val="18"/>
          <w:color w:val="auto"/>
        </w:rPr>
      </w:pPr>
    </w:p>
    <w:p>
      <w:pPr>
        <w:jc w:val="both"/>
        <w:ind w:left="660" w:right="280" w:hanging="328"/>
        <w:spacing w:after="0" w:line="375"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liquidity of $48 million, consisting of approximately $6 million of cash and cash equivalents, and approximately $42 million of available borrowing capacity under the March 2026 asset-based revolving credit facility (the “ABL Facility”) borrowing base certificate, inclusive of the undrawn first-in-last-out (“FILO”) capacity</w:t>
      </w:r>
    </w:p>
    <w:p>
      <w:pPr>
        <w:spacing w:after="0" w:line="216" w:lineRule="exact"/>
        <w:rPr>
          <w:sz w:val="20"/>
          <w:szCs w:val="20"/>
          <w:color w:val="auto"/>
        </w:rPr>
      </w:pPr>
    </w:p>
    <w:p>
      <w:pPr>
        <w:jc w:val="both"/>
        <w:spacing w:after="0" w:line="368" w:lineRule="auto"/>
        <w:rPr>
          <w:sz w:val="20"/>
          <w:szCs w:val="20"/>
          <w:color w:val="auto"/>
        </w:rPr>
      </w:pPr>
      <w:r>
        <w:rPr>
          <w:rFonts w:ascii="Times New Roman" w:cs="Times New Roman" w:eastAsia="Times New Roman" w:hAnsi="Times New Roman"/>
          <w:sz w:val="18"/>
          <w:szCs w:val="18"/>
          <w:i w:val="1"/>
          <w:iCs w:val="1"/>
          <w:color w:val="auto"/>
        </w:rPr>
        <w:t>See “Non-GAAP Financial Measures” at the end of this release for a discussion of Adjusted EBITDA, Adjusted EBITDA margin, Adjusted Operating Loss, Adjusted Net Loss, Adjusted Diluted Loss per share, Unlevered and Levered Free Cash Flow, Net Working Capital, Net Debt and their reconciliations to the most directly comparable financial measure calculated and presented in accordance with U.S. generally accepted accounting principles (“GAAP”). We have not provided reconciliations of our future expectations as to Adjusted EBITDA or Adjusted EBITDA margin as such reconciliations are not available without unreasonable efforts.</w:t>
      </w:r>
    </w:p>
    <w:p>
      <w:pPr>
        <w:spacing w:after="0" w:line="22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Chris Baker, KLX President and Chief Executive Officer, stated, “First quarter revenue was $145 million, within our estimated revenue range albeit at the lower end primarily due to winter storm Fern and customer delays in the last two weeks of March that pushed over $5 million of revenue into the second quarter of 2026 across multiple districts.</w:t>
      </w:r>
    </w:p>
    <w:p>
      <w:pPr>
        <w:spacing w:after="0" w:line="204"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“From a macro standpoint, we continue to operate in a highly volatile but constructive environment. By all accounts this is the largest energy shock in history,” continued Baker. “Commodity prices continue to be volatile and trade in a wide yet constructive band for activity due to the ongoing Middle East conflict and macro-economic news. We are discussing customer reactions and expected incremental activity in real time, particularly in the Permian and other oil-weighted basins.</w:t>
      </w: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84" w:right="339" w:bottom="1440" w:gutter="0" w:footer="0" w:header="0"/>
        </w:sectPr>
      </w:pPr>
    </w:p>
    <w:bookmarkStart w:id="4" w:name="page5"/>
    <w:bookmarkEnd w:id="4"/>
    <w:p>
      <w:pPr>
        <w:jc w:val="both"/>
        <w:spacing w:after="0" w:line="367" w:lineRule="auto"/>
        <w:rPr>
          <w:sz w:val="20"/>
          <w:szCs w:val="20"/>
          <w:color w:val="auto"/>
        </w:rPr>
      </w:pPr>
      <w:r>
        <w:rPr>
          <w:rFonts w:ascii="Times New Roman" w:cs="Times New Roman" w:eastAsia="Times New Roman" w:hAnsi="Times New Roman"/>
          <w:sz w:val="18"/>
          <w:szCs w:val="18"/>
          <w:color w:val="auto"/>
        </w:rPr>
        <w:t>“Looking forward, we continue to see good traction with our larger, blue-chip operators, who are increasingly demanding certified, higher-specification equipment — an area where KLX is well positioned. We are forecasting second quarter 2026 revenue of $162 to $172 million, with a midpoint of $167 million, 5% higher than the second quarter of 2025, and $22 million higher than the first quarter of 2026. We expect solid contributions from the Northeast/Mid-Con and a seasonal rebound in the Rockies, with Southwest gradually improving off of current levels as Permian activity stabilizes. In short, we expect revenue to increase in all three segments, as well as nearly every product service line, in the second quarter of 2026. The mix of Drilling vs. Completion vs. Production &amp; Intervention services will still lean unfavorable on a historical basis but is trending back to normal. We expect Adjusted EBITDA margin to expand sequentially, driven by higher activity and better overhead absorption,” concluded Baker.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364" w:lineRule="exact"/>
        <w:rPr>
          <w:sz w:val="20"/>
          <w:szCs w:val="20"/>
          <w:color w:val="auto"/>
        </w:rPr>
      </w:pPr>
    </w:p>
    <w:p>
      <w:pPr>
        <w:jc w:val="both"/>
        <w:spacing w:after="0" w:line="370" w:lineRule="auto"/>
        <w:rPr>
          <w:sz w:val="20"/>
          <w:szCs w:val="20"/>
          <w:color w:val="auto"/>
        </w:rPr>
      </w:pPr>
      <w:r>
        <w:rPr>
          <w:rFonts w:ascii="Times New Roman" w:cs="Times New Roman" w:eastAsia="Times New Roman" w:hAnsi="Times New Roman"/>
          <w:sz w:val="18"/>
          <w:szCs w:val="18"/>
          <w:color w:val="auto"/>
        </w:rPr>
        <w:t>Revenue for the first quarter of 2026 totaled $144.7 million, down 6% from last year's first quarter despite the average U.S. rig count being down approximately 12% over the same period. Adjusted EBITDA was approximately $11.1 million, with an Adjusted EBITDA margin of about 8%, broadly consistent with the mid-to-high single-digit first quarter margin range we have delivered in recent years. On a product line basis, drilling, completion, production and intervention services contributed approximately 20%, 54%, 16% and 10%, respectively, to revenue for the first quarter of 2026.</w:t>
      </w:r>
    </w:p>
    <w:p>
      <w:pPr>
        <w:spacing w:after="0" w:line="209"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Net loss for the first quarter of 2026 was $(24.0) million, compared to the first quarter of 2025 net loss of $(27.9) million. Adjusted net loss for the first quarter of 2026 was $(23.0) million, compared to the first quarter of 2025 adjusted net loss of $(21.9) million. Adjusted EBITDA for the first quarter of 2026 was $11.1 million, compared to the first quarter of 2025 Adjusted EBITDA of $13.8 million. Adjusted EBITDA margin for the first quarter of 2026 was 7.7%, compared to the first quarter of 2025 Adjusted EBITDA margin of 9.0%.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Segment Results</w:t>
      </w:r>
    </w:p>
    <w:p>
      <w:pPr>
        <w:spacing w:after="0" w:line="310"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The Company reports revenue, operating (loss) income and Adjusted EBITDA through three geographic business segments: Rocky Mountains, Southwest and Northeast/Mid-Con. The Company reports operating activities not attributable to an individual geographic business segment through the Corporate and other segment. Segment results are reported after inter-segment eliminations. Due to annual seasonality affecting large portions of our operations, first quarter of 2026 results are reported compared to the first quarter of 2025.</w:t>
      </w:r>
    </w:p>
    <w:p>
      <w:pPr>
        <w:spacing w:after="0" w:line="205" w:lineRule="exact"/>
        <w:rPr>
          <w:sz w:val="20"/>
          <w:szCs w:val="20"/>
          <w:color w:val="auto"/>
        </w:rPr>
      </w:pPr>
    </w:p>
    <w:p>
      <w:pPr>
        <w:jc w:val="both"/>
        <w:ind w:left="660" w:hanging="328"/>
        <w:spacing w:after="0" w:line="362"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Rocky Mountains</w:t>
      </w:r>
      <w:r>
        <w:rPr>
          <w:rFonts w:ascii="Times New Roman" w:cs="Times New Roman" w:eastAsia="Times New Roman" w:hAnsi="Times New Roman"/>
          <w:sz w:val="18"/>
          <w:szCs w:val="18"/>
          <w:color w:val="auto"/>
        </w:rPr>
        <w:t>: Revenue, operating loss and Adjusted EBITDA for the Rocky Mountains segment was $38.6 million, $(3.8) million and $2.1 million, respectively, for the first quarter of 2026. First quarter revenue represents a (19.2)% decrease relative to the first quarter of 2025. In this segment, we have experienced lower activity in our product offerings. Relative to the first quarter of 2025, segment operating loss increased (1800)% and Adjusted EBITDA decreased (68.7)%, respectively. These comparative decreases were a function of the lower activity experienced in the first quarter of 2026 as compared to the first quarter of 2025.</w:t>
      </w:r>
    </w:p>
    <w:p>
      <w:pPr>
        <w:spacing w:after="0" w:line="4" w:lineRule="exact"/>
        <w:rPr>
          <w:rFonts w:ascii="Times New Roman" w:cs="Times New Roman" w:eastAsia="Times New Roman" w:hAnsi="Times New Roman"/>
          <w:sz w:val="18"/>
          <w:szCs w:val="18"/>
          <w:b w:val="1"/>
          <w:bCs w:val="1"/>
          <w:color w:val="auto"/>
        </w:rPr>
      </w:pPr>
    </w:p>
    <w:p>
      <w:pPr>
        <w:jc w:val="both"/>
        <w:ind w:left="660" w:hanging="328"/>
        <w:spacing w:after="0" w:line="370"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Southwest</w:t>
      </w:r>
      <w:r>
        <w:rPr>
          <w:rFonts w:ascii="Times New Roman" w:cs="Times New Roman" w:eastAsia="Times New Roman" w:hAnsi="Times New Roman"/>
          <w:sz w:val="18"/>
          <w:szCs w:val="18"/>
          <w:color w:val="auto"/>
        </w:rPr>
        <w:t>: Revenue, operating loss and Adjusted EBITDA for the Southwest segment, which includes the Permian and South Texas, was $53.6 million, $(3.4) million and $4.6 million, respectively, for the first quarter of 2026. First quarter revenue represents a (17.8)% decrease over the first quarter of 2025 largely due to the overall slowdown in activity that occurred in the Permian in the middle and second half of 2025. Segment operating income and Adjusted EBITDA</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45" w:right="339" w:bottom="1440" w:gutter="0" w:footer="0" w:header="0"/>
        </w:sectPr>
      </w:pPr>
    </w:p>
    <w:bookmarkStart w:id="5" w:name="page6"/>
    <w:bookmarkEnd w:id="5"/>
    <w:p>
      <w:pPr>
        <w:ind w:left="660"/>
        <w:spacing w:after="0" w:line="357" w:lineRule="auto"/>
        <w:rPr>
          <w:sz w:val="20"/>
          <w:szCs w:val="20"/>
          <w:color w:val="auto"/>
        </w:rPr>
      </w:pPr>
      <w:r>
        <w:rPr>
          <w:rFonts w:ascii="Times New Roman" w:cs="Times New Roman" w:eastAsia="Times New Roman" w:hAnsi="Times New Roman"/>
          <w:sz w:val="18"/>
          <w:szCs w:val="18"/>
          <w:color w:val="auto"/>
        </w:rPr>
        <w:t>decreased (213.3)% and (60.7)%, respectively, due to increased operating costs in this basin in the first quarter of 2026 as compared to the first quarter of 2025.</w:t>
      </w:r>
    </w:p>
    <w:p>
      <w:pPr>
        <w:spacing w:after="0" w:line="5" w:lineRule="exact"/>
        <w:rPr>
          <w:sz w:val="20"/>
          <w:szCs w:val="20"/>
          <w:color w:val="auto"/>
        </w:rPr>
      </w:pPr>
    </w:p>
    <w:p>
      <w:pPr>
        <w:jc w:val="both"/>
        <w:ind w:left="660" w:hanging="328"/>
        <w:spacing w:after="0" w:line="363"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Northeast/Mid-Con</w:t>
      </w:r>
      <w:r>
        <w:rPr>
          <w:rFonts w:ascii="Times New Roman" w:cs="Times New Roman" w:eastAsia="Times New Roman" w:hAnsi="Times New Roman"/>
          <w:sz w:val="18"/>
          <w:szCs w:val="18"/>
          <w:color w:val="auto"/>
        </w:rPr>
        <w:t>: Revenue, operating income and Adjusted EBITDA for the Northeast/Mid-Con segment was $52.5 million, $3.0 million and $10.9 million, respectively, for the first quarter of 2026. First quarter revenue represents a 28.0% increase over the first quarter of 2025 due to increased regional gas-focused activity. Segment operating income increased by 137.0% and segment Adjusted EBITDA increased 303.7%, largely due to the aforementioned increase in activity.</w:t>
      </w:r>
    </w:p>
    <w:p>
      <w:pPr>
        <w:spacing w:after="0" w:line="3" w:lineRule="exact"/>
        <w:rPr>
          <w:rFonts w:ascii="Times New Roman" w:cs="Times New Roman" w:eastAsia="Times New Roman" w:hAnsi="Times New Roman"/>
          <w:sz w:val="18"/>
          <w:szCs w:val="18"/>
          <w:b w:val="1"/>
          <w:bCs w:val="1"/>
          <w:color w:val="auto"/>
        </w:rPr>
      </w:pPr>
    </w:p>
    <w:p>
      <w:pPr>
        <w:jc w:val="both"/>
        <w:ind w:left="660" w:hanging="328"/>
        <w:spacing w:after="0" w:line="38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and other</w:t>
      </w:r>
      <w:r>
        <w:rPr>
          <w:rFonts w:ascii="Times New Roman" w:cs="Times New Roman" w:eastAsia="Times New Roman" w:hAnsi="Times New Roman"/>
          <w:sz w:val="18"/>
          <w:szCs w:val="18"/>
          <w:color w:val="auto"/>
        </w:rPr>
        <w:t>: Operating loss and Adjusted EBITDA loss for the Corporate and other segment were $(7.9) million and $(6.5) million, respectively, for the first quarter of 2026. Segment operating loss improved by 36.3% and Adjusted EBITDA loss improved by 11.0% as compared to the first quarter of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tabular summary of revenue, operating (loss) income and Adjusted EBITDA (loss) for the first quarter ended March 31, 2026, the fourth</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quarter ended December 31, 2025 and the first quarter ended March 31, 2025 ($</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97"/>
        </w:trPr>
        <w:tc>
          <w:tcPr>
            <w:tcW w:w="45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223"/>
        </w:trPr>
        <w:tc>
          <w:tcPr>
            <w:tcW w:w="4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2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r>
      <w:tr>
        <w:trPr>
          <w:trHeight w:val="229"/>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Rocky Mountains</w:t>
            </w:r>
          </w:p>
        </w:tc>
        <w:tc>
          <w:tcPr>
            <w:tcW w:w="12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Southwest</w:t>
            </w:r>
          </w:p>
        </w:tc>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9"/>
        </w:trPr>
        <w:tc>
          <w:tcPr>
            <w:tcW w:w="45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Northeast/Mid-Con</w:t>
            </w:r>
          </w:p>
        </w:tc>
        <w:tc>
          <w:tcPr>
            <w:tcW w:w="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20" w:type="dxa"/>
            <w:vAlign w:val="bottom"/>
            <w:tcBorders>
              <w:bottom w:val="single" w:sz="8" w:color="auto"/>
            </w:tcBorders>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811"/>
        </w:trPr>
        <w:tc>
          <w:tcPr>
            <w:tcW w:w="45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223"/>
        </w:trPr>
        <w:tc>
          <w:tcPr>
            <w:tcW w:w="4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2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r>
      <w:tr>
        <w:trPr>
          <w:trHeight w:val="230"/>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Rocky Mountains</w:t>
            </w:r>
          </w:p>
        </w:tc>
        <w:tc>
          <w:tcPr>
            <w:tcW w:w="12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Southwest</w:t>
            </w:r>
          </w:p>
        </w:tc>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w w:val="98"/>
              </w:rPr>
              <w:t>(1.6)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Northeast/Mid-Con</w:t>
            </w: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and other</w:t>
            </w:r>
          </w:p>
        </w:tc>
        <w:tc>
          <w:tcPr>
            <w:tcW w:w="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w w:val="98"/>
              </w:rPr>
              <w:t>(7.9)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loss</w:t>
            </w:r>
          </w:p>
        </w:tc>
        <w:tc>
          <w:tcPr>
            <w:tcW w:w="122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w w:val="98"/>
              </w:rPr>
              <w:t>(2.2)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
        </w:trPr>
        <w:tc>
          <w:tcPr>
            <w:tcW w:w="45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574"/>
        </w:trPr>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223"/>
        </w:trPr>
        <w:tc>
          <w:tcPr>
            <w:tcW w:w="4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2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 2025</w:t>
            </w: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(loss)</w:t>
            </w:r>
          </w:p>
        </w:tc>
        <w:tc>
          <w:tcPr>
            <w:tcW w:w="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r>
      <w:tr>
        <w:trPr>
          <w:trHeight w:val="230"/>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Rocky Mountains</w:t>
            </w:r>
          </w:p>
        </w:tc>
        <w:tc>
          <w:tcPr>
            <w:tcW w:w="122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Southwest</w:t>
            </w:r>
          </w:p>
        </w:tc>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45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Northeast/Mid-Con</w:t>
            </w:r>
          </w:p>
        </w:tc>
        <w:tc>
          <w:tcPr>
            <w:tcW w:w="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5"/>
              </w:rPr>
              <w:t>10.9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Segment total</w:t>
            </w:r>
          </w:p>
        </w:tc>
        <w:tc>
          <w:tcPr>
            <w:tcW w:w="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5"/>
              </w:rPr>
              <w:t>17.6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45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Corporate and other</w:t>
            </w:r>
          </w:p>
        </w:tc>
        <w:tc>
          <w:tcPr>
            <w:tcW w:w="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8"/>
        </w:trPr>
        <w:tc>
          <w:tcPr>
            <w:tcW w:w="45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Adjusted EBITDA</w:t>
            </w:r>
            <w:r>
              <w:rPr>
                <w:rFonts w:ascii="Times New Roman" w:cs="Times New Roman" w:eastAsia="Times New Roman" w:hAnsi="Times New Roman"/>
                <w:sz w:val="23"/>
                <w:szCs w:val="23"/>
                <w:color w:val="auto"/>
                <w:vertAlign w:val="superscript"/>
              </w:rPr>
              <w:t>(1)</w:t>
            </w:r>
          </w:p>
        </w:tc>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5"/>
              </w:rPr>
              <w:t>11.1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20" w:firstLine="8"/>
        <w:spacing w:after="0" w:line="238" w:lineRule="auto"/>
        <w:tabs>
          <w:tab w:leader="none" w:pos="164"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Excludes one-time costs, as defined in the Reconciliation of Consolidated Net Loss to Adjusted EBITDA table below, non-cash compensation expense and non-cash asset impairment expense.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Liquidity</w:t>
      </w: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45" w:right="339" w:bottom="1440" w:gutter="0" w:footer="0" w:header="0"/>
        </w:sectPr>
      </w:pPr>
    </w:p>
    <w:bookmarkStart w:id="6" w:name="page7"/>
    <w:bookmarkEnd w:id="6"/>
    <w:p>
      <w:pPr>
        <w:jc w:val="both"/>
        <w:spacing w:after="0" w:line="391" w:lineRule="auto"/>
        <w:rPr>
          <w:sz w:val="20"/>
          <w:szCs w:val="20"/>
          <w:color w:val="auto"/>
        </w:rPr>
      </w:pPr>
      <w:r>
        <w:rPr>
          <w:rFonts w:ascii="Times New Roman" w:cs="Times New Roman" w:eastAsia="Times New Roman" w:hAnsi="Times New Roman"/>
          <w:sz w:val="18"/>
          <w:szCs w:val="18"/>
          <w:color w:val="auto"/>
        </w:rPr>
        <w:t>As of March 31, 2026, cash and cash equivalents totaled $5.6 million and the Company had availability of $36.3 million on the March 2026 ABL Facility borrowing base certificate and $5.8 million of availability on an undrawn FILO facility, resulting in a total liquidity position of $47.7 million.</w:t>
      </w:r>
    </w:p>
    <w:p>
      <w:pPr>
        <w:spacing w:after="0" w:line="190"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Net Working Capital as of March 31, 2026 was $54.4 million, a 10% increase from December 31, 2025 driven by an 11% increase in days sales outstanding and a 6% decrease in accrued liabilities, including two extra payrolls being paid in the first quarter of 2026, compared to the fourth quarter of 2025. We expect to build cash and liquidity as we navigate the remainder of the year.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Information</w:t>
      </w:r>
    </w:p>
    <w:p>
      <w:pPr>
        <w:spacing w:after="0" w:line="351"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Capital expenditures were $8.7 million during the first quarter of 2026, a decrease of $(0.7) million or (7)% compared to capital expenditures of $9.4 million in the fourth quarter of 2025. Capital expenditures net of asset sales were $5.3 million during the first quarter of 2026, an increase of $1.5 million or 39% compared to capital expenditures net of asset sales of $3.8 in the fourth quarter of 2025. Capital spending during the first quarter was driven primarily by maintenance capital expenditures across our segments.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351"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 xml:space="preserve">KLX will conduct its first quarter 2026 conference call, which can be accessed via dial-in or webcast, on Wednesday, May 13, 2026 at 10:00 a.m. Eastern Time (9:00 a.m. Central Time) by dialing 1-201-389-0867 and asking for the KLX conference call at least 10 minutes prior to the start time, or by logging onto the webcast at </w:t>
      </w:r>
      <w:r>
        <w:rPr>
          <w:rFonts w:ascii="Times New Roman" w:cs="Times New Roman" w:eastAsia="Times New Roman" w:hAnsi="Times New Roman"/>
          <w:sz w:val="18"/>
          <w:szCs w:val="18"/>
          <w:u w:val="single" w:color="auto"/>
          <w:color w:val="0000FF"/>
        </w:rPr>
        <w:t>https://investor.klx.com/events-and-presentations/events.</w:t>
      </w:r>
      <w:r>
        <w:rPr>
          <w:rFonts w:ascii="Times New Roman" w:cs="Times New Roman" w:eastAsia="Times New Roman" w:hAnsi="Times New Roman"/>
          <w:sz w:val="18"/>
          <w:szCs w:val="18"/>
          <w:color w:val="auto"/>
        </w:rPr>
        <w:t xml:space="preserve"> For those who cannot listen to the live call, a replay will be available through May 27, 2026, and may be accessed by dialing 1-201-612-7415 and using passcode 13759558#. Also, an archive of the webcast will be available shortly after the call at </w:t>
      </w:r>
      <w:r>
        <w:rPr>
          <w:rFonts w:ascii="Times New Roman" w:cs="Times New Roman" w:eastAsia="Times New Roman" w:hAnsi="Times New Roman"/>
          <w:sz w:val="18"/>
          <w:szCs w:val="18"/>
          <w:u w:val="single" w:color="auto"/>
          <w:color w:val="0000FF"/>
        </w:rPr>
        <w:t>https://investor.klx.com/events-and-presentations/events</w:t>
      </w:r>
      <w:r>
        <w:rPr>
          <w:rFonts w:ascii="Times New Roman" w:cs="Times New Roman" w:eastAsia="Times New Roman" w:hAnsi="Times New Roman"/>
          <w:sz w:val="18"/>
          <w:szCs w:val="18"/>
          <w:color w:val="auto"/>
        </w:rPr>
        <w:t xml:space="preserve"> for 90 days. Please submit any questions for management prior to the call via email to </w:t>
      </w:r>
      <w:r>
        <w:rPr>
          <w:rFonts w:ascii="Times New Roman" w:cs="Times New Roman" w:eastAsia="Times New Roman" w:hAnsi="Times New Roman"/>
          <w:sz w:val="18"/>
          <w:szCs w:val="18"/>
          <w:u w:val="single" w:color="auto"/>
          <w:color w:val="0000FF"/>
        </w:rPr>
        <w:t>KLXE@dennardlascar.com</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KLX Energy Services Holdings, Inc.</w:t>
      </w:r>
    </w:p>
    <w:p>
      <w:pPr>
        <w:spacing w:after="0" w:line="310"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 xml:space="preserve">KLX is a growth-oriented provider of diversified oilfield services to leading onshore oil and natural gas exploration and production companies operating in both conventional and unconventional plays in all of the active major basins throughout the United States. The Company delivers mission critical oilfield services focused on drilling, completion, production, and intervention activities for technically demanding wells from over 60 service and support facilities located throughout the United States. KLX’s complementary suite of proprietary products and specialized services is supported by technically skilled personnel and a broad portfolio of innovative in-house manufacturing, repair and maintenance capabilities. More information is available at </w:t>
      </w:r>
      <w:r>
        <w:rPr>
          <w:rFonts w:ascii="Times New Roman" w:cs="Times New Roman" w:eastAsia="Times New Roman" w:hAnsi="Times New Roman"/>
          <w:sz w:val="18"/>
          <w:szCs w:val="18"/>
          <w:u w:val="single" w:color="auto"/>
          <w:color w:val="0000FF"/>
        </w:rPr>
        <w:t>www.klx.com</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and Cautionary Statements</w:t>
      </w:r>
    </w:p>
    <w:p>
      <w:pPr>
        <w:spacing w:after="0" w:line="310"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to encourage companies to provide prospective information to investors. This news release (and any oral statements made regarding the subjects of this release, including on the conference call announced herein) includes forward-looking statements that reflect our current expectations and projections about our future results, performance and prospects. Forward-looking statements include all statements that are not historical in nature and are not current facts. When used in this news release (and any oral statements made regarding the subjects of this release, including on the conference call announced herein), the words “believe,” “expect,” “plan,”</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45" w:right="339" w:bottom="1440" w:gutter="0" w:footer="0" w:header="0"/>
        </w:sectPr>
      </w:pPr>
    </w:p>
    <w:bookmarkStart w:id="7" w:name="page8"/>
    <w:bookmarkEnd w:id="7"/>
    <w:p>
      <w:pPr>
        <w:jc w:val="both"/>
        <w:spacing w:after="0" w:line="366" w:lineRule="auto"/>
        <w:rPr>
          <w:sz w:val="20"/>
          <w:szCs w:val="20"/>
          <w:color w:val="auto"/>
        </w:rPr>
      </w:pPr>
      <w:r>
        <w:rPr>
          <w:rFonts w:ascii="Times New Roman" w:cs="Times New Roman" w:eastAsia="Times New Roman" w:hAnsi="Times New Roman"/>
          <w:sz w:val="18"/>
          <w:szCs w:val="18"/>
          <w:color w:val="auto"/>
        </w:rPr>
        <w:t>“intend,”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 with respect to, among other things: our operating cash flows; the availability of capital and our liquidity; our future revenue, income and operating performance; our ability to sustain and improve our utilization, revenue and margins; our ability to maintain acceptable pricing for our services; future capital expenditures; our ability to finance equipment, working capital and capital expenditures; our ability to execute our long-term growth strategy and to integrate our acquisitions; our ability to successfully develop our research and technology capabilities and implement technological developments and enhancements; and the timing and success of strategic initiatives and special projects.</w:t>
      </w:r>
    </w:p>
    <w:p>
      <w:pPr>
        <w:spacing w:after="0" w:line="229"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18"/>
          <w:szCs w:val="18"/>
          <w:color w:val="auto"/>
        </w:rPr>
        <w:t>Forward-looking statements are not assurances of future performance and actual results could differ materially from our historical experience and our present expectations or projections. These forward-looking statements are based on management’s current expectations and beliefs, forecasts for our existing operations, experience, expectations and perception of historical trends, current conditions, anticipated future developments and their effect on us and other factors believed to be appropriate. Although management believes the expectations and assumptions reflected in these forward-looking statements are reasonable as and when made, no assurance can be given that these assumptions are accurate or that any of these expectations will be achieved (in full or at all). Our forward-looking statements involve significant risks, contingencies and uncertainties, most of which are difficult to predict and many of which are beyond our control. Known material factors that could cause actual results to differ materially from those in the forward-looking statements include, but are not limited to, risks associated with the following: a decline in demand for our services, including due to overcapacity and other competitive factors affecting our industry; the cyclical nature and volatility of the oil and gas industry, which impacts the level of exploration, production and development activity and spending patterns by oil and natural gas exploration and production companies; a decline in, or substantial volatility of, crude oil and gas commodity prices, which generally leads to decreased spending by our customers and negatively impacts drilling, completion and production activity; inflation; changes in interest rates; the ongoing war in Ukraine and its continuing effects on global trade; the ongoing conflict and tensions in the Middle East, including the conflict with Iran; supply chain issues; general economic, financial and political conditions, including market volatility and the impact of the imposition of increased, new and retaliatory tariffs; and other risks and uncertainties listed in our filings with the U.S. Securities and Exchange Commission, including our Current Reports on Form 8-K that we file from time to time, Quarterly Reports on Form 10-Q and Annual Report on Form 10-K. Readers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 except as required by law.</w:t>
      </w:r>
    </w:p>
    <w:p>
      <w:pPr>
        <w:spacing w:after="0" w:line="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45" w:right="339" w:bottom="1440" w:gutter="0" w:footer="0" w:header="0"/>
        </w:sectPr>
      </w:pPr>
    </w:p>
    <w:bookmarkStart w:id="8" w:name="page9"/>
    <w:bookmarkEnd w:id="8"/>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KLX Energy Services Holdings, Inc.</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 and shares, except per share data)</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6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r>
      <w:tr>
        <w:trPr>
          <w:trHeight w:val="211"/>
        </w:trPr>
        <w:tc>
          <w:tcPr>
            <w:tcW w:w="38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20" w:type="dxa"/>
            <w:vAlign w:val="bottom"/>
          </w:tcPr>
          <w:p>
            <w:pPr>
              <w:spacing w:after="0"/>
              <w:rPr>
                <w:sz w:val="18"/>
                <w:szCs w:val="18"/>
                <w:color w:val="auto"/>
              </w:rPr>
            </w:pPr>
          </w:p>
        </w:tc>
        <w:tc>
          <w:tcPr>
            <w:tcW w:w="17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11"/>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20" w:type="dxa"/>
            <w:vAlign w:val="bottom"/>
            <w:tcBorders>
              <w:top w:val="single" w:sz="8" w:color="auto"/>
            </w:tcBorders>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144.7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w:t>
            </w:r>
          </w:p>
        </w:tc>
      </w:tr>
      <w:tr>
        <w:trPr>
          <w:trHeight w:val="214"/>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8"/>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sales</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r>
      <w:tr>
        <w:trPr>
          <w:trHeight w:val="213"/>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1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13"/>
        </w:trPr>
        <w:tc>
          <w:tcPr>
            <w:tcW w:w="3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Research and development costs</w:t>
            </w:r>
          </w:p>
        </w:tc>
        <w:tc>
          <w:tcPr>
            <w:tcW w:w="1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6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expense:</w:t>
            </w: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3"/>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16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7"/>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before income tax</w:t>
            </w:r>
          </w:p>
        </w:tc>
        <w:tc>
          <w:tcPr>
            <w:tcW w:w="16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16"/>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16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2"/>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20" w:type="dxa"/>
            <w:vAlign w:val="bottom"/>
            <w:tcBorders>
              <w:bottom w:val="single" w:sz="8" w:color="auto"/>
            </w:tcBorders>
          </w:tcPr>
          <w:p>
            <w:pPr>
              <w:jc w:val="right"/>
              <w:ind w:right="141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3"/>
        </w:trPr>
        <w:tc>
          <w:tcPr>
            <w:tcW w:w="38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44"/>
        </w:trPr>
        <w:tc>
          <w:tcPr>
            <w:tcW w:w="3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620" w:type="dxa"/>
            <w:vAlign w:val="bottom"/>
            <w:tcBorders>
              <w:bottom w:val="single" w:sz="8" w:color="auto"/>
            </w:tcBorders>
            <w:shd w:val="clear" w:color="auto" w:fill="CCEEFF"/>
          </w:tcPr>
          <w:p>
            <w:pPr>
              <w:jc w:val="right"/>
              <w:ind w:right="141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620" w:type="dxa"/>
            <w:vAlign w:val="bottom"/>
            <w:tcBorders>
              <w:bottom w:val="single" w:sz="8" w:color="auto"/>
            </w:tcBorders>
          </w:tcPr>
          <w:p>
            <w:pPr>
              <w:jc w:val="right"/>
              <w:ind w:right="141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83"/>
        </w:trPr>
        <w:tc>
          <w:tcPr>
            <w:tcW w:w="38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w:t>
            </w: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0"/>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700" w:top="100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KLX Energy Services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 and shares,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79"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6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6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r>
      <w:tr>
        <w:trPr>
          <w:trHeight w:val="230"/>
        </w:trPr>
        <w:tc>
          <w:tcPr>
            <w:tcW w:w="6640" w:type="dxa"/>
            <w:vAlign w:val="bottom"/>
            <w:shd w:val="clear" w:color="auto" w:fill="CCEEFF"/>
          </w:tcPr>
          <w:p>
            <w:pPr>
              <w:ind w:left="4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receivable–trade, net of allowance for credit losses of $1.5 and $1.7</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30"/>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30"/>
        </w:trPr>
        <w:tc>
          <w:tcPr>
            <w:tcW w:w="6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Property and equipment, net</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33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w:t>
            </w:r>
          </w:p>
        </w:tc>
        <w:tc>
          <w:tcPr>
            <w:tcW w:w="19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3"/>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contingencies and off-balance sheet arrangements</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$0.01 par value; 110.0 authorized; 20.5 and 18.9 issued</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w:t>
            </w: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0.6 shares and 0.5 shares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(639.5)</w:t>
            </w:r>
          </w:p>
        </w:tc>
      </w:tr>
      <w:tr>
        <w:trPr>
          <w:trHeight w:val="22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48"/>
        </w:trPr>
        <w:tc>
          <w:tcPr>
            <w:tcW w:w="6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Includes right-of-use assets - finance leases.</w:t>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0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KLX Energy Services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Selected Operating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0"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This release includes Adjusted EBITDA, Adjusted EBITDA margin, Adjusted Net Loss, Adjusted Diluted Loss per share, Unlevered and Levered Free Cash Flow, Net Working Capital and Net Debt measures. Each of the metrics are “non-GAAP financial measures” as defined in Regulation G of the Securities Exchange Act of 1934.</w:t>
      </w:r>
    </w:p>
    <w:p>
      <w:pPr>
        <w:spacing w:after="0" w:line="218"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Adjusted EBITDA is a supplemental 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income (loss) before interest, taxes, depreciation and amortization, further adjusted for (i) long-lived asset impairment charges, (ii) stock-based compensation expense, (iii) restructuring charges, (iv) transaction and integration costs related to acquisitions, and (v) other expenses or charges to exclude certain items that we believe are not reflective of the ongoing performance of our business. Adjusted EBITDA is used to calculate the Company’s leverage ratio, consistent with the terms of the Company’s ABL Facility.</w:t>
      </w:r>
    </w:p>
    <w:p>
      <w:pPr>
        <w:spacing w:after="0" w:line="210"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18"/>
          <w:szCs w:val="18"/>
          <w:color w:val="auto"/>
        </w:rPr>
        <w:t>We believe Adjusted EBITDA is useful because it allows us to supplement the GAAP measures in order to more effectively evaluate our operating performance and compare the results of our operations from period to period without regard to our financing methods or capital structure. We exclude the items listed above in arriving at Adjusted EBITDA because these amounts can vary substantially from company to company within our industry depending upon accounting methods and book values of assets, capital structures and the method by which the assets were acquired. Adjusted EBITDA should not be considered as an alternative to, or more meaningful than, net income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pacing w:after="0" w:line="215"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Adjusted EBITDA margin is a supplemental non-GAAP financial measure that is used by management and external users of our financial statements, such as industry analysts, investors, lenders and rating agencies. Adjusted EBITDA margin is not a measure of net earnings or cash flows as determined by GAAP. Adjusted EBITDA margin is defined as the quotient of Adjusted EBITDA and total revenue. We believe Adjusted EBITDA margin is useful because it allows us to supplement the GAAP measures in order to more effectively evaluate our operating performance and compare the results of our operations from period to period without regard to our financing methods or capital structure, as a percentage of revenues.</w:t>
      </w:r>
    </w:p>
    <w:p>
      <w:pPr>
        <w:spacing w:after="0" w:line="209"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We define Adjusted Operating Income (Loss) as operating income (loss) adjusted for (i) long-lived asset impairment charges, (ii) restructuring charges, (iii) transaction and integration costs related to acquisitions, and (iv) other expenses or charges to exclude certain items that we believe are not reflective of the ongoing performance of our business. We believe Adjusted Operating Income (Loss) is useful because it allows us to exclude non-recurring items in evaluating our operating performance.</w:t>
      </w:r>
    </w:p>
    <w:p>
      <w:pPr>
        <w:spacing w:after="0" w:line="205" w:lineRule="exact"/>
        <w:rPr>
          <w:sz w:val="20"/>
          <w:szCs w:val="20"/>
          <w:color w:val="auto"/>
        </w:rPr>
      </w:pPr>
    </w:p>
    <w:p>
      <w:pPr>
        <w:jc w:val="both"/>
        <w:ind w:right="20"/>
        <w:spacing w:after="0" w:line="391" w:lineRule="auto"/>
        <w:rPr>
          <w:sz w:val="20"/>
          <w:szCs w:val="20"/>
          <w:color w:val="auto"/>
        </w:rPr>
      </w:pPr>
      <w:r>
        <w:rPr>
          <w:rFonts w:ascii="Times New Roman" w:cs="Times New Roman" w:eastAsia="Times New Roman" w:hAnsi="Times New Roman"/>
          <w:sz w:val="18"/>
          <w:szCs w:val="18"/>
          <w:color w:val="auto"/>
        </w:rPr>
        <w:t>We define Adjusted Net Loss as consolidated net loss adjusted for (i) long-lived asset impairment charges, (ii) restructuring charges, (iii) transaction and integration costs related to acquisitions, and (iv) other expenses or charges to exclude certain items</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87" w:right="339" w:bottom="1440" w:gutter="0" w:footer="0" w:header="0"/>
        </w:sectPr>
      </w:pPr>
    </w:p>
    <w:bookmarkStart w:id="11" w:name="page12"/>
    <w:bookmarkEnd w:id="11"/>
    <w:p>
      <w:pPr>
        <w:jc w:val="both"/>
        <w:spacing w:after="0" w:line="391" w:lineRule="auto"/>
        <w:rPr>
          <w:sz w:val="20"/>
          <w:szCs w:val="20"/>
          <w:color w:val="auto"/>
        </w:rPr>
      </w:pPr>
      <w:r>
        <w:rPr>
          <w:rFonts w:ascii="Times New Roman" w:cs="Times New Roman" w:eastAsia="Times New Roman" w:hAnsi="Times New Roman"/>
          <w:sz w:val="18"/>
          <w:szCs w:val="18"/>
          <w:color w:val="auto"/>
        </w:rPr>
        <w:t>that we believe are not reflective of the ongoing performance of our business. We believe Adjusted Net Loss is useful because it allows us to exclude non-recurring items in evaluating our operating performance.</w:t>
      </w:r>
    </w:p>
    <w:p>
      <w:pPr>
        <w:spacing w:after="0" w:line="190" w:lineRule="exact"/>
        <w:rPr>
          <w:sz w:val="20"/>
          <w:szCs w:val="20"/>
          <w:color w:val="auto"/>
        </w:rPr>
      </w:pPr>
    </w:p>
    <w:p>
      <w:pPr>
        <w:jc w:val="both"/>
        <w:spacing w:after="0" w:line="383" w:lineRule="auto"/>
        <w:rPr>
          <w:sz w:val="20"/>
          <w:szCs w:val="20"/>
          <w:color w:val="auto"/>
        </w:rPr>
      </w:pPr>
      <w:r>
        <w:rPr>
          <w:rFonts w:ascii="Times New Roman" w:cs="Times New Roman" w:eastAsia="Times New Roman" w:hAnsi="Times New Roman"/>
          <w:sz w:val="18"/>
          <w:szCs w:val="18"/>
          <w:color w:val="auto"/>
        </w:rPr>
        <w:t>We define Adjusted Diluted Loss per share as the quotient of Adjusted Net Loss and diluted weighted average common shares. We believe that Adjusted Diluted Loss per share provides useful information to investors because it allows us to exclude non-recurring items in evaluating our operating performance on a diluted per share basis.</w:t>
      </w:r>
    </w:p>
    <w:p>
      <w:pPr>
        <w:spacing w:after="0" w:line="197" w:lineRule="exact"/>
        <w:rPr>
          <w:sz w:val="20"/>
          <w:szCs w:val="20"/>
          <w:color w:val="auto"/>
        </w:rPr>
      </w:pPr>
    </w:p>
    <w:p>
      <w:pPr>
        <w:jc w:val="both"/>
        <w:spacing w:after="0" w:line="369" w:lineRule="auto"/>
        <w:rPr>
          <w:sz w:val="20"/>
          <w:szCs w:val="20"/>
          <w:color w:val="auto"/>
        </w:rPr>
      </w:pPr>
      <w:r>
        <w:rPr>
          <w:rFonts w:ascii="Times New Roman" w:cs="Times New Roman" w:eastAsia="Times New Roman" w:hAnsi="Times New Roman"/>
          <w:sz w:val="18"/>
          <w:szCs w:val="18"/>
          <w:color w:val="auto"/>
        </w:rPr>
        <w:t>We define Unlevered Free Cash Flow as net cash provided by operating activities less capital expenditures and proceeds from sale of property and equipment and other proceeds plus cash interest expense. We define Levered Free Cash Flow as net cash provided by operating activities less capital expenditures and proceeds from sale of property and equipment and other proceeds. Our management uses Unlevered and Levered Free Cash Flow to assess the Company’s liquidity and ability to repay maturing debt, fund operations and make additional investments. We believe that each of Unlevered and Levered Free Cash Flow provide useful information to investors because it is an important indicator of the Company’s liquidity, including our ability to reduce Net Debt and make strategic investments.</w:t>
      </w:r>
    </w:p>
    <w:p>
      <w:pPr>
        <w:spacing w:after="0" w:line="210"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Net Working Capital is calculated as current assets, excluding cash, less current liabilities, excluding accrued interest, current portion of long-term debt, operating lease obligations and finance lease obligations. We believe that Net Working Capital provides useful information to investors because it is an important indicator of the Company’s liquidity.</w:t>
      </w:r>
    </w:p>
    <w:p>
      <w:pPr>
        <w:spacing w:after="0" w:line="218"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We define Net Debt as total debt less cash and cash equivalents. We believe that Net Debt provides useful information to investors because it is an important indicator of the Company’s indebtedness.</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45" w:right="339" w:bottom="1440" w:gutter="0" w:footer="0" w:header="0"/>
        </w:sectPr>
      </w:pPr>
    </w:p>
    <w:bookmarkStart w:id="12" w:name="page13"/>
    <w:bookmarkEnd w:id="12"/>
    <w:p>
      <w:pPr>
        <w:spacing w:after="0" w:line="391" w:lineRule="auto"/>
        <w:rPr>
          <w:sz w:val="20"/>
          <w:szCs w:val="20"/>
          <w:color w:val="auto"/>
        </w:rPr>
      </w:pPr>
      <w:r>
        <w:rPr>
          <w:rFonts w:ascii="Times New Roman" w:cs="Times New Roman" w:eastAsia="Times New Roman" w:hAnsi="Times New Roman"/>
          <w:sz w:val="18"/>
          <w:szCs w:val="18"/>
          <w:color w:val="auto"/>
        </w:rPr>
        <w:t>The following tables present a reconciliation of non-GAAP financial measures to the most directly comparable GAAP financial measures for the periods indicated:</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KLX Energy Services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Consolidated Net Loss to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98" w:lineRule="exact"/>
        <w:rPr>
          <w:sz w:val="20"/>
          <w:szCs w:val="20"/>
          <w:color w:val="auto"/>
        </w:rPr>
      </w:pPr>
    </w:p>
    <w:tbl>
      <w:tblPr>
        <w:tblLayout w:type="fixed"/>
        <w:tblInd w:w="252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420" w:type="dxa"/>
            <w:vAlign w:val="bottom"/>
          </w:tcPr>
          <w:p>
            <w:pPr>
              <w:spacing w:after="0"/>
              <w:rPr>
                <w:sz w:val="13"/>
                <w:szCs w:val="13"/>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14"/>
        </w:trPr>
        <w:tc>
          <w:tcPr>
            <w:tcW w:w="24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loss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13"/>
        </w:trPr>
        <w:tc>
          <w:tcPr>
            <w:tcW w:w="2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2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One-time net costs </w:t>
            </w:r>
            <w:r>
              <w:rPr>
                <w:rFonts w:ascii="Times New Roman" w:cs="Times New Roman" w:eastAsia="Times New Roman" w:hAnsi="Times New Roman"/>
                <w:sz w:val="21"/>
                <w:szCs w:val="21"/>
                <w:color w:val="auto"/>
                <w:vertAlign w:val="superscript"/>
              </w:rPr>
              <w:t>(1)</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loss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3"/>
        </w:trPr>
        <w:tc>
          <w:tcPr>
            <w:tcW w:w="2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compensation</w:t>
            </w:r>
          </w:p>
        </w:tc>
        <w:tc>
          <w:tcPr>
            <w:tcW w:w="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09"/>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*Previously announced quarterly numbers may not sum to the year-end total due to rounding.</w:t>
      </w:r>
    </w:p>
    <w:p>
      <w:pPr>
        <w:ind w:left="180" w:hanging="172"/>
        <w:spacing w:after="0" w:line="214" w:lineRule="auto"/>
        <w:tabs>
          <w:tab w:leader="none" w:pos="18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one-time costs during the first quarter of 2026 relate mainly to legal costs, facility costs and other.</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KLX Energy Services Holdings, Inc.</w:t>
      </w:r>
    </w:p>
    <w:p>
      <w:pPr>
        <w:jc w:val="center"/>
        <w:spacing w:after="0" w:line="225" w:lineRule="auto"/>
        <w:rPr>
          <w:sz w:val="20"/>
          <w:szCs w:val="20"/>
          <w:color w:val="auto"/>
        </w:rPr>
      </w:pPr>
      <w:r>
        <w:rPr>
          <w:rFonts w:ascii="Times New Roman" w:cs="Times New Roman" w:eastAsia="Times New Roman" w:hAnsi="Times New Roman"/>
          <w:sz w:val="18"/>
          <w:szCs w:val="18"/>
          <w:b w:val="1"/>
          <w:bCs w:val="1"/>
          <w:color w:val="auto"/>
        </w:rPr>
        <w:t>Consolidated Net Loss Margin</w:t>
      </w:r>
      <w:r>
        <w:rPr>
          <w:rFonts w:ascii="Times New Roman" w:cs="Times New Roman" w:eastAsia="Times New Roman" w:hAnsi="Times New Roman"/>
          <w:sz w:val="23"/>
          <w:szCs w:val="23"/>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98" w:lineRule="exact"/>
        <w:rPr>
          <w:sz w:val="20"/>
          <w:szCs w:val="20"/>
          <w:color w:val="auto"/>
        </w:rPr>
      </w:pPr>
    </w:p>
    <w:tbl>
      <w:tblPr>
        <w:tblLayout w:type="fixed"/>
        <w:tblInd w:w="2520" w:type="dxa"/>
        <w:tblCellMar>
          <w:top w:w="0" w:type="dxa"/>
          <w:left w:w="0" w:type="dxa"/>
          <w:bottom w:w="0" w:type="dxa"/>
          <w:right w:w="0" w:type="dxa"/>
        </w:tblCellMar>
      </w:tblPr>
      <w:tr>
        <w:trPr>
          <w:trHeight w:val="215"/>
        </w:trPr>
        <w:tc>
          <w:tcPr>
            <w:tcW w:w="2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22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14"/>
        </w:trPr>
        <w:tc>
          <w:tcPr>
            <w:tcW w:w="2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Consolidated net loss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54"/>
        </w:trPr>
        <w:tc>
          <w:tcPr>
            <w:tcW w:w="2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144.7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156.8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145"/>
        </w:trPr>
        <w:tc>
          <w:tcPr>
            <w:tcW w:w="222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6"/>
                <w:szCs w:val="16"/>
                <w:color w:val="auto"/>
              </w:rPr>
              <w:t>Consolidated net loss margin</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percentage</w:t>
            </w: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Consolidated net loss margin is defined as the quotient of consolidated net loss and total revenue.</w:t>
      </w:r>
    </w:p>
    <w:p>
      <w:pPr>
        <w:spacing w:after="0" w:line="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4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KLX Energy Services Holdings, Inc.</w:t>
      </w:r>
    </w:p>
    <w:p>
      <w:pPr>
        <w:jc w:val="center"/>
        <w:spacing w:after="0" w:line="213" w:lineRule="auto"/>
        <w:rPr>
          <w:sz w:val="20"/>
          <w:szCs w:val="20"/>
          <w:color w:val="auto"/>
        </w:rPr>
      </w:pPr>
      <w:r>
        <w:rPr>
          <w:rFonts w:ascii="Times New Roman" w:cs="Times New Roman" w:eastAsia="Times New Roman" w:hAnsi="Times New Roman"/>
          <w:sz w:val="18"/>
          <w:szCs w:val="18"/>
          <w:b w:val="1"/>
          <w:bCs w:val="1"/>
          <w:color w:val="auto"/>
        </w:rPr>
        <w:t>Consolidated Adjusted EBITDA Margin</w:t>
      </w:r>
      <w:r>
        <w:rPr>
          <w:rFonts w:ascii="Times New Roman" w:cs="Times New Roman" w:eastAsia="Times New Roman" w:hAnsi="Times New Roman"/>
          <w:sz w:val="23"/>
          <w:szCs w:val="23"/>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4" w:lineRule="exact"/>
        <w:rPr>
          <w:sz w:val="20"/>
          <w:szCs w:val="20"/>
          <w:color w:val="auto"/>
        </w:rPr>
      </w:pPr>
    </w:p>
    <w:tbl>
      <w:tblPr>
        <w:tblLayout w:type="fixed"/>
        <w:tblInd w:w="2520" w:type="dxa"/>
        <w:tblCellMar>
          <w:top w:w="0" w:type="dxa"/>
          <w:left w:w="0" w:type="dxa"/>
          <w:bottom w:w="0" w:type="dxa"/>
          <w:right w:w="0" w:type="dxa"/>
        </w:tblCellMar>
      </w:tblPr>
      <w:tr>
        <w:trPr>
          <w:trHeight w:val="215"/>
        </w:trPr>
        <w:tc>
          <w:tcPr>
            <w:tcW w:w="2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220" w:type="dxa"/>
            <w:vAlign w:val="bottom"/>
          </w:tcPr>
          <w:p>
            <w:pPr>
              <w:spacing w:after="0"/>
              <w:rPr>
                <w:sz w:val="13"/>
                <w:szCs w:val="13"/>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14"/>
        </w:trPr>
        <w:tc>
          <w:tcPr>
            <w:tcW w:w="2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Adjusted EBITDA</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54"/>
        </w:trPr>
        <w:tc>
          <w:tcPr>
            <w:tcW w:w="2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144.7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156.8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154.0</w:t>
            </w:r>
          </w:p>
        </w:tc>
        <w:tc>
          <w:tcPr>
            <w:tcW w:w="0" w:type="dxa"/>
            <w:vAlign w:val="bottom"/>
          </w:tcPr>
          <w:p>
            <w:pPr>
              <w:spacing w:after="0"/>
              <w:rPr>
                <w:sz w:val="1"/>
                <w:szCs w:val="1"/>
                <w:color w:val="auto"/>
              </w:rPr>
            </w:pPr>
          </w:p>
        </w:tc>
      </w:tr>
      <w:tr>
        <w:trPr>
          <w:trHeight w:val="145"/>
        </w:trPr>
        <w:tc>
          <w:tcPr>
            <w:tcW w:w="222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6"/>
                <w:szCs w:val="16"/>
                <w:color w:val="auto"/>
              </w:rPr>
              <w:t>Adjusted EBITDA Margin</w:t>
            </w: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Percentage</w:t>
            </w: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8"/>
        <w:spacing w:after="0" w:line="238" w:lineRule="auto"/>
        <w:tabs>
          <w:tab w:leader="none" w:pos="166"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Adjusted EBITDA margin is defined as the quotient of Adjusted EBITDA and total revenue. Adjusted EBITDA is net (loss) income excluding one-time costs (as defined above), depreciation and amortization expense, non-cash compensation expense and non-cash asset impairment expense.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KLX Energy Services Holdings,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Rocky Mountains Operating (Loss) Income to Adjusted EBITDA</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4" w:lineRule="exact"/>
        <w:rPr>
          <w:sz w:val="20"/>
          <w:szCs w:val="20"/>
          <w:color w:val="auto"/>
        </w:rPr>
      </w:pPr>
    </w:p>
    <w:tbl>
      <w:tblPr>
        <w:tblLayout w:type="fixed"/>
        <w:tblInd w:w="242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6"/>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14"/>
        </w:trPr>
        <w:tc>
          <w:tcPr>
            <w:tcW w:w="24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Rocky Mountains operating (loss)</w:t>
            </w:r>
          </w:p>
        </w:tc>
        <w:tc>
          <w:tcPr>
            <w:tcW w:w="46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46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4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One-time costs </w:t>
            </w:r>
            <w:r>
              <w:rPr>
                <w:rFonts w:ascii="Times New Roman" w:cs="Times New Roman" w:eastAsia="Times New Roman" w:hAnsi="Times New Roman"/>
                <w:sz w:val="21"/>
                <w:szCs w:val="21"/>
                <w:color w:val="auto"/>
                <w:vertAlign w:val="superscript"/>
              </w:rPr>
              <w:t>(1)</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4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Adjusted operating (loss) income</w:t>
            </w:r>
          </w:p>
        </w:tc>
        <w:tc>
          <w:tcPr>
            <w:tcW w:w="4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62"/>
        </w:trPr>
        <w:tc>
          <w:tcPr>
            <w:tcW w:w="24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4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compensation</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Rocky Mountains Adjusted</w:t>
            </w:r>
          </w:p>
        </w:tc>
        <w:tc>
          <w:tcPr>
            <w:tcW w:w="4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2"/>
                <w:szCs w:val="12"/>
                <w:color w:val="auto"/>
              </w:rPr>
            </w:pPr>
          </w:p>
        </w:tc>
        <w:tc>
          <w:tcPr>
            <w:tcW w:w="4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4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20" w:firstLine="8"/>
        <w:spacing w:after="0" w:line="238" w:lineRule="auto"/>
        <w:tabs>
          <w:tab w:leader="none" w:pos="167"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One-time costs are defined in the Reconciliation of Consolidated Net Loss to Adjusted EBITDA table above. For purposes of segment reconciliation, one-time costs also include impairment and other charges.</w:t>
      </w:r>
    </w:p>
    <w:p>
      <w:pPr>
        <w:spacing w:after="0" w:line="9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8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KLX Energy Services Holdings,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Southwest Operating (Loss) Income to Adjusted EBITDA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4" w:lineRule="exact"/>
        <w:rPr>
          <w:sz w:val="20"/>
          <w:szCs w:val="20"/>
          <w:color w:val="auto"/>
        </w:rPr>
      </w:pPr>
    </w:p>
    <w:tbl>
      <w:tblPr>
        <w:tblLayout w:type="fixed"/>
        <w:tblInd w:w="252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6"/>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42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14"/>
        </w:trPr>
        <w:tc>
          <w:tcPr>
            <w:tcW w:w="24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Southwest operating (loss) income</w:t>
            </w: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One-time costs </w:t>
            </w:r>
            <w:r>
              <w:rPr>
                <w:rFonts w:ascii="Times New Roman" w:cs="Times New Roman" w:eastAsia="Times New Roman" w:hAnsi="Times New Roman"/>
                <w:sz w:val="21"/>
                <w:szCs w:val="21"/>
                <w:color w:val="auto"/>
                <w:vertAlign w:val="superscript"/>
              </w:rPr>
              <w:t>(1)</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color w:val="auto"/>
                <w:w w:val="99"/>
              </w:rPr>
              <w:t>0.1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659"/>
              <w:spacing w:after="0"/>
              <w:rPr>
                <w:sz w:val="20"/>
                <w:szCs w:val="20"/>
                <w:color w:val="auto"/>
              </w:rPr>
            </w:pPr>
            <w:r>
              <w:rPr>
                <w:rFonts w:ascii="Times New Roman" w:cs="Times New Roman" w:eastAsia="Times New Roman" w:hAnsi="Times New Roman"/>
                <w:sz w:val="16"/>
                <w:szCs w:val="16"/>
                <w:color w:val="auto"/>
                <w:w w:val="99"/>
              </w:rPr>
              <w:t>0.2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Adjusted operating (loss) income</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61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62"/>
        </w:trPr>
        <w:tc>
          <w:tcPr>
            <w:tcW w:w="24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Pr>
          <w:p>
            <w:pPr>
              <w:spacing w:after="0"/>
              <w:rPr>
                <w:sz w:val="14"/>
                <w:szCs w:val="14"/>
                <w:color w:val="auto"/>
              </w:rPr>
            </w:pPr>
          </w:p>
        </w:tc>
        <w:tc>
          <w:tcPr>
            <w:tcW w:w="680" w:type="dxa"/>
            <w:vAlign w:val="bottom"/>
            <w:vMerge w:val="restart"/>
          </w:tcPr>
          <w:p>
            <w:pPr>
              <w:jc w:val="center"/>
              <w:ind w:left="319"/>
              <w:spacing w:after="0"/>
              <w:rPr>
                <w:sz w:val="20"/>
                <w:szCs w:val="20"/>
                <w:color w:val="auto"/>
              </w:rPr>
            </w:pPr>
            <w:r>
              <w:rPr>
                <w:rFonts w:ascii="Times New Roman" w:cs="Times New Roman" w:eastAsia="Times New Roman" w:hAnsi="Times New Roman"/>
                <w:sz w:val="16"/>
                <w:szCs w:val="16"/>
                <w:color w:val="auto"/>
                <w:w w:val="99"/>
              </w:rPr>
              <w:t>7.9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center"/>
              <w:ind w:left="659"/>
              <w:spacing w:after="0"/>
              <w:rPr>
                <w:sz w:val="20"/>
                <w:szCs w:val="20"/>
                <w:color w:val="auto"/>
              </w:rPr>
            </w:pPr>
            <w:r>
              <w:rPr>
                <w:rFonts w:ascii="Times New Roman" w:cs="Times New Roman" w:eastAsia="Times New Roman" w:hAnsi="Times New Roman"/>
                <w:sz w:val="16"/>
                <w:szCs w:val="16"/>
                <w:color w:val="auto"/>
                <w:w w:val="99"/>
              </w:rPr>
              <w:t>8.2</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4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compensation</w:t>
            </w:r>
          </w:p>
        </w:tc>
        <w:tc>
          <w:tcPr>
            <w:tcW w:w="4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w w:val="99"/>
              </w:rPr>
              <w:t>0.0</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59"/>
              <w:spacing w:after="0"/>
              <w:rPr>
                <w:sz w:val="20"/>
                <w:szCs w:val="20"/>
                <w:color w:val="auto"/>
              </w:rPr>
            </w:pPr>
            <w:r>
              <w:rPr>
                <w:rFonts w:ascii="Times New Roman" w:cs="Times New Roman" w:eastAsia="Times New Roman" w:hAnsi="Times New Roman"/>
                <w:sz w:val="16"/>
                <w:szCs w:val="16"/>
                <w:color w:val="auto"/>
                <w:w w:val="99"/>
              </w:rPr>
              <w:t>0.0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0"/>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Southwest Adjusted EBITDA</w:t>
            </w: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color w:val="auto"/>
                <w:w w:val="99"/>
              </w:rPr>
              <w:t>4.6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center"/>
              <w:ind w:left="659"/>
              <w:spacing w:after="0"/>
              <w:rPr>
                <w:sz w:val="20"/>
                <w:szCs w:val="20"/>
                <w:color w:val="auto"/>
              </w:rPr>
            </w:pPr>
            <w:r>
              <w:rPr>
                <w:rFonts w:ascii="Times New Roman" w:cs="Times New Roman" w:eastAsia="Times New Roman" w:hAnsi="Times New Roman"/>
                <w:sz w:val="16"/>
                <w:szCs w:val="16"/>
                <w:color w:val="auto"/>
                <w:w w:val="99"/>
              </w:rPr>
              <w:t>6.8</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right="20" w:firstLine="8"/>
        <w:spacing w:after="0" w:line="238" w:lineRule="auto"/>
        <w:tabs>
          <w:tab w:leader="none" w:pos="167"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One-time costs are defined in the Reconciliation of Consolidated Net Loss to Adjusted EBITDA table above. For purposes of segment reconciliation, one-time costs also include impairment and other charges.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KLX Energy Services Holdings,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Northeast/Mid-Con Operating Income (Loss) to Adjusted EBITDA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4" w:lineRule="exact"/>
        <w:rPr>
          <w:sz w:val="20"/>
          <w:szCs w:val="20"/>
          <w:color w:val="auto"/>
        </w:rPr>
      </w:pPr>
    </w:p>
    <w:tbl>
      <w:tblPr>
        <w:tblLayout w:type="fixed"/>
        <w:tblInd w:w="254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420" w:type="dxa"/>
            <w:vAlign w:val="bottom"/>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14"/>
        </w:trPr>
        <w:tc>
          <w:tcPr>
            <w:tcW w:w="24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4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Northeast/Mid-Con operating</w:t>
            </w:r>
          </w:p>
        </w:tc>
        <w:tc>
          <w:tcPr>
            <w:tcW w:w="46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w w:val="97"/>
              </w:rPr>
              <w:t>(8.1)</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w:t>
            </w:r>
          </w:p>
        </w:tc>
        <w:tc>
          <w:tcPr>
            <w:tcW w:w="46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40" w:type="dxa"/>
            <w:vAlign w:val="bottom"/>
            <w:gridSpan w:val="3"/>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One-time costs </w:t>
            </w:r>
            <w:r>
              <w:rPr>
                <w:rFonts w:ascii="Times New Roman" w:cs="Times New Roman" w:eastAsia="Times New Roman" w:hAnsi="Times New Roman"/>
                <w:sz w:val="21"/>
                <w:szCs w:val="21"/>
                <w:color w:val="auto"/>
                <w:vertAlign w:val="superscript"/>
              </w:rPr>
              <w:t>(1)</w:t>
            </w: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color w:val="auto"/>
                <w:w w:val="99"/>
              </w:rPr>
              <w:t>1.8</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Adjusted operating income (loss)</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w w:val="97"/>
              </w:rPr>
              <w:t>(6.3)</w:t>
            </w:r>
          </w:p>
        </w:tc>
        <w:tc>
          <w:tcPr>
            <w:tcW w:w="0" w:type="dxa"/>
            <w:vAlign w:val="bottom"/>
          </w:tcPr>
          <w:p>
            <w:pPr>
              <w:spacing w:after="0"/>
              <w:rPr>
                <w:sz w:val="1"/>
                <w:szCs w:val="1"/>
                <w:color w:val="auto"/>
              </w:rPr>
            </w:pPr>
          </w:p>
        </w:tc>
      </w:tr>
      <w:tr>
        <w:trPr>
          <w:trHeight w:val="162"/>
        </w:trPr>
        <w:tc>
          <w:tcPr>
            <w:tcW w:w="24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9.0</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4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compensation</w:t>
            </w:r>
          </w:p>
        </w:tc>
        <w:tc>
          <w:tcPr>
            <w:tcW w:w="4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0.0</w:t>
            </w:r>
          </w:p>
        </w:tc>
        <w:tc>
          <w:tcPr>
            <w:tcW w:w="0" w:type="dxa"/>
            <w:vAlign w:val="bottom"/>
          </w:tcPr>
          <w:p>
            <w:pPr>
              <w:spacing w:after="0"/>
              <w:rPr>
                <w:sz w:val="1"/>
                <w:szCs w:val="1"/>
                <w:color w:val="auto"/>
              </w:rPr>
            </w:pP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Northeast/Mid-Con Adjusted</w:t>
            </w:r>
          </w:p>
        </w:tc>
        <w:tc>
          <w:tcPr>
            <w:tcW w:w="46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12"/>
                <w:szCs w:val="12"/>
                <w:color w:val="auto"/>
              </w:rPr>
            </w:pPr>
          </w:p>
        </w:tc>
        <w:tc>
          <w:tcPr>
            <w:tcW w:w="4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2.7</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4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gridSpan w:val="3"/>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right="20" w:firstLine="8"/>
        <w:spacing w:after="0" w:line="238" w:lineRule="auto"/>
        <w:tabs>
          <w:tab w:leader="none" w:pos="167"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One-time costs are defined in the Reconciliation of Consolidated Net Loss to Adjusted EBITDA table above. For purposes of segment reconciliation, one-time costs also include impairment and other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8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KLX Energy Services Holdings,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Corporate and Other Operating Loss to Adjusted EBITDA Loss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4" w:lineRule="exact"/>
        <w:rPr>
          <w:sz w:val="20"/>
          <w:szCs w:val="20"/>
          <w:color w:val="auto"/>
        </w:rPr>
      </w:pPr>
    </w:p>
    <w:tbl>
      <w:tblPr>
        <w:tblLayout w:type="fixed"/>
        <w:tblInd w:w="254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center"/>
              <w:ind w:left="1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Pr>
          <w:p>
            <w:pPr>
              <w:spacing w:after="0"/>
              <w:rPr>
                <w:sz w:val="13"/>
                <w:szCs w:val="13"/>
                <w:color w:val="auto"/>
              </w:rPr>
            </w:pPr>
          </w:p>
        </w:tc>
        <w:tc>
          <w:tcPr>
            <w:tcW w:w="11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14"/>
        </w:trPr>
        <w:tc>
          <w:tcPr>
            <w:tcW w:w="242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operating loss</w:t>
            </w: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w w:val="97"/>
              </w:rPr>
              <w:t>(7.9)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One-time costs </w:t>
            </w:r>
            <w:r>
              <w:rPr>
                <w:rFonts w:ascii="Times New Roman" w:cs="Times New Roman" w:eastAsia="Times New Roman" w:hAnsi="Times New Roman"/>
                <w:sz w:val="21"/>
                <w:szCs w:val="21"/>
                <w:color w:val="auto"/>
                <w:vertAlign w:val="superscript"/>
              </w:rPr>
              <w:t>(1)</w:t>
            </w: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color w:val="auto"/>
                <w:w w:val="99"/>
              </w:rPr>
              <w:t>0.9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left="679"/>
              <w:spacing w:after="0"/>
              <w:rPr>
                <w:sz w:val="20"/>
                <w:szCs w:val="20"/>
                <w:color w:val="auto"/>
              </w:rPr>
            </w:pPr>
            <w:r>
              <w:rPr>
                <w:rFonts w:ascii="Times New Roman" w:cs="Times New Roman" w:eastAsia="Times New Roman" w:hAnsi="Times New Roman"/>
                <w:sz w:val="16"/>
                <w:szCs w:val="16"/>
                <w:color w:val="auto"/>
                <w:w w:val="99"/>
              </w:rPr>
              <w:t>0.2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9"/>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Adjusted operating loss</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259"/>
              <w:spacing w:after="0"/>
              <w:rPr>
                <w:sz w:val="20"/>
                <w:szCs w:val="20"/>
                <w:color w:val="auto"/>
              </w:rPr>
            </w:pPr>
            <w:r>
              <w:rPr>
                <w:rFonts w:ascii="Times New Roman" w:cs="Times New Roman" w:eastAsia="Times New Roman" w:hAnsi="Times New Roman"/>
                <w:sz w:val="16"/>
                <w:szCs w:val="16"/>
                <w:color w:val="auto"/>
                <w:w w:val="97"/>
              </w:rPr>
              <w:t>(7.0)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62"/>
        </w:trPr>
        <w:tc>
          <w:tcPr>
            <w:tcW w:w="24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480" w:type="dxa"/>
            <w:vAlign w:val="bottom"/>
          </w:tcPr>
          <w:p>
            <w:pPr>
              <w:spacing w:after="0"/>
              <w:rPr>
                <w:sz w:val="14"/>
                <w:szCs w:val="14"/>
                <w:color w:val="auto"/>
              </w:rPr>
            </w:pPr>
          </w:p>
        </w:tc>
        <w:tc>
          <w:tcPr>
            <w:tcW w:w="720" w:type="dxa"/>
            <w:vAlign w:val="bottom"/>
            <w:vMerge w:val="restart"/>
          </w:tcPr>
          <w:p>
            <w:pPr>
              <w:jc w:val="center"/>
              <w:ind w:left="279"/>
              <w:spacing w:after="0"/>
              <w:rPr>
                <w:sz w:val="20"/>
                <w:szCs w:val="20"/>
                <w:color w:val="auto"/>
              </w:rPr>
            </w:pPr>
            <w:r>
              <w:rPr>
                <w:rFonts w:ascii="Times New Roman" w:cs="Times New Roman" w:eastAsia="Times New Roman" w:hAnsi="Times New Roman"/>
                <w:sz w:val="16"/>
                <w:szCs w:val="16"/>
                <w:color w:val="auto"/>
                <w:w w:val="99"/>
              </w:rPr>
              <w:t>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center"/>
              <w:ind w:left="679"/>
              <w:spacing w:after="0"/>
              <w:rPr>
                <w:sz w:val="20"/>
                <w:szCs w:val="20"/>
                <w:color w:val="auto"/>
              </w:rPr>
            </w:pPr>
            <w:r>
              <w:rPr>
                <w:rFonts w:ascii="Times New Roman" w:cs="Times New Roman" w:eastAsia="Times New Roman" w:hAnsi="Times New Roman"/>
                <w:sz w:val="16"/>
                <w:szCs w:val="16"/>
                <w:color w:val="auto"/>
                <w:w w:val="99"/>
              </w:rPr>
              <w:t>0.9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4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compensation</w:t>
            </w:r>
          </w:p>
        </w:tc>
        <w:tc>
          <w:tcPr>
            <w:tcW w:w="4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w w:val="99"/>
              </w:rPr>
              <w:t>0.3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color w:val="auto"/>
                <w:w w:val="99"/>
              </w:rPr>
              <w:t>0.5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142"/>
        </w:trPr>
        <w:tc>
          <w:tcPr>
            <w:tcW w:w="24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Corporate and other Adjusted</w:t>
            </w:r>
          </w:p>
        </w:tc>
        <w:tc>
          <w:tcPr>
            <w:tcW w:w="4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center"/>
              <w:ind w:left="259"/>
              <w:spacing w:after="0"/>
              <w:rPr>
                <w:sz w:val="20"/>
                <w:szCs w:val="20"/>
                <w:color w:val="auto"/>
              </w:rPr>
            </w:pPr>
            <w:r>
              <w:rPr>
                <w:rFonts w:ascii="Times New Roman" w:cs="Times New Roman" w:eastAsia="Times New Roman" w:hAnsi="Times New Roman"/>
                <w:sz w:val="16"/>
                <w:szCs w:val="16"/>
                <w:color w:val="auto"/>
                <w:w w:val="97"/>
              </w:rPr>
              <w:t>(6.5)</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center"/>
              <w:ind w:left="639"/>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2"/>
                <w:szCs w:val="12"/>
                <w:color w:val="auto"/>
              </w:rPr>
            </w:pPr>
          </w:p>
        </w:tc>
        <w:tc>
          <w:tcPr>
            <w:tcW w:w="4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194"/>
        </w:trPr>
        <w:tc>
          <w:tcPr>
            <w:tcW w:w="2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EBITDA loss</w:t>
            </w:r>
          </w:p>
        </w:tc>
        <w:tc>
          <w:tcPr>
            <w:tcW w:w="48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right="20" w:firstLine="8"/>
        <w:spacing w:after="0" w:line="238" w:lineRule="auto"/>
        <w:tabs>
          <w:tab w:leader="none" w:pos="167"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One-time costs are defined in the Reconciliation of Consolidated Net Loss to Adjusted EBITDA table above. For purposes of segment reconciliation, one-time costs also include impairment and other charges.</w:t>
      </w: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3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KLX Energy Services Holdings, Inc.</w:t>
      </w:r>
    </w:p>
    <w:p>
      <w:pPr>
        <w:jc w:val="center"/>
        <w:spacing w:after="0" w:line="213" w:lineRule="auto"/>
        <w:rPr>
          <w:sz w:val="20"/>
          <w:szCs w:val="20"/>
          <w:color w:val="auto"/>
        </w:rPr>
      </w:pPr>
      <w:r>
        <w:rPr>
          <w:rFonts w:ascii="Times New Roman" w:cs="Times New Roman" w:eastAsia="Times New Roman" w:hAnsi="Times New Roman"/>
          <w:sz w:val="18"/>
          <w:szCs w:val="18"/>
          <w:b w:val="1"/>
          <w:bCs w:val="1"/>
          <w:color w:val="auto"/>
        </w:rPr>
        <w:t>Segment Operating (Loss) Income Margin</w:t>
      </w:r>
      <w:r>
        <w:rPr>
          <w:rFonts w:ascii="Times New Roman" w:cs="Times New Roman" w:eastAsia="Times New Roman" w:hAnsi="Times New Roman"/>
          <w:sz w:val="23"/>
          <w:szCs w:val="23"/>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4" w:lineRule="exact"/>
        <w:rPr>
          <w:sz w:val="20"/>
          <w:szCs w:val="20"/>
          <w:color w:val="auto"/>
        </w:rPr>
      </w:pPr>
    </w:p>
    <w:tbl>
      <w:tblPr>
        <w:tblLayout w:type="fixed"/>
        <w:tblInd w:w="252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280" w:type="dxa"/>
            <w:vAlign w:val="bottom"/>
          </w:tcPr>
          <w:p>
            <w:pPr>
              <w:spacing w:after="0"/>
              <w:rPr>
                <w:sz w:val="13"/>
                <w:szCs w:val="13"/>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14"/>
        </w:trPr>
        <w:tc>
          <w:tcPr>
            <w:tcW w:w="22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Rocky Mountains</w:t>
            </w:r>
          </w:p>
        </w:tc>
        <w:tc>
          <w:tcPr>
            <w:tcW w:w="4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Operating (loss) income</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142"/>
        </w:trPr>
        <w:tc>
          <w:tcPr>
            <w:tcW w:w="2280" w:type="dxa"/>
            <w:vAlign w:val="bottom"/>
          </w:tcPr>
          <w:p>
            <w:pPr>
              <w:ind w:left="60"/>
              <w:spacing w:after="0" w:line="142" w:lineRule="exact"/>
              <w:rPr>
                <w:sz w:val="20"/>
                <w:szCs w:val="20"/>
                <w:color w:val="auto"/>
              </w:rPr>
            </w:pPr>
            <w:r>
              <w:rPr>
                <w:rFonts w:ascii="Times New Roman" w:cs="Times New Roman" w:eastAsia="Times New Roman" w:hAnsi="Times New Roman"/>
                <w:sz w:val="16"/>
                <w:szCs w:val="16"/>
                <w:color w:val="auto"/>
              </w:rPr>
              <w:t>Segment operating (loss) income</w:t>
            </w:r>
          </w:p>
        </w:tc>
        <w:tc>
          <w:tcPr>
            <w:tcW w:w="400" w:type="dxa"/>
            <w:vAlign w:val="bottom"/>
          </w:tcPr>
          <w:p>
            <w:pPr>
              <w:spacing w:after="0"/>
              <w:rPr>
                <w:sz w:val="12"/>
                <w:szCs w:val="12"/>
                <w:color w:val="auto"/>
              </w:rPr>
            </w:pP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189"/>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margin percentage</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tcBorders>
              <w:bottom w:val="single" w:sz="8" w:color="CCEEFF"/>
            </w:tcBorders>
            <w:shd w:val="clear" w:color="auto" w:fill="CCEEFF"/>
          </w:tcPr>
          <w:p>
            <w:pPr>
              <w:ind w:left="60"/>
              <w:spacing w:after="0" w:line="179" w:lineRule="exact"/>
              <w:rPr>
                <w:sz w:val="20"/>
                <w:szCs w:val="20"/>
                <w:color w:val="auto"/>
              </w:rPr>
            </w:pPr>
            <w:r>
              <w:rPr>
                <w:rFonts w:ascii="Times New Roman" w:cs="Times New Roman" w:eastAsia="Times New Roman" w:hAnsi="Times New Roman"/>
                <w:sz w:val="16"/>
                <w:szCs w:val="16"/>
                <w:b w:val="1"/>
                <w:bCs w:val="1"/>
                <w:color w:val="auto"/>
              </w:rPr>
              <w:t>Southwest</w:t>
            </w:r>
          </w:p>
        </w:tc>
        <w:tc>
          <w:tcPr>
            <w:tcW w:w="4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Operating income (loss)</w:t>
            </w:r>
          </w:p>
        </w:tc>
        <w:tc>
          <w:tcPr>
            <w:tcW w:w="400" w:type="dxa"/>
            <w:vAlign w:val="bottom"/>
          </w:tcPr>
          <w:p>
            <w:pPr>
              <w:spacing w:after="0"/>
              <w:rPr>
                <w:sz w:val="18"/>
                <w:szCs w:val="18"/>
                <w:color w:val="auto"/>
              </w:rPr>
            </w:pPr>
          </w:p>
        </w:tc>
        <w:tc>
          <w:tcPr>
            <w:tcW w:w="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65.2</w:t>
            </w:r>
          </w:p>
        </w:tc>
        <w:tc>
          <w:tcPr>
            <w:tcW w:w="0" w:type="dxa"/>
            <w:vAlign w:val="bottom"/>
          </w:tcPr>
          <w:p>
            <w:pPr>
              <w:spacing w:after="0"/>
              <w:rPr>
                <w:sz w:val="1"/>
                <w:szCs w:val="1"/>
                <w:color w:val="auto"/>
              </w:rPr>
            </w:pPr>
          </w:p>
        </w:tc>
      </w:tr>
      <w:tr>
        <w:trPr>
          <w:trHeight w:val="142"/>
        </w:trPr>
        <w:tc>
          <w:tcPr>
            <w:tcW w:w="2280" w:type="dxa"/>
            <w:vAlign w:val="bottom"/>
          </w:tcPr>
          <w:p>
            <w:pPr>
              <w:ind w:left="60"/>
              <w:spacing w:after="0" w:line="142" w:lineRule="exact"/>
              <w:rPr>
                <w:sz w:val="20"/>
                <w:szCs w:val="20"/>
                <w:color w:val="auto"/>
              </w:rPr>
            </w:pPr>
            <w:r>
              <w:rPr>
                <w:rFonts w:ascii="Times New Roman" w:cs="Times New Roman" w:eastAsia="Times New Roman" w:hAnsi="Times New Roman"/>
                <w:sz w:val="16"/>
                <w:szCs w:val="16"/>
                <w:color w:val="auto"/>
              </w:rPr>
              <w:t>Segment operating income (loss)</w:t>
            </w:r>
          </w:p>
        </w:tc>
        <w:tc>
          <w:tcPr>
            <w:tcW w:w="400" w:type="dxa"/>
            <w:vAlign w:val="bottom"/>
          </w:tcPr>
          <w:p>
            <w:pPr>
              <w:spacing w:after="0"/>
              <w:rPr>
                <w:sz w:val="12"/>
                <w:szCs w:val="12"/>
                <w:color w:val="auto"/>
              </w:rPr>
            </w:pP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ind w:left="66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189"/>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margin percentage</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80" w:type="dxa"/>
            <w:vAlign w:val="bottom"/>
            <w:tcBorders>
              <w:bottom w:val="single" w:sz="8" w:color="CCEEFF"/>
            </w:tcBorders>
            <w:shd w:val="clear" w:color="auto" w:fill="CCEEFF"/>
          </w:tcPr>
          <w:p>
            <w:pPr>
              <w:ind w:left="60"/>
              <w:spacing w:after="0" w:line="179" w:lineRule="exact"/>
              <w:rPr>
                <w:sz w:val="20"/>
                <w:szCs w:val="20"/>
                <w:color w:val="auto"/>
              </w:rPr>
            </w:pPr>
            <w:r>
              <w:rPr>
                <w:rFonts w:ascii="Times New Roman" w:cs="Times New Roman" w:eastAsia="Times New Roman" w:hAnsi="Times New Roman"/>
                <w:sz w:val="16"/>
                <w:szCs w:val="16"/>
                <w:b w:val="1"/>
                <w:bCs w:val="1"/>
                <w:color w:val="auto"/>
              </w:rPr>
              <w:t>Northeast/Mid-Con</w:t>
            </w:r>
          </w:p>
        </w:tc>
        <w:tc>
          <w:tcPr>
            <w:tcW w:w="4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Operating (loss) income</w:t>
            </w:r>
          </w:p>
        </w:tc>
        <w:tc>
          <w:tcPr>
            <w:tcW w:w="40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142"/>
        </w:trPr>
        <w:tc>
          <w:tcPr>
            <w:tcW w:w="2280" w:type="dxa"/>
            <w:vAlign w:val="bottom"/>
          </w:tcPr>
          <w:p>
            <w:pPr>
              <w:ind w:left="60"/>
              <w:spacing w:after="0" w:line="142" w:lineRule="exact"/>
              <w:rPr>
                <w:sz w:val="20"/>
                <w:szCs w:val="20"/>
                <w:color w:val="auto"/>
              </w:rPr>
            </w:pPr>
            <w:r>
              <w:rPr>
                <w:rFonts w:ascii="Times New Roman" w:cs="Times New Roman" w:eastAsia="Times New Roman" w:hAnsi="Times New Roman"/>
                <w:sz w:val="16"/>
                <w:szCs w:val="16"/>
                <w:color w:val="auto"/>
              </w:rPr>
              <w:t>Segment operating (loss) income</w:t>
            </w:r>
          </w:p>
        </w:tc>
        <w:tc>
          <w:tcPr>
            <w:tcW w:w="4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189"/>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margin percentage</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Segment operating (loss) income margin is defined as the quotient of segment operating (loss) income and segment revenue.</w:t>
      </w:r>
    </w:p>
    <w:p>
      <w:pPr>
        <w:spacing w:after="0" w:line="2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KLX Energy Services Holdings, Inc.</w:t>
      </w:r>
    </w:p>
    <w:p>
      <w:pPr>
        <w:ind w:left="4180"/>
        <w:spacing w:after="0" w:line="213" w:lineRule="auto"/>
        <w:rPr>
          <w:sz w:val="20"/>
          <w:szCs w:val="20"/>
          <w:color w:val="auto"/>
        </w:rPr>
      </w:pPr>
      <w:r>
        <w:rPr>
          <w:rFonts w:ascii="Times New Roman" w:cs="Times New Roman" w:eastAsia="Times New Roman" w:hAnsi="Times New Roman"/>
          <w:sz w:val="18"/>
          <w:szCs w:val="18"/>
          <w:b w:val="1"/>
          <w:bCs w:val="1"/>
          <w:color w:val="auto"/>
        </w:rPr>
        <w:t>Segment Adjusted EBITDA Margin</w:t>
      </w:r>
      <w:r>
        <w:rPr>
          <w:rFonts w:ascii="Times New Roman" w:cs="Times New Roman" w:eastAsia="Times New Roman" w:hAnsi="Times New Roman"/>
          <w:sz w:val="23"/>
          <w:szCs w:val="23"/>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4" w:lineRule="exact"/>
        <w:rPr>
          <w:sz w:val="20"/>
          <w:szCs w:val="20"/>
          <w:color w:val="auto"/>
        </w:rPr>
      </w:pPr>
    </w:p>
    <w:tbl>
      <w:tblPr>
        <w:tblLayout w:type="fixed"/>
        <w:tblInd w:w="252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280" w:type="dxa"/>
            <w:vAlign w:val="bottom"/>
          </w:tcPr>
          <w:p>
            <w:pPr>
              <w:spacing w:after="0"/>
              <w:rPr>
                <w:sz w:val="13"/>
                <w:szCs w:val="13"/>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14"/>
        </w:trPr>
        <w:tc>
          <w:tcPr>
            <w:tcW w:w="22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Rocky Mountains</w:t>
            </w:r>
          </w:p>
        </w:tc>
        <w:tc>
          <w:tcPr>
            <w:tcW w:w="4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22"/>
                <w:szCs w:val="22"/>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59"/>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4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142"/>
        </w:trPr>
        <w:tc>
          <w:tcPr>
            <w:tcW w:w="2280" w:type="dxa"/>
            <w:vAlign w:val="bottom"/>
          </w:tcPr>
          <w:p>
            <w:pPr>
              <w:ind w:left="60"/>
              <w:spacing w:after="0" w:line="142" w:lineRule="exact"/>
              <w:rPr>
                <w:sz w:val="20"/>
                <w:szCs w:val="20"/>
                <w:color w:val="auto"/>
              </w:rPr>
            </w:pPr>
            <w:r>
              <w:rPr>
                <w:rFonts w:ascii="Times New Roman" w:cs="Times New Roman" w:eastAsia="Times New Roman" w:hAnsi="Times New Roman"/>
                <w:sz w:val="16"/>
                <w:szCs w:val="16"/>
                <w:color w:val="auto"/>
              </w:rPr>
              <w:t>Adjusted EBITDA Margin</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Percentage</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14.0 %</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80" w:type="dxa"/>
            <w:vAlign w:val="bottom"/>
            <w:tcBorders>
              <w:bottom w:val="single" w:sz="8" w:color="CCEEFF"/>
            </w:tcBorders>
            <w:shd w:val="clear" w:color="auto" w:fill="CCEEFF"/>
          </w:tcPr>
          <w:p>
            <w:pPr>
              <w:ind w:left="60"/>
              <w:spacing w:after="0" w:line="182" w:lineRule="exact"/>
              <w:rPr>
                <w:sz w:val="20"/>
                <w:szCs w:val="20"/>
                <w:color w:val="auto"/>
              </w:rPr>
            </w:pPr>
            <w:r>
              <w:rPr>
                <w:rFonts w:ascii="Times New Roman" w:cs="Times New Roman" w:eastAsia="Times New Roman" w:hAnsi="Times New Roman"/>
                <w:sz w:val="16"/>
                <w:szCs w:val="16"/>
                <w:b w:val="1"/>
                <w:bCs w:val="1"/>
                <w:color w:val="auto"/>
              </w:rPr>
              <w:t>Southwest</w:t>
            </w:r>
          </w:p>
        </w:tc>
        <w:tc>
          <w:tcPr>
            <w:tcW w:w="4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tcPr>
          <w:p>
            <w:pPr>
              <w:spacing w:after="0"/>
              <w:rPr>
                <w:sz w:val="22"/>
                <w:szCs w:val="22"/>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60"/>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4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65.2</w:t>
            </w:r>
          </w:p>
        </w:tc>
        <w:tc>
          <w:tcPr>
            <w:tcW w:w="0" w:type="dxa"/>
            <w:vAlign w:val="bottom"/>
          </w:tcPr>
          <w:p>
            <w:pPr>
              <w:spacing w:after="0"/>
              <w:rPr>
                <w:sz w:val="1"/>
                <w:szCs w:val="1"/>
                <w:color w:val="auto"/>
              </w:rPr>
            </w:pPr>
          </w:p>
        </w:tc>
      </w:tr>
      <w:tr>
        <w:trPr>
          <w:trHeight w:val="142"/>
        </w:trPr>
        <w:tc>
          <w:tcPr>
            <w:tcW w:w="2280" w:type="dxa"/>
            <w:vAlign w:val="bottom"/>
          </w:tcPr>
          <w:p>
            <w:pPr>
              <w:ind w:left="60"/>
              <w:spacing w:after="0" w:line="142" w:lineRule="exact"/>
              <w:rPr>
                <w:sz w:val="20"/>
                <w:szCs w:val="20"/>
                <w:color w:val="auto"/>
              </w:rPr>
            </w:pPr>
            <w:r>
              <w:rPr>
                <w:rFonts w:ascii="Times New Roman" w:cs="Times New Roman" w:eastAsia="Times New Roman" w:hAnsi="Times New Roman"/>
                <w:sz w:val="16"/>
                <w:szCs w:val="16"/>
                <w:color w:val="auto"/>
              </w:rPr>
              <w:t>Adjusted EBITDA Margin</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Percentage</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280" w:type="dxa"/>
            <w:vAlign w:val="bottom"/>
            <w:tcBorders>
              <w:bottom w:val="single" w:sz="8" w:color="CCEEFF"/>
            </w:tcBorders>
            <w:shd w:val="clear" w:color="auto" w:fill="CCEEFF"/>
          </w:tcPr>
          <w:p>
            <w:pPr>
              <w:ind w:left="60"/>
              <w:spacing w:after="0" w:line="182" w:lineRule="exact"/>
              <w:rPr>
                <w:sz w:val="20"/>
                <w:szCs w:val="20"/>
                <w:color w:val="auto"/>
              </w:rPr>
            </w:pPr>
            <w:r>
              <w:rPr>
                <w:rFonts w:ascii="Times New Roman" w:cs="Times New Roman" w:eastAsia="Times New Roman" w:hAnsi="Times New Roman"/>
                <w:sz w:val="16"/>
                <w:szCs w:val="16"/>
                <w:b w:val="1"/>
                <w:bCs w:val="1"/>
                <w:color w:val="auto"/>
              </w:rPr>
              <w:t>Northeast/Mid-Con</w:t>
            </w:r>
          </w:p>
        </w:tc>
        <w:tc>
          <w:tcPr>
            <w:tcW w:w="4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Adjusted EBITDA</w:t>
            </w:r>
          </w:p>
        </w:tc>
        <w:tc>
          <w:tcPr>
            <w:tcW w:w="400" w:type="dxa"/>
            <w:vAlign w:val="bottom"/>
          </w:tcPr>
          <w:p>
            <w:pPr>
              <w:spacing w:after="0"/>
              <w:rPr>
                <w:sz w:val="22"/>
                <w:szCs w:val="22"/>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59"/>
        </w:trPr>
        <w:tc>
          <w:tcPr>
            <w:tcW w:w="2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Revenue</w:t>
            </w:r>
          </w:p>
        </w:tc>
        <w:tc>
          <w:tcPr>
            <w:tcW w:w="4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59.6</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142"/>
        </w:trPr>
        <w:tc>
          <w:tcPr>
            <w:tcW w:w="2280" w:type="dxa"/>
            <w:vAlign w:val="bottom"/>
          </w:tcPr>
          <w:p>
            <w:pPr>
              <w:ind w:left="60"/>
              <w:spacing w:after="0" w:line="142" w:lineRule="exact"/>
              <w:rPr>
                <w:sz w:val="20"/>
                <w:szCs w:val="20"/>
                <w:color w:val="auto"/>
              </w:rPr>
            </w:pPr>
            <w:r>
              <w:rPr>
                <w:rFonts w:ascii="Times New Roman" w:cs="Times New Roman" w:eastAsia="Times New Roman" w:hAnsi="Times New Roman"/>
                <w:sz w:val="16"/>
                <w:szCs w:val="16"/>
                <w:color w:val="auto"/>
              </w:rPr>
              <w:t>Adjusted EBITDA Margin</w:t>
            </w: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Percentage</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80" w:hanging="172"/>
        <w:spacing w:after="0" w:line="238" w:lineRule="auto"/>
        <w:tabs>
          <w:tab w:leader="none" w:pos="167"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Segment Adjusted EBITDA margin is defined as the quotient of Segment Adjusted EBITDA and total segment revenue. Segment Adjusted EBITDA is segment operating (loss) income excluding one-time costs (as defined above), non-cash compensation expense and non-cash asset impairment expense.</w:t>
      </w: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88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KLX Energy Services Holdings,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Consolidated Net Loss to Adjusted Net Loss and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Diluted Loss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 and shares,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47" w:lineRule="exact"/>
        <w:rPr>
          <w:sz w:val="20"/>
          <w:szCs w:val="20"/>
          <w:color w:val="auto"/>
        </w:rPr>
      </w:pPr>
    </w:p>
    <w:tbl>
      <w:tblPr>
        <w:tblLayout w:type="fixed"/>
        <w:tblInd w:w="252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14"/>
        </w:trPr>
        <w:tc>
          <w:tcPr>
            <w:tcW w:w="24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loss</w:t>
            </w: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One-time costs</w:t>
            </w:r>
            <w:r>
              <w:rPr>
                <w:rFonts w:ascii="Times New Roman" w:cs="Times New Roman" w:eastAsia="Times New Roman" w:hAnsi="Times New Roman"/>
                <w:sz w:val="21"/>
                <w:szCs w:val="21"/>
                <w:color w:val="auto"/>
                <w:vertAlign w:val="superscript"/>
              </w:rPr>
              <w:t>(1)</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Loss</w:t>
            </w: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162"/>
        </w:trPr>
        <w:tc>
          <w:tcPr>
            <w:tcW w:w="24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Diluted weighted average</w:t>
            </w:r>
          </w:p>
        </w:tc>
        <w:tc>
          <w:tcPr>
            <w:tcW w:w="4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3"/>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Adjusted Diluted Loss per share</w:t>
            </w:r>
            <w:r>
              <w:rPr>
                <w:rFonts w:ascii="Times New Roman" w:cs="Times New Roman" w:eastAsia="Times New Roman" w:hAnsi="Times New Roman"/>
                <w:sz w:val="21"/>
                <w:szCs w:val="21"/>
                <w:color w:val="auto"/>
                <w:vertAlign w:val="superscript"/>
              </w:rPr>
              <w:t>(2)</w:t>
            </w: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*Previously announced quarterly numbers may not sum to the year-end total due to rounding.</w:t>
      </w:r>
    </w:p>
    <w:p>
      <w:pPr>
        <w:ind w:left="180" w:hanging="172"/>
        <w:spacing w:after="0" w:line="210" w:lineRule="auto"/>
        <w:tabs>
          <w:tab w:leader="none" w:pos="18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one-time costs during the first quarter of 2026 relate mainly to legal costs, facility costs and other.</w:t>
      </w:r>
    </w:p>
    <w:p>
      <w:pPr>
        <w:ind w:left="180" w:hanging="172"/>
        <w:spacing w:after="0" w:line="191" w:lineRule="auto"/>
        <w:tabs>
          <w:tab w:leader="none" w:pos="18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Adjusted Diluted Loss per share is defined as the quotient of Adjusted Net Loss and diluted weighted average common shares.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KLX Energy Services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Cash Flow Provided by (Used in) Operating Activities to Free Cash Flow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77" w:lineRule="exact"/>
        <w:rPr>
          <w:sz w:val="20"/>
          <w:szCs w:val="20"/>
          <w:color w:val="auto"/>
        </w:rPr>
      </w:pPr>
    </w:p>
    <w:tbl>
      <w:tblPr>
        <w:tblLayout w:type="fixed"/>
        <w:tblInd w:w="210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c>
          <w:tcPr>
            <w:tcW w:w="0" w:type="dxa"/>
            <w:vAlign w:val="bottom"/>
          </w:tcPr>
          <w:p>
            <w:pPr>
              <w:spacing w:after="0"/>
              <w:rPr>
                <w:sz w:val="1"/>
                <w:szCs w:val="1"/>
                <w:color w:val="auto"/>
              </w:rPr>
            </w:pPr>
          </w:p>
        </w:tc>
      </w:tr>
      <w:tr>
        <w:trPr>
          <w:trHeight w:val="214"/>
        </w:trPr>
        <w:tc>
          <w:tcPr>
            <w:tcW w:w="27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740" w:type="dxa"/>
            <w:vAlign w:val="bottom"/>
            <w:shd w:val="clear" w:color="auto" w:fill="CCEEFF"/>
          </w:tcPr>
          <w:p>
            <w:pPr>
              <w:ind w:left="180"/>
              <w:spacing w:after="0" w:line="144" w:lineRule="exact"/>
              <w:rPr>
                <w:sz w:val="20"/>
                <w:szCs w:val="20"/>
                <w:color w:val="auto"/>
              </w:rPr>
            </w:pPr>
            <w:r>
              <w:rPr>
                <w:rFonts w:ascii="Times New Roman" w:cs="Times New Roman" w:eastAsia="Times New Roman" w:hAnsi="Times New Roman"/>
                <w:sz w:val="16"/>
                <w:szCs w:val="16"/>
                <w:color w:val="auto"/>
              </w:rPr>
              <w:t>Net cash flow provided by (used in)</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w w:val="99"/>
              </w:rPr>
              <w:t>0.3</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activities</w:t>
            </w:r>
          </w:p>
        </w:tc>
        <w:tc>
          <w:tcPr>
            <w:tcW w:w="12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120" w:type="dxa"/>
            <w:vAlign w:val="bottom"/>
          </w:tcPr>
          <w:p>
            <w:pPr>
              <w:spacing w:after="0"/>
              <w:rPr>
                <w:sz w:val="18"/>
                <w:szCs w:val="18"/>
                <w:color w:val="auto"/>
              </w:rPr>
            </w:pPr>
          </w:p>
        </w:tc>
        <w:tc>
          <w:tcPr>
            <w:tcW w:w="118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300"/>
              <w:spacing w:after="0" w:line="165" w:lineRule="exact"/>
              <w:rPr>
                <w:sz w:val="20"/>
                <w:szCs w:val="20"/>
                <w:color w:val="auto"/>
              </w:rPr>
            </w:pPr>
            <w:r>
              <w:rPr>
                <w:rFonts w:ascii="Times New Roman" w:cs="Times New Roman" w:eastAsia="Times New Roman" w:hAnsi="Times New Roman"/>
                <w:sz w:val="16"/>
                <w:szCs w:val="16"/>
                <w:color w:val="auto"/>
              </w:rPr>
              <w:t>Proceeds from sale of property and</w:t>
            </w: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w w:val="99"/>
              </w:rPr>
              <w:t>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equipment</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Levered Free Cash Flow</w:t>
            </w:r>
          </w:p>
        </w:tc>
        <w:tc>
          <w:tcPr>
            <w:tcW w:w="120" w:type="dxa"/>
            <w:vAlign w:val="bottom"/>
          </w:tcPr>
          <w:p>
            <w:pPr>
              <w:spacing w:after="0"/>
              <w:rPr>
                <w:sz w:val="17"/>
                <w:szCs w:val="17"/>
                <w:color w:val="auto"/>
              </w:rPr>
            </w:pPr>
          </w:p>
        </w:tc>
        <w:tc>
          <w:tcPr>
            <w:tcW w:w="118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 Cash interest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779"/>
              <w:spacing w:after="0"/>
              <w:rPr>
                <w:sz w:val="20"/>
                <w:szCs w:val="20"/>
                <w:color w:val="auto"/>
              </w:rPr>
            </w:pPr>
            <w:r>
              <w:rPr>
                <w:rFonts w:ascii="Times New Roman" w:cs="Times New Roman" w:eastAsia="Times New Roman" w:hAnsi="Times New Roman"/>
                <w:sz w:val="16"/>
                <w:szCs w:val="16"/>
                <w:color w:val="auto"/>
                <w:w w:val="99"/>
              </w:rPr>
              <w:t>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0"/>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Unlevered Free Cash Flow</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center"/>
              <w:ind w:left="73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887" w:right="339" w:bottom="1440" w:gutter="0" w:footer="0" w:header="0"/>
        </w:sectPr>
      </w:pPr>
    </w:p>
    <w:bookmarkStart w:id="18" w:name="page19"/>
    <w:bookmarkEnd w:id="18"/>
    <w:p>
      <w:pPr>
        <w:ind w:left="4220"/>
        <w:spacing w:after="0"/>
        <w:rPr>
          <w:sz w:val="20"/>
          <w:szCs w:val="20"/>
          <w:color w:val="auto"/>
        </w:rPr>
      </w:pPr>
      <w:r>
        <w:rPr>
          <w:rFonts w:ascii="Times New Roman" w:cs="Times New Roman" w:eastAsia="Times New Roman" w:hAnsi="Times New Roman"/>
          <w:sz w:val="18"/>
          <w:szCs w:val="18"/>
          <w:b w:val="1"/>
          <w:bCs w:val="1"/>
          <w:color w:val="auto"/>
        </w:rPr>
        <w:t>KLX Energy Services Holdings, Inc.</w:t>
      </w:r>
    </w:p>
    <w:p>
      <w:pPr>
        <w:spacing w:after="0" w:line="3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Reconciliation of Current Assets and Current Liabilities to Net Working Capital</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4" w:lineRule="exact"/>
        <w:rPr>
          <w:sz w:val="20"/>
          <w:szCs w:val="20"/>
          <w:color w:val="auto"/>
        </w:rPr>
      </w:pPr>
    </w:p>
    <w:tbl>
      <w:tblPr>
        <w:tblLayout w:type="fixed"/>
        <w:tblInd w:w="1580" w:type="dxa"/>
        <w:tblCellMar>
          <w:top w:w="0" w:type="dxa"/>
          <w:left w:w="0" w:type="dxa"/>
          <w:bottom w:w="0" w:type="dxa"/>
          <w:right w:w="0" w:type="dxa"/>
        </w:tblCellMar>
      </w:tblPr>
      <w:tr>
        <w:trPr>
          <w:trHeight w:val="215"/>
        </w:trPr>
        <w:tc>
          <w:tcPr>
            <w:tcW w:w="360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60" w:type="dxa"/>
            <w:vAlign w:val="bottom"/>
            <w:tcBorders>
              <w:bottom w:val="single" w:sz="8" w:color="auto"/>
            </w:tcBorders>
          </w:tcPr>
          <w:p>
            <w:pPr>
              <w:spacing w:after="0"/>
              <w:rPr>
                <w:sz w:val="18"/>
                <w:szCs w:val="18"/>
                <w:color w:val="auto"/>
              </w:rPr>
            </w:pPr>
          </w:p>
        </w:tc>
      </w:tr>
      <w:tr>
        <w:trPr>
          <w:trHeight w:val="211"/>
        </w:trPr>
        <w:tc>
          <w:tcPr>
            <w:tcW w:w="36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40" w:type="dxa"/>
            <w:vAlign w:val="bottom"/>
            <w:shd w:val="clear" w:color="auto" w:fill="CCEEFF"/>
          </w:tcPr>
          <w:p>
            <w:pPr>
              <w:jc w:val="right"/>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w:t>
            </w:r>
          </w:p>
        </w:tc>
      </w:tr>
      <w:tr>
        <w:trPr>
          <w:trHeight w:val="213"/>
        </w:trPr>
        <w:tc>
          <w:tcPr>
            <w:tcW w:w="3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Less: Cash and cash equivalents</w:t>
            </w:r>
          </w:p>
        </w:tc>
        <w:tc>
          <w:tcPr>
            <w:tcW w:w="1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2"/>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current assets</w:t>
            </w:r>
          </w:p>
        </w:tc>
        <w:tc>
          <w:tcPr>
            <w:tcW w:w="16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r>
      <w:tr>
        <w:trPr>
          <w:trHeight w:val="207"/>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w:t>
            </w:r>
          </w:p>
        </w:tc>
      </w:tr>
      <w:tr>
        <w:trPr>
          <w:trHeight w:val="219"/>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Accrued interest</w:t>
            </w:r>
          </w:p>
        </w:tc>
        <w:tc>
          <w:tcPr>
            <w:tcW w:w="16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Operating lease obligations</w:t>
            </w:r>
          </w:p>
        </w:tc>
        <w:tc>
          <w:tcPr>
            <w:tcW w:w="1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3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Less: Finance lease obligations</w:t>
            </w:r>
          </w:p>
        </w:tc>
        <w:tc>
          <w:tcPr>
            <w:tcW w:w="1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1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current liabilities</w:t>
            </w:r>
          </w:p>
        </w:tc>
        <w:tc>
          <w:tcPr>
            <w:tcW w:w="16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w:t>
            </w:r>
          </w:p>
        </w:tc>
      </w:tr>
      <w:tr>
        <w:trPr>
          <w:trHeight w:val="212"/>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Working Capital</w:t>
            </w:r>
          </w:p>
        </w:tc>
        <w:tc>
          <w:tcPr>
            <w:tcW w:w="1640" w:type="dxa"/>
            <w:vAlign w:val="bottom"/>
            <w:tcBorders>
              <w:bottom w:val="single" w:sz="8" w:color="auto"/>
            </w:tcBorders>
          </w:tcPr>
          <w:p>
            <w:pPr>
              <w:jc w:val="right"/>
              <w:ind w:right="14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1"/>
        </w:trPr>
        <w:tc>
          <w:tcPr>
            <w:tcW w:w="36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KLX Energy Services Holdings, Inc.</w:t>
      </w:r>
    </w:p>
    <w:p>
      <w:pPr>
        <w:ind w:left="4540"/>
        <w:spacing w:after="0" w:line="238" w:lineRule="auto"/>
        <w:rPr>
          <w:sz w:val="20"/>
          <w:szCs w:val="20"/>
          <w:color w:val="auto"/>
        </w:rPr>
      </w:pPr>
      <w:r>
        <w:rPr>
          <w:rFonts w:ascii="Times New Roman" w:cs="Times New Roman" w:eastAsia="Times New Roman" w:hAnsi="Times New Roman"/>
          <w:sz w:val="18"/>
          <w:szCs w:val="18"/>
          <w:b w:val="1"/>
          <w:bCs w:val="1"/>
          <w:color w:val="auto"/>
        </w:rPr>
        <w:t>Reconciliation of Net Debt</w:t>
      </w:r>
      <w:r>
        <w:rPr>
          <w:rFonts w:ascii="Times New Roman" w:cs="Times New Roman" w:eastAsia="Times New Roman" w:hAnsi="Times New Roman"/>
          <w:sz w:val="23"/>
          <w:szCs w:val="23"/>
          <w:b w:val="1"/>
          <w:bCs w:val="1"/>
          <w:color w:val="auto"/>
          <w:vertAlign w:val="superscript"/>
        </w:rPr>
        <w:t>(1)</w:t>
      </w:r>
    </w:p>
    <w:p>
      <w:pPr>
        <w:ind w:left="4600"/>
        <w:spacing w:after="0"/>
        <w:rPr>
          <w:sz w:val="20"/>
          <w:szCs w:val="20"/>
          <w:color w:val="auto"/>
        </w:rPr>
      </w:pPr>
      <w:r>
        <w:rPr>
          <w:rFonts w:ascii="Times New Roman" w:cs="Times New Roman" w:eastAsia="Times New Roman" w:hAnsi="Times New Roman"/>
          <w:sz w:val="18"/>
          <w:szCs w:val="18"/>
          <w:b w:val="1"/>
          <w:bCs w:val="1"/>
          <w:i w:val="1"/>
          <w:iCs w:val="1"/>
          <w:color w:val="auto"/>
        </w:rPr>
        <w:t>(In millions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7" w:lineRule="exact"/>
        <w:rPr>
          <w:sz w:val="20"/>
          <w:szCs w:val="20"/>
          <w:color w:val="auto"/>
        </w:rPr>
      </w:pPr>
    </w:p>
    <w:tbl>
      <w:tblPr>
        <w:tblLayout w:type="fixed"/>
        <w:tblInd w:w="224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60" w:type="dxa"/>
            <w:vAlign w:val="bottom"/>
            <w:tcBorders>
              <w:bottom w:val="single" w:sz="8" w:color="auto"/>
            </w:tcBorders>
          </w:tcPr>
          <w:p>
            <w:pPr>
              <w:spacing w:after="0"/>
              <w:rPr>
                <w:sz w:val="20"/>
                <w:szCs w:val="20"/>
                <w:color w:val="auto"/>
              </w:rPr>
            </w:pPr>
          </w:p>
        </w:tc>
      </w:tr>
      <w:tr>
        <w:trPr>
          <w:trHeight w:val="208"/>
        </w:trPr>
        <w:tc>
          <w:tcPr>
            <w:tcW w:w="238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1660" w:type="dxa"/>
            <w:vAlign w:val="bottom"/>
            <w:shd w:val="clear" w:color="auto" w:fill="CCEEFF"/>
          </w:tcPr>
          <w:p>
            <w:pPr>
              <w:jc w:val="right"/>
              <w:ind w:right="14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r>
      <w:tr>
        <w:trPr>
          <w:trHeight w:val="213"/>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37"/>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Debt</w:t>
            </w:r>
          </w:p>
        </w:tc>
        <w:tc>
          <w:tcPr>
            <w:tcW w:w="1660" w:type="dxa"/>
            <w:vAlign w:val="bottom"/>
            <w:tcBorders>
              <w:bottom w:val="single" w:sz="8" w:color="auto"/>
            </w:tcBorders>
            <w:shd w:val="clear" w:color="auto" w:fill="CCEEFF"/>
          </w:tcPr>
          <w:p>
            <w:pPr>
              <w:jc w:val="right"/>
              <w:ind w:right="147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Debt is defined as total debt less cash and cash equivalents.</w:t>
      </w: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2026-05-12T15:17:47Z</dcterms:created>
  <dcterms:modified xsi:type="dcterms:W3CDTF">2026-05-12T15:17:47Z</dcterms:modified>
</cp:coreProperties>
</file>