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7"/>
        <w:spacing w:after="0" w:line="193" w:lineRule="auto"/>
        <w:tabs>
          <w:tab w:leader="none" w:pos="320" w:val="left"/>
        </w:tabs>
        <w:numPr>
          <w:ilvl w:val="0"/>
          <w:numId w:val="1"/>
        </w:numPr>
        <w:rPr>
          <w:rFonts w:ascii="Arial" w:cs="Arial" w:eastAsia="Arial" w:hAnsi="Arial"/>
          <w:sz w:val="23"/>
          <w:szCs w:val="23"/>
          <w:color w:val="0000FF"/>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-238760</wp:posOffset>
            </wp:positionV>
            <wp:extent cx="109855" cy="156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568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5245100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-563245</wp:posOffset>
            </wp:positionV>
            <wp:extent cx="127698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40" w:space="520"/>
            <w:col w:w="84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Baker Christopher J.</w:t>
              </w:r>
            </w:hyperlink>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6"/>
          </w:tcPr>
          <w:p>
            <w:pPr>
              <w:ind w:left="60"/>
              <w:spacing w:after="0" w:line="99"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Quintana Energy Services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"QES"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580"/>
              <w:spacing w:after="0"/>
              <w:rPr>
                <w:sz w:val="20"/>
                <w:szCs w:val="20"/>
                <w:color w:val="auto"/>
              </w:rPr>
            </w:pPr>
            <w:r>
              <w:rPr>
                <w:rFonts w:ascii="Arial" w:cs="Arial" w:eastAsia="Arial" w:hAnsi="Arial"/>
                <w:sz w:val="16"/>
                <w:szCs w:val="16"/>
                <w:color w:val="0000FF"/>
              </w:rPr>
              <w:t>President and CEO</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6"/>
            <w:vMerge w:val="restart"/>
          </w:tcPr>
          <w:p>
            <w:pPr>
              <w:spacing w:after="0"/>
              <w:rPr>
                <w:sz w:val="20"/>
                <w:szCs w:val="20"/>
                <w:color w:val="auto"/>
              </w:rPr>
            </w:pPr>
            <w:r>
              <w:rPr>
                <w:rFonts w:ascii="Arial" w:cs="Arial" w:eastAsia="Arial" w:hAnsi="Arial"/>
                <w:sz w:val="16"/>
                <w:szCs w:val="16"/>
                <w:color w:val="0000FF"/>
              </w:rPr>
              <w:t>1415 LOUISIANA STREET, SUITE 2900</w:t>
            </w:r>
          </w:p>
        </w:tc>
        <w:tc>
          <w:tcPr>
            <w:tcW w:w="1320" w:type="dxa"/>
            <w:vAlign w:val="bottom"/>
            <w:gridSpan w:val="4"/>
            <w:vMerge w:val="restart"/>
          </w:tcPr>
          <w:p>
            <w:pPr>
              <w:ind w:left="260"/>
              <w:spacing w:after="0"/>
              <w:rPr>
                <w:sz w:val="20"/>
                <w:szCs w:val="20"/>
                <w:color w:val="auto"/>
              </w:rPr>
            </w:pPr>
            <w:r>
              <w:rPr>
                <w:rFonts w:ascii="Arial" w:cs="Arial" w:eastAsia="Arial" w:hAnsi="Arial"/>
                <w:sz w:val="16"/>
                <w:szCs w:val="16"/>
                <w:color w:val="0000FF"/>
              </w:rPr>
              <w:t>07/28/2020</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2"/>
                <w:szCs w:val="1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0000FF"/>
                <w:w w:val="97"/>
              </w:rPr>
              <w:t>TX</w:t>
            </w:r>
          </w:p>
        </w:tc>
        <w:tc>
          <w:tcPr>
            <w:tcW w:w="960" w:type="dxa"/>
            <w:vAlign w:val="bottom"/>
          </w:tcPr>
          <w:p>
            <w:pPr>
              <w:spacing w:after="0"/>
              <w:rPr>
                <w:sz w:val="4"/>
                <w:szCs w:val="4"/>
                <w:color w:val="auto"/>
              </w:rPr>
            </w:pPr>
          </w:p>
        </w:tc>
        <w:tc>
          <w:tcPr>
            <w:tcW w:w="1060" w:type="dxa"/>
            <w:vAlign w:val="bottom"/>
            <w:vMerge w:val="restart"/>
          </w:tcPr>
          <w:p>
            <w:pPr>
              <w:ind w:left="40"/>
              <w:spacing w:after="0"/>
              <w:rPr>
                <w:sz w:val="20"/>
                <w:szCs w:val="20"/>
                <w:color w:val="auto"/>
              </w:rPr>
            </w:pPr>
            <w:r>
              <w:rPr>
                <w:rFonts w:ascii="Arial" w:cs="Arial" w:eastAsia="Arial" w:hAnsi="Arial"/>
                <w:sz w:val="16"/>
                <w:szCs w:val="16"/>
                <w:color w:val="0000FF"/>
              </w:rPr>
              <w:t>77002</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7"/>
                <w:szCs w:val="7"/>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5"/>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880"/>
              <w:spacing w:after="0" w:line="120"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54,254</w:t>
            </w:r>
          </w:p>
        </w:tc>
        <w:tc>
          <w:tcPr>
            <w:tcW w:w="620" w:type="dxa"/>
            <w:vAlign w:val="bottom"/>
          </w:tcPr>
          <w:p>
            <w:pPr>
              <w:ind w:left="320"/>
              <w:spacing w:after="0"/>
              <w:rPr>
                <w:sz w:val="20"/>
                <w:szCs w:val="20"/>
                <w:color w:val="auto"/>
              </w:rPr>
            </w:pPr>
            <w:r>
              <w:rPr>
                <w:rFonts w:ascii="Arial" w:cs="Arial" w:eastAsia="Arial" w:hAnsi="Arial"/>
                <w:sz w:val="16"/>
                <w:szCs w:val="16"/>
                <w:color w:val="0000FF"/>
              </w:rPr>
              <w:t>A</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266,352</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F</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21,349</w:t>
            </w:r>
          </w:p>
        </w:tc>
        <w:tc>
          <w:tcPr>
            <w:tcW w:w="620" w:type="dxa"/>
            <w:vAlign w:val="bottom"/>
          </w:tcPr>
          <w:p>
            <w:pPr>
              <w:ind w:left="320"/>
              <w:spacing w:after="0"/>
              <w:rPr>
                <w:sz w:val="20"/>
                <w:szCs w:val="20"/>
                <w:color w:val="auto"/>
              </w:rPr>
            </w:pPr>
            <w:r>
              <w:rPr>
                <w:rFonts w:ascii="Arial" w:cs="Arial" w:eastAsia="Arial" w:hAnsi="Arial"/>
                <w:sz w:val="16"/>
                <w:szCs w:val="16"/>
                <w:color w:val="0000FF"/>
              </w:rPr>
              <w:t>D</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245,004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4"/>
                <w:szCs w:val="24"/>
                <w:color w:val="0000FF"/>
                <w:w w:val="83"/>
                <w:vertAlign w:val="subscript"/>
              </w:rPr>
              <w:t>D</w:t>
            </w:r>
            <w:r>
              <w:rPr>
                <w:rFonts w:ascii="Arial" w:cs="Arial" w:eastAsia="Arial" w:hAnsi="Arial"/>
                <w:sz w:val="10"/>
                <w:szCs w:val="10"/>
                <w:color w:val="008000"/>
                <w:w w:val="83"/>
              </w:rPr>
              <w:t>(1)</w:t>
            </w:r>
          </w:p>
        </w:tc>
        <w:tc>
          <w:tcPr>
            <w:tcW w:w="7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0000FF"/>
                <w:w w:val="89"/>
              </w:rPr>
              <w:t>245,004</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440"/>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520" w:type="dxa"/>
            <w:vAlign w:val="bottom"/>
            <w:vMerge w:val="restart"/>
          </w:tcPr>
          <w:p>
            <w:pPr>
              <w:jc w:val="center"/>
              <w:ind w:left="146"/>
              <w:spacing w:after="0"/>
              <w:rPr>
                <w:sz w:val="20"/>
                <w:szCs w:val="20"/>
                <w:color w:val="auto"/>
              </w:rPr>
            </w:pPr>
            <w:r>
              <w:rPr>
                <w:rFonts w:ascii="Arial" w:cs="Arial" w:eastAsia="Arial" w:hAnsi="Arial"/>
                <w:sz w:val="10"/>
                <w:szCs w:val="10"/>
                <w:color w:val="008000"/>
                <w:w w:val="97"/>
              </w:rPr>
              <w:t>(2)</w:t>
            </w:r>
          </w:p>
        </w:tc>
        <w:tc>
          <w:tcPr>
            <w:tcW w:w="2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2"/>
                <w:szCs w:val="12"/>
                <w:color w:val="0000FF"/>
              </w:rPr>
              <w:t>M</w:t>
            </w:r>
          </w:p>
        </w:tc>
        <w:tc>
          <w:tcPr>
            <w:tcW w:w="60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color w:val="0000FF"/>
                <w:w w:val="92"/>
              </w:rPr>
              <w:t>54,254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54,254</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40" w:type="dxa"/>
            <w:vAlign w:val="bottom"/>
            <w:vMerge w:val="restart"/>
          </w:tcPr>
          <w:p>
            <w:pPr>
              <w:jc w:val="center"/>
              <w:ind w:left="263"/>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w:t>
            </w: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6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(3)</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299,844</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299,844</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540" w:type="dxa"/>
            <w:vAlign w:val="bottom"/>
          </w:tcPr>
          <w:p>
            <w:pPr>
              <w:jc w:val="center"/>
              <w:ind w:left="263"/>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A</w:t>
            </w:r>
          </w:p>
        </w:tc>
        <w:tc>
          <w:tcPr>
            <w:tcW w:w="600" w:type="dxa"/>
            <w:vAlign w:val="bottom"/>
          </w:tcPr>
          <w:p>
            <w:pPr>
              <w:ind w:left="80"/>
              <w:spacing w:after="0"/>
              <w:rPr>
                <w:sz w:val="20"/>
                <w:szCs w:val="20"/>
                <w:color w:val="auto"/>
              </w:rPr>
            </w:pPr>
            <w:r>
              <w:rPr>
                <w:rFonts w:ascii="Arial" w:cs="Arial" w:eastAsia="Arial" w:hAnsi="Arial"/>
                <w:sz w:val="12"/>
                <w:szCs w:val="12"/>
                <w:color w:val="0000FF"/>
              </w:rPr>
              <w:t>313,748</w:t>
            </w:r>
          </w:p>
        </w:tc>
        <w:tc>
          <w:tcPr>
            <w:tcW w:w="4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313,748</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860" w:type="dxa"/>
            <w:vAlign w:val="bottom"/>
            <w:gridSpan w:val="2"/>
          </w:tcPr>
          <w:p>
            <w:pPr>
              <w:jc w:val="center"/>
              <w:spacing w:after="0"/>
              <w:rPr>
                <w:sz w:val="20"/>
                <w:szCs w:val="20"/>
                <w:color w:val="auto"/>
              </w:rPr>
            </w:pPr>
            <w:r>
              <w:rPr>
                <w:rFonts w:ascii="Arial" w:cs="Arial" w:eastAsia="Arial" w:hAnsi="Arial"/>
                <w:sz w:val="12"/>
                <w:szCs w:val="12"/>
                <w:color w:val="0000FF"/>
                <w:w w:val="92"/>
              </w:rPr>
              <w:t>368,157</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Share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368,157</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368,157</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540" w:type="dxa"/>
            <w:vAlign w:val="bottom"/>
          </w:tcPr>
          <w:p>
            <w:pPr>
              <w:jc w:val="center"/>
              <w:ind w:left="263"/>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Share Unit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-3718560</wp:posOffset>
            </wp:positionV>
            <wp:extent cx="7036435"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7217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40" w:right="160" w:hanging="4"/>
        <w:spacing w:after="0" w:line="276"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 Pursuant to the Merger Agreement, at the effective time of the Merger, each share of QES's common stock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10" w:lineRule="exact"/>
        <w:rPr>
          <w:rFonts w:ascii="Arial" w:cs="Arial" w:eastAsia="Arial" w:hAnsi="Arial"/>
          <w:sz w:val="11"/>
          <w:szCs w:val="11"/>
          <w:color w:val="008000"/>
        </w:rPr>
      </w:pPr>
    </w:p>
    <w:p>
      <w:pPr>
        <w:ind w:left="40" w:right="56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phantom unit became fully vested and was cancelled and converted into the right to receive 0.0969 shares of KLXE common stock.</w:t>
      </w:r>
    </w:p>
    <w:p>
      <w:pPr>
        <w:spacing w:after="0" w:line="13" w:lineRule="exact"/>
        <w:rPr>
          <w:rFonts w:ascii="Arial" w:cs="Arial" w:eastAsia="Arial" w:hAnsi="Arial"/>
          <w:sz w:val="12"/>
          <w:szCs w:val="12"/>
          <w:color w:val="008000"/>
        </w:rPr>
      </w:pPr>
    </w:p>
    <w:p>
      <w:pPr>
        <w:ind w:left="40" w:right="280" w:hanging="4"/>
        <w:spacing w:after="0" w:line="251"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restricted stock unit award subject to time-based vesting was cancelled and converted into a KLXE restricted stock unit award equal to the number of outstanding QES restricted stock units multiplied by 0.0969. The KLXE restricted stock unit award will otherwise continue on the same terms and conditions as were applicable to the QES restricted stock unit award.</w:t>
      </w:r>
    </w:p>
    <w:p>
      <w:pPr>
        <w:spacing w:after="0" w:line="23" w:lineRule="exact"/>
        <w:rPr>
          <w:rFonts w:ascii="Arial" w:cs="Arial" w:eastAsia="Arial" w:hAnsi="Arial"/>
          <w:sz w:val="12"/>
          <w:szCs w:val="12"/>
          <w:color w:val="008000"/>
        </w:rPr>
      </w:pPr>
    </w:p>
    <w:p>
      <w:pPr>
        <w:ind w:left="40" w:right="200" w:hanging="4"/>
        <w:spacing w:after="0" w:line="304"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Merger Agreement, at the effective time of the Merger, each outstanding QES performance share unit award was cancelled and converted into a KLXE restricted stock unit award equal to the number of outstanding QES performance share units that were earned based on actual achievement of the applicable performance goals in accordance with the Merger Agreement multiplied by 0.0969.</w:t>
      </w:r>
    </w:p>
    <w:p>
      <w:pPr>
        <w:ind w:left="40" w:right="300" w:hanging="4"/>
        <w:spacing w:after="0" w:line="24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With respect to such KLXE restricted stock unit award, the portion based on a QES performance share unit award granted in 2019 determined to have been earned based on discretionary performance goals and the portion based on a QES performance share unit award granted in 2020 subject to a strategic performance goals, in each case, will be settled in cash following the vesting of such KLXE restricted stock unit. The KLXE restricted stock unit award will otherwise continue on the same terms and conditions as were applicable to the QES performance share unit award (other than any performance-based vesting conditions).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Arial" w:cs="Arial" w:eastAsia="Arial" w:hAnsi="Arial"/>
          <w:sz w:val="16"/>
          <w:szCs w:val="16"/>
          <w:color w:val="0000FF"/>
        </w:rPr>
        <w:t xml:space="preserve">/s/ Max L. Bouthillette, attorney- </w:t>
      </w:r>
      <w:r>
        <w:rPr>
          <w:rFonts w:ascii="Arial" w:cs="Arial" w:eastAsia="Arial" w:hAnsi="Arial"/>
          <w:sz w:val="32"/>
          <w:szCs w:val="32"/>
          <w:color w:val="0000FF"/>
          <w:vertAlign w:val="subscript"/>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46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266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4015"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2020-07-30T17:16:16Z</dcterms:created>
  <dcterms:modified xsi:type="dcterms:W3CDTF">2020-07-30T17:16:16Z</dcterms:modified>
</cp:coreProperties>
</file>