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14" w:lineRule="exact"/>
        <w:rPr>
          <w:sz w:val="24"/>
          <w:szCs w:val="24"/>
          <w:color w:val="auto"/>
        </w:rPr>
      </w:pP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-250190</wp:posOffset>
            </wp:positionV>
            <wp:extent cx="114935" cy="163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63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-589915</wp:posOffset>
            </wp:positionV>
            <wp:extent cx="127063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657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-1610360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SHACKOULS BOBBY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1415 LOUISIANA STREET, SUITE 2900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Quintana Energy 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"QES"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07/28/2020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260" w:space="563"/>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200660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(3)</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38,462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20"/>
              <w:spacing w:after="0"/>
              <w:rPr>
                <w:sz w:val="20"/>
                <w:szCs w:val="20"/>
                <w:color w:val="auto"/>
              </w:rPr>
            </w:pPr>
            <w:r>
              <w:rPr>
                <w:rFonts w:ascii="Arial" w:cs="Arial" w:eastAsia="Arial" w:hAnsi="Arial"/>
                <w:sz w:val="11"/>
                <w:szCs w:val="11"/>
                <w:color w:val="008000"/>
              </w:rPr>
              <w:t>(3)</w:t>
            </w:r>
          </w:p>
        </w:tc>
        <w:tc>
          <w:tcPr>
            <w:tcW w:w="134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61,936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4"/>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61,936</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07/28/2020</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920" w:type="dxa"/>
            <w:vAlign w:val="bottom"/>
          </w:tcPr>
          <w:p>
            <w:pPr>
              <w:ind w:left="460"/>
              <w:spacing w:after="0"/>
              <w:rPr>
                <w:sz w:val="20"/>
                <w:szCs w:val="20"/>
                <w:color w:val="auto"/>
              </w:rPr>
            </w:pPr>
            <w:r>
              <w:rPr>
                <w:rFonts w:ascii="Arial" w:cs="Arial" w:eastAsia="Arial" w:hAnsi="Arial"/>
                <w:sz w:val="13"/>
                <w:szCs w:val="13"/>
                <w:color w:val="0000FF"/>
              </w:rPr>
              <w:t>38,462</w:t>
            </w:r>
          </w:p>
        </w:tc>
        <w:tc>
          <w:tcPr>
            <w:tcW w:w="760" w:type="dxa"/>
            <w:vAlign w:val="bottom"/>
            <w:gridSpan w:val="2"/>
          </w:tcPr>
          <w:p>
            <w:pPr>
              <w:jc w:val="center"/>
              <w:ind w:right="4"/>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38,462</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-1906270</wp:posOffset>
            </wp:positionV>
            <wp:extent cx="7033895" cy="1918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1833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28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w:t>
      </w:r>
    </w:p>
    <w:p>
      <w:pPr>
        <w:spacing w:after="0" w:line="31" w:lineRule="exact"/>
        <w:rPr>
          <w:rFonts w:ascii="Arial" w:cs="Arial" w:eastAsia="Arial" w:hAnsi="Arial"/>
          <w:sz w:val="13"/>
          <w:szCs w:val="13"/>
          <w:color w:val="008000"/>
        </w:rPr>
      </w:pPr>
    </w:p>
    <w:p>
      <w:pPr>
        <w:ind w:left="40" w:right="14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share of QES's common stock issued and outstanding immediately prior to the effective time of the Merger, was converted into, and became exchangeable for, 0.0969 shares of KLXE common stock. On July 27, 2020 (the last trading day prior to consummation of the Merger and KLXE's 1-for-5 reverse stock split), the closing price of one share of KLXE common stock was $2.00 and the closing price of one share of QES common stock was $0.93.</w:t>
      </w:r>
    </w:p>
    <w:p>
      <w:pPr>
        <w:spacing w:after="0" w:line="31" w:lineRule="exact"/>
        <w:rPr>
          <w:rFonts w:ascii="Arial" w:cs="Arial" w:eastAsia="Arial" w:hAnsi="Arial"/>
          <w:sz w:val="13"/>
          <w:szCs w:val="13"/>
          <w:color w:val="008000"/>
        </w:rPr>
      </w:pPr>
    </w:p>
    <w:p>
      <w:pPr>
        <w:ind w:left="40" w:right="66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outstanding restricted stock unit held by any director of the Company became fully vested and was cancelled, and became exchangeable for 0.0969 shares of KLXE common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Max L. Bouthillette,</w:t>
            </w:r>
          </w:p>
        </w:tc>
        <w:tc>
          <w:tcPr>
            <w:tcW w:w="6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07/28/2020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64171" TargetMode="External"/><Relationship Id="rId14" Type="http://schemas.openxmlformats.org/officeDocument/2006/relationships/hyperlink" Target="http://www.sec.gov/cgi-bin/browse-edgar?action=getcompany&amp;CIK=0001704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2020-07-30T17:24:36Z</dcterms:created>
  <dcterms:modified xsi:type="dcterms:W3CDTF">2020-07-30T17:24:36Z</dcterms:modified>
</cp:coreProperties>
</file>