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ans-serif" w:hAnsi="Times New Roman;sans-serif"/>
          <w:b/>
          <w:color w:val="000000"/>
          <w:sz w:val="40"/>
        </w:rPr>
        <w:t xml:space="preserve">KLX Energy Services Holdings,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3040 Post Oak Boulevard, 15th Floor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TX 77056</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has one class of common stock, $0.01 par value, of which 16,864,431 shares were outstanding as of July 31, 2024.</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9"/>
        <w:gridCol w:w="536"/>
        <w:gridCol w:w="536"/>
        <w:gridCol w:w="2717"/>
        <w:gridCol w:w="2702"/>
        <w:gridCol w:w="2731"/>
        <w:gridCol w:w="109"/>
        <w:gridCol w:w="109"/>
        <w:gridCol w:w="156"/>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6b291a77b4644d4a45fe02df84c0dc9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0">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31">
              <w:r>
                <w:rPr>
                  <w:rStyle w:val="InternetLink"/>
                  <w:color w:val="0000FF"/>
                  <w:u w:val="single"/>
                </w:rPr>
                <w:t> </w:t>
              </w:r>
            </w:hyperlink>
            <w:hyperlink w:anchor="if6b291a77b4644d4a45fe02df84c0dc9_31">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3">
              <w:r>
                <w:rPr>
                  <w:rStyle w:val="InternetLink"/>
                  <w:rFonts w:ascii="Arial;sans-serif" w:hAnsi="Arial;sans-serif"/>
                  <w:b w:val="false"/>
                  <w:color w:val="000080"/>
                  <w:sz w:val="20"/>
                  <w:u w:val="single"/>
                </w:rPr>
                <w:t xml:space="preserve">Balance Sheets as of </w:t>
              </w:r>
            </w:hyperlink>
            <w:r>
              <w:rPr>
                <w:rFonts w:ascii="Arial;sans-serif" w:hAnsi="Arial;sans-serif"/>
                <w:b w:val="false"/>
                <w:color w:val="0000FF"/>
                <w:sz w:val="20"/>
                <w:u w:val="single"/>
              </w:rPr>
              <w:t xml:space="preserve">June 30, 2024 </w:t>
            </w:r>
            <w:hyperlink w:anchor="if6b291a77b4644d4a45fe02df84c0dc9_13">
              <w:r>
                <w:rPr>
                  <w:rStyle w:val="InternetLink"/>
                  <w:rFonts w:ascii="Arial;sans-serif" w:hAnsi="Arial;sans-serif"/>
                  <w:b w:val="false"/>
                  <w:color w:val="000080"/>
                  <w:sz w:val="20"/>
                  <w:u w:val="single"/>
                </w:rPr>
                <w:t xml:space="preserve">and </w:t>
              </w:r>
            </w:hyperlink>
            <w:r>
              <w:rPr>
                <w:rFonts w:ascii="Arial;sans-serif" w:hAnsi="Arial;sans-serif"/>
                <w:b w:val="false"/>
                <w:color w:val="0000FF"/>
                <w:sz w:val="20"/>
                <w:u w:val="single"/>
              </w:rPr>
              <w:t>December 31,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3">
              <w:r>
                <w:rPr>
                  <w:rStyle w:val="InternetLink"/>
                  <w:rFonts w:ascii="Arial;sans-serif" w:hAnsi="Arial;sans-serif"/>
                  <w:b w:val="false"/>
                  <w:color w:val="0000FF"/>
                  <w:sz w:val="20"/>
                  <w:u w:val="single"/>
                </w:rPr>
                <w:t>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9">
              <w:r>
                <w:rPr>
                  <w:rStyle w:val="InternetLink"/>
                  <w:rFonts w:ascii="Arial;sans-serif" w:hAnsi="Arial;sans-serif"/>
                  <w:b w:val="false"/>
                  <w:color w:val="000080"/>
                  <w:sz w:val="20"/>
                  <w:u w:val="single"/>
                </w:rPr>
                <w:t xml:space="preserve">Statements of Operations for the Three and Six Months Ended </w:t>
              </w:r>
            </w:hyperlink>
            <w:r>
              <w:rPr>
                <w:rFonts w:ascii="Arial;sans-serif" w:hAnsi="Arial;sans-serif"/>
                <w:b w:val="false"/>
                <w:color w:val="0000FF"/>
                <w:sz w:val="20"/>
                <w:u w:val="single"/>
              </w:rPr>
              <w:t>June 30, 2024</w:t>
            </w:r>
            <w:hyperlink w:anchor="if6b291a77b4644d4a45fe02df84c0dc9_19">
              <w:r>
                <w:rPr>
                  <w:rStyle w:val="InternetLink"/>
                  <w:rFonts w:ascii="Arial;sans-serif" w:hAnsi="Arial;sans-serif"/>
                  <w:b w:val="false"/>
                  <w:color w:val="000080"/>
                  <w:sz w:val="20"/>
                  <w:u w:val="single"/>
                </w:rPr>
                <w:t xml:space="preserve"> and</w:t>
              </w:r>
            </w:hyperlink>
            <w:r>
              <w:rPr>
                <w:rFonts w:ascii="Arial;sans-serif" w:hAnsi="Arial;sans-serif"/>
                <w:b w:val="false"/>
                <w:color w:val="0000FF"/>
                <w:sz w:val="20"/>
                <w:u w:val="single"/>
              </w:rPr>
              <w:t xml:space="preserve">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9">
              <w:r>
                <w:rPr>
                  <w:rStyle w:val="InternetLink"/>
                  <w:rFonts w:ascii="Arial;sans-serif" w:hAnsi="Arial;sans-serif"/>
                  <w:b w:val="false"/>
                  <w:color w:val="0000FF"/>
                  <w:sz w:val="20"/>
                  <w:u w:val="single"/>
                </w:rPr>
                <w:t>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6b291a77b4644d4a45fe02df84c0dc9_22">
              <w:r>
                <w:rPr>
                  <w:rStyle w:val="InternetLink"/>
                  <w:rFonts w:ascii="Arial;sans-serif" w:hAnsi="Arial;sans-serif"/>
                  <w:b w:val="false"/>
                  <w:color w:val="000080"/>
                  <w:sz w:val="20"/>
                  <w:u w:val="single"/>
                </w:rPr>
                <w:t xml:space="preserve">Statements of Stockholders' Equity for the </w:t>
              </w:r>
            </w:hyperlink>
            <w:hyperlink w:anchor="if6b291a77b4644d4a45fe02df84c0dc9_22">
              <w:r>
                <w:rPr>
                  <w:rStyle w:val="InternetLink"/>
                  <w:rFonts w:ascii="Arial;sans-serif" w:hAnsi="Arial;sans-serif"/>
                  <w:b w:val="false"/>
                  <w:color w:val="000080"/>
                  <w:sz w:val="20"/>
                  <w:u w:val="single"/>
                </w:rPr>
                <w:t xml:space="preserve">Six Months Ended </w:t>
              </w:r>
            </w:hyperlink>
            <w:r>
              <w:rPr>
                <w:rFonts w:ascii="Arial;sans-serif" w:hAnsi="Arial;sans-serif"/>
                <w:b w:val="false"/>
                <w:color w:val="0000FF"/>
                <w:sz w:val="20"/>
                <w:u w:val="single"/>
              </w:rPr>
              <w:t>June 30, 2024</w:t>
            </w:r>
            <w:hyperlink w:anchor="if6b291a77b4644d4a45fe02df84c0dc9_19">
              <w:r>
                <w:rPr>
                  <w:rStyle w:val="InternetLink"/>
                  <w:rFonts w:ascii="Arial;sans-serif" w:hAnsi="Arial;sans-serif"/>
                  <w:b w:val="false"/>
                  <w:color w:val="000080"/>
                  <w:sz w:val="20"/>
                  <w:u w:val="single"/>
                </w:rPr>
                <w:t xml:space="preserve"> and </w:t>
              </w:r>
            </w:hyperlink>
            <w:r>
              <w:rPr>
                <w:rFonts w:ascii="Arial;sans-serif" w:hAnsi="Arial;sans-serif"/>
                <w:b w:val="false"/>
                <w:color w:val="0000FF"/>
                <w:sz w:val="20"/>
                <w:u w:val="single"/>
              </w:rPr>
              <w:t>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22">
              <w:r>
                <w:rPr>
                  <w:rStyle w:val="InternetLink"/>
                  <w:rFonts w:ascii="Arial;sans-serif" w:hAnsi="Arial;sans-serif"/>
                  <w:b w:val="false"/>
                  <w:color w:val="0000FF"/>
                  <w:sz w:val="20"/>
                  <w:u w:val="single"/>
                </w:rPr>
                <w:t>5</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6b291a77b4644d4a45fe02df84c0dc9_25">
              <w:r>
                <w:rPr>
                  <w:rStyle w:val="InternetLink"/>
                  <w:rFonts w:ascii="Arial;sans-serif" w:hAnsi="Arial;sans-serif"/>
                  <w:b w:val="false"/>
                  <w:color w:val="000080"/>
                  <w:sz w:val="20"/>
                  <w:u w:val="single"/>
                </w:rPr>
                <w:t xml:space="preserve">Statements of Cash Flows for the Six Months Ended </w:t>
              </w:r>
            </w:hyperlink>
            <w:r>
              <w:rPr>
                <w:rFonts w:ascii="Arial;sans-serif" w:hAnsi="Arial;sans-serif"/>
                <w:b w:val="false"/>
                <w:color w:val="0000FF"/>
                <w:sz w:val="20"/>
                <w:u w:val="single"/>
              </w:rPr>
              <w:t>June 30, 2024</w:t>
            </w:r>
            <w:hyperlink w:anchor="if6b291a77b4644d4a45fe02df84c0dc9_19">
              <w:r>
                <w:rPr>
                  <w:rStyle w:val="InternetLink"/>
                  <w:rFonts w:ascii="Arial;sans-serif" w:hAnsi="Arial;sans-serif"/>
                  <w:b w:val="false"/>
                  <w:color w:val="000080"/>
                  <w:sz w:val="20"/>
                  <w:u w:val="single"/>
                </w:rPr>
                <w:t xml:space="preserve"> and </w:t>
              </w:r>
            </w:hyperlink>
            <w:r>
              <w:rPr>
                <w:rFonts w:ascii="Arial;sans-serif" w:hAnsi="Arial;sans-serif"/>
                <w:b w:val="false"/>
                <w:color w:val="0000FF"/>
                <w:sz w:val="20"/>
                <w:u w:val="single"/>
              </w:rPr>
              <w:t>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25">
              <w:r>
                <w:rPr>
                  <w:rStyle w:val="InternetLink"/>
                  <w:rFonts w:ascii="Arial;sans-serif" w:hAnsi="Arial;sans-serif"/>
                  <w:b w:val="false"/>
                  <w:color w:val="0000FF"/>
                  <w:sz w:val="20"/>
                  <w:u w:val="single"/>
                </w:rPr>
                <w:t>6</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31">
              <w:r>
                <w:rPr>
                  <w:rStyle w:val="InternetLink"/>
                  <w:rFonts w:ascii="Arial;sans-serif" w:hAnsi="Arial;sans-serif"/>
                  <w:b w:val="false"/>
                  <w:color w:val="0000FF"/>
                  <w:sz w:val="20"/>
                  <w:u w:val="single"/>
                </w:rPr>
                <w:t>7</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76">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76">
              <w:r>
                <w:rPr>
                  <w:rStyle w:val="InternetLink"/>
                  <w:rFonts w:ascii="Arial;sans-serif" w:hAnsi="Arial;sans-serif"/>
                  <w:b w:val="false"/>
                  <w:color w:val="0000FF"/>
                  <w:sz w:val="20"/>
                  <w:u w:val="single"/>
                </w:rPr>
                <w:t>19</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88">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88">
              <w:r>
                <w:rPr>
                  <w:rStyle w:val="InternetLink"/>
                  <w:rFonts w:ascii="Arial;sans-serif" w:hAnsi="Arial;sans-serif"/>
                  <w:b w:val="false"/>
                  <w:color w:val="0000FF"/>
                  <w:sz w:val="20"/>
                  <w:u w:val="single"/>
                </w:rPr>
                <w:t>32</w:t>
              </w:r>
            </w:hyperlink>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815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91">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91">
              <w:r>
                <w:rPr>
                  <w:rStyle w:val="InternetLink"/>
                  <w:rFonts w:ascii="Arial;sans-serif" w:hAnsi="Arial;sans-serif"/>
                  <w:b w:val="false"/>
                  <w:color w:val="0000FF"/>
                  <w:sz w:val="20"/>
                  <w:u w:val="single"/>
                </w:rPr>
                <w:t>32</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94">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94">
              <w:r>
                <w:rPr>
                  <w:rStyle w:val="InternetLink"/>
                  <w:rFonts w:ascii="Arial;sans-serif" w:hAnsi="Arial;sans-serif"/>
                  <w:b w:val="false"/>
                  <w:color w:val="0000FF"/>
                  <w:sz w:val="20"/>
                  <w:u w:val="single"/>
                </w:rPr>
                <w:t>32</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97">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97">
              <w:r>
                <w:rPr>
                  <w:rStyle w:val="InternetLink"/>
                  <w:rFonts w:ascii="Arial;sans-serif" w:hAnsi="Arial;sans-serif"/>
                  <w:b w:val="false"/>
                  <w:color w:val="0000FF"/>
                  <w:sz w:val="20"/>
                  <w:u w:val="single"/>
                </w:rPr>
                <w:t>32</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00">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00">
              <w:r>
                <w:rPr>
                  <w:rStyle w:val="InternetLink"/>
                  <w:rFonts w:ascii="Arial;sans-serif" w:hAnsi="Arial;sans-serif"/>
                  <w:b w:val="false"/>
                  <w:color w:val="0000FF"/>
                  <w:sz w:val="20"/>
                  <w:u w:val="single"/>
                </w:rPr>
                <w:t>32</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03">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03">
              <w:r>
                <w:rPr>
                  <w:rStyle w:val="InternetLink"/>
                  <w:rFonts w:ascii="Arial;sans-serif" w:hAnsi="Arial;sans-serif"/>
                  <w:b w:val="false"/>
                  <w:color w:val="0000FF"/>
                  <w:sz w:val="20"/>
                  <w:u w:val="single"/>
                </w:rPr>
                <w:t>33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06">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06">
              <w:r>
                <w:rPr>
                  <w:rStyle w:val="InternetLink"/>
                  <w:rFonts w:ascii="Arial;sans-serif" w:hAnsi="Arial;sans-serif"/>
                  <w:b w:val="false"/>
                  <w:color w:val="0000FF"/>
                  <w:sz w:val="20"/>
                  <w:u w:val="single"/>
                </w:rPr>
                <w:t>33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09">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09">
              <w:r>
                <w:rPr>
                  <w:rStyle w:val="InternetLink"/>
                  <w:rFonts w:ascii="Arial;sans-serif" w:hAnsi="Arial;sans-serif"/>
                  <w:b w:val="false"/>
                  <w:color w:val="0000FF"/>
                  <w:sz w:val="20"/>
                  <w:u w:val="single"/>
                </w:rPr>
                <w:t>33</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12">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15">
              <w:r>
                <w:rPr>
                  <w:rStyle w:val="InternetLink"/>
                  <w:rFonts w:ascii="Arial;sans-serif" w:hAnsi="Arial;sans-serif"/>
                  <w:b w:val="false"/>
                  <w:color w:val="0000FF"/>
                  <w:sz w:val="20"/>
                  <w:u w:val="single"/>
                </w:rPr>
                <w:t>34</w:t>
              </w:r>
            </w:hyperlink>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b291a77b4644d4a45fe02df84c0dc9_115">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15">
              <w:r>
                <w:rPr>
                  <w:rStyle w:val="InternetLink"/>
                  <w:rFonts w:ascii="Arial;sans-serif" w:hAnsi="Arial;sans-serif"/>
                  <w:b w:val="false"/>
                  <w:color w:val="0000FF"/>
                  <w:sz w:val="20"/>
                  <w:u w:val="single"/>
                </w:rPr>
                <w:t>34</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6b291a77b4644d4a45fe02df84c0dc9_118">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b291a77b4644d4a45fe02df84c0dc9_118">
              <w:r>
                <w:rPr>
                  <w:rStyle w:val="InternetLink"/>
                  <w:rFonts w:ascii="Arial;sans-serif" w:hAnsi="Arial;sans-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9610" w:type="dxa"/>
        <w:jc w:val="center"/>
        <w:tblInd w:w="0" w:type="dxa"/>
        <w:tblLayout w:type="fixed"/>
        <w:tblCellMar>
          <w:top w:w="28" w:type="dxa"/>
          <w:left w:w="28" w:type="dxa"/>
          <w:bottom w:w="28" w:type="dxa"/>
          <w:right w:w="28" w:type="dxa"/>
        </w:tblCellMar>
      </w:tblPr>
      <w:tblGrid>
        <w:gridCol w:w="2235"/>
        <w:gridCol w:w="1963"/>
        <w:gridCol w:w="1981"/>
        <w:gridCol w:w="291"/>
        <w:gridCol w:w="849"/>
        <w:gridCol w:w="150"/>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0"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assets: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$4.9 and $5.5</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Inventories,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0"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interest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Long-term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8)</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17.3 and 16.9 issued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0.5 shares and 0.4 shares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deficit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9757" w:type="dxa"/>
        <w:jc w:val="left"/>
        <w:tblInd w:w="0" w:type="dxa"/>
        <w:tblLayout w:type="fixed"/>
        <w:tblCellMar>
          <w:top w:w="28" w:type="dxa"/>
          <w:left w:w="28" w:type="dxa"/>
          <w:bottom w:w="28" w:type="dxa"/>
          <w:right w:w="28" w:type="dxa"/>
        </w:tblCellMar>
      </w:tblPr>
      <w:tblGrid>
        <w:gridCol w:w="1136"/>
        <w:gridCol w:w="996"/>
        <w:gridCol w:w="1003"/>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 (benefit)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income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per share-basic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per share-diluted</w:t>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Six Months Ended June 30, 2024 and June 30, 2023</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80"/>
        <w:gridCol w:w="511"/>
        <w:gridCol w:w="513"/>
        <w:gridCol w:w="255"/>
        <w:gridCol w:w="256"/>
        <w:gridCol w:w="245"/>
        <w:gridCol w:w="112"/>
        <w:gridCol w:w="112"/>
        <w:gridCol w:w="112"/>
        <w:gridCol w:w="225"/>
        <w:gridCol w:w="434"/>
        <w:gridCol w:w="122"/>
        <w:gridCol w:w="109"/>
        <w:gridCol w:w="109"/>
        <w:gridCol w:w="109"/>
        <w:gridCol w:w="297"/>
        <w:gridCol w:w="871"/>
        <w:gridCol w:w="155"/>
        <w:gridCol w:w="109"/>
        <w:gridCol w:w="109"/>
        <w:gridCol w:w="109"/>
        <w:gridCol w:w="295"/>
        <w:gridCol w:w="590"/>
        <w:gridCol w:w="153"/>
        <w:gridCol w:w="109"/>
        <w:gridCol w:w="109"/>
        <w:gridCol w:w="109"/>
        <w:gridCol w:w="313"/>
        <w:gridCol w:w="939"/>
        <w:gridCol w:w="163"/>
        <w:gridCol w:w="109"/>
        <w:gridCol w:w="109"/>
        <w:gridCol w:w="109"/>
        <w:gridCol w:w="393"/>
        <w:gridCol w:w="953"/>
        <w:gridCol w:w="29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71"/>
        <w:gridCol w:w="473"/>
        <w:gridCol w:w="474"/>
        <w:gridCol w:w="260"/>
        <w:gridCol w:w="260"/>
        <w:gridCol w:w="261"/>
        <w:gridCol w:w="112"/>
        <w:gridCol w:w="112"/>
        <w:gridCol w:w="112"/>
        <w:gridCol w:w="225"/>
        <w:gridCol w:w="434"/>
        <w:gridCol w:w="122"/>
        <w:gridCol w:w="109"/>
        <w:gridCol w:w="109"/>
        <w:gridCol w:w="109"/>
        <w:gridCol w:w="282"/>
        <w:gridCol w:w="825"/>
        <w:gridCol w:w="147"/>
        <w:gridCol w:w="109"/>
        <w:gridCol w:w="109"/>
        <w:gridCol w:w="109"/>
        <w:gridCol w:w="252"/>
        <w:gridCol w:w="503"/>
        <w:gridCol w:w="131"/>
        <w:gridCol w:w="109"/>
        <w:gridCol w:w="109"/>
        <w:gridCol w:w="109"/>
        <w:gridCol w:w="276"/>
        <w:gridCol w:w="826"/>
        <w:gridCol w:w="144"/>
        <w:gridCol w:w="109"/>
        <w:gridCol w:w="109"/>
        <w:gridCol w:w="109"/>
        <w:gridCol w:w="482"/>
        <w:gridCol w:w="1204"/>
        <w:gridCol w:w="250"/>
        <w:gridCol w:w="159"/>
      </w:tblGrid>
      <w:tr>
        <w:trPr/>
        <w:tc>
          <w:tcPr>
            <w:tcW w:w="5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Stockholders’Equity</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Greene's Acquisition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2023</w:t>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46"/>
        <w:gridCol w:w="2313"/>
        <w:gridCol w:w="2328"/>
        <w:gridCol w:w="296"/>
        <w:gridCol w:w="823"/>
        <w:gridCol w:w="153"/>
        <w:gridCol w:w="109"/>
        <w:gridCol w:w="109"/>
        <w:gridCol w:w="109"/>
        <w:gridCol w:w="316"/>
        <w:gridCol w:w="768"/>
        <w:gridCol w:w="235"/>
      </w:tblGrid>
      <w:tr>
        <w:trPr/>
        <w:tc>
          <w:tcPr>
            <w:tcW w:w="264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income to net cash flows provided by operating activities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and other charges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allowance for doubtful accounts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gain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expenses and other current and non-current assets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Net cash flows provided by operating activities</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acquisition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Net cash flows used in investing activities</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issuance, net of costs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financed payables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Net cash flows used in financing activities</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change in cash and cash equivalents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refunds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deposits on capital expenditures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capital expenditures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50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(the “Greene's Acquisition”), including $1.7 in cash, which was subsequently adjusted to $1.1 due to a $0.6 working capital adjustment. Greene’s is a leading provider of wellhead protection, flowback and well testing services. The Greene’s Acquisition augments the KLXE frac rental and flowback offering, providing KLXE with a broader presence in the Permian and Eagle Ford basins. See Note 3 -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2024 or for any future period. The information included in these condensed consolidated financial statements should be read in conjunction with the condensed consolidated financial statements and accompanying notes included in the Company’s 2023 Annual Report on Form 10-K filed with the SEC on March 8,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2023, the Financial Accounting Standards Board (“FASB”) issued Accounting Standards Update (“ASU”) 2023-07, Segment Reporting (Topic 280). This ASU is intended to enhance reportable segment disclosures by adopting a number of provisions currently in Regulation S-X and Regulation S-K upon the provisions' removal from these regulations. The guidance is effective for the Company for the fiscal year beginning January 1, 2024 and is not expected to have a 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FASB issued ASU 2023-09, Income Taxes (Topic 740). This ASU includes specific requirements for the rate reconciliation, income taxes paid and other tax-related disclosures. The guidance is effective for the Company for the fiscal year beginning January 1, 2025 and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3 - 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consummated the Greene's Acquisition. The total consideration for the acquisition consisted of the issuance of approximately 2.4 million shares of our common stock, par value $0.01 per share (“Common Stock”) subject to customary post-closing adjustments, with an implied enterprise value of approximately $30.3 based on a 30-day volume weighted average price as of March 7, 2023 less acquired cash. Following the closing of the transaction, former shareholders of Greene’s held approximately 14.7% of the fully diluted Common Stock of the Company, as of March 8, 2023. The integration was complete in the third quarter of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transaction was accounted for as a purchase under FASB Accounting Standards Codification Topic 805, Business Combinations (“ASC 805”). The results of operations for the acquisition are included in the accompanying condensed consolidated statements of operations from the respective date of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This has been presented as a separate line item on the consolidated statements of operations for the three and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assigned to certain assets acquired and liabilities assumed in relation to the Company’s acquisition have been prepared on a preliminary basis with information currently available and are subject to change. The Company has finalized its analysis in the first quarter of 2024. The following table summarizes the fair values of assets acquired and liabilities assumed in the acquisition in accordance with ASC 805:</w:t>
      </w:r>
    </w:p>
    <w:tbl>
      <w:tblPr>
        <w:tblW w:w="4260" w:type="dxa"/>
        <w:jc w:val="left"/>
        <w:tblInd w:w="0" w:type="dxa"/>
        <w:tblLayout w:type="fixed"/>
        <w:tblCellMar>
          <w:top w:w="28" w:type="dxa"/>
          <w:left w:w="28" w:type="dxa"/>
          <w:bottom w:w="28" w:type="dxa"/>
          <w:right w:w="28" w:type="dxa"/>
        </w:tblCellMar>
      </w:tblPr>
      <w:tblGrid>
        <w:gridCol w:w="1204"/>
        <w:gridCol w:w="1058"/>
        <w:gridCol w:w="1067"/>
        <w:gridCol w:w="224"/>
        <w:gridCol w:w="543"/>
        <w:gridCol w:w="164"/>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Greene's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net of deferred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purchase price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Unaudited Supplemental Pro Forma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 forma basis to give effect to the acquisition, as if it occurred on January 1, 2023, revenues and net (loss) income for the three and six months ended June 30, 2024 and June 30, 2023 would have been as follows:</w:t>
      </w:r>
    </w:p>
    <w:tbl>
      <w:tblPr>
        <w:tblW w:w="7729" w:type="dxa"/>
        <w:jc w:val="center"/>
        <w:tblInd w:w="0" w:type="dxa"/>
        <w:tblLayout w:type="fixed"/>
        <w:tblCellMar>
          <w:top w:w="28" w:type="dxa"/>
          <w:left w:w="28" w:type="dxa"/>
          <w:bottom w:w="28" w:type="dxa"/>
          <w:right w:w="28" w:type="dxa"/>
        </w:tblCellMar>
      </w:tblPr>
      <w:tblGrid>
        <w:gridCol w:w="559"/>
        <w:gridCol w:w="492"/>
        <w:gridCol w:w="493"/>
        <w:gridCol w:w="291"/>
        <w:gridCol w:w="849"/>
        <w:gridCol w:w="150"/>
        <w:gridCol w:w="109"/>
        <w:gridCol w:w="109"/>
        <w:gridCol w:w="109"/>
        <w:gridCol w:w="291"/>
        <w:gridCol w:w="849"/>
        <w:gridCol w:w="150"/>
        <w:gridCol w:w="109"/>
        <w:gridCol w:w="109"/>
        <w:gridCol w:w="109"/>
        <w:gridCol w:w="291"/>
        <w:gridCol w:w="849"/>
        <w:gridCol w:w="150"/>
        <w:gridCol w:w="109"/>
        <w:gridCol w:w="109"/>
        <w:gridCol w:w="109"/>
        <w:gridCol w:w="287"/>
        <w:gridCol w:w="838"/>
        <w:gridCol w:w="209"/>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 Pro Forma</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768"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327"/>
        <w:gridCol w:w="793"/>
        <w:gridCol w:w="169"/>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$4.8 and $4.5 as of June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8496"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291"/>
        <w:gridCol w:w="849"/>
        <w:gridCol w:w="150"/>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$17.0 and $14.1 for the three months ended June 30, 2024 and 2023, respectively, and $32.9 and $27.5 for the six months ended June 30, 2024 and 2023, respectively. Finance lease amortization expense was $5.9 and $3.4 for the three months ended June 30, 2024 and 2023, respectively, and $11.7 and $6.5 for the six months ended June 30, 2024 and 2023,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2024, the Company’s condensed consolidated balance sheet included assets classified as held for sale of $2.3. The assets held for sale are reported within prepaid expenses and other current assets on the condensed consolidated balance sheet and represent the value of one operational facility and select equipment. These assets were being actively marketed for sale as of June 30, 2024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Long-Term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tbl>
      <w:tblPr>
        <w:tblW w:w="6731" w:type="dxa"/>
        <w:jc w:val="left"/>
        <w:tblInd w:w="0" w:type="dxa"/>
        <w:tblLayout w:type="fixed"/>
        <w:tblCellMar>
          <w:top w:w="28" w:type="dxa"/>
          <w:left w:w="28" w:type="dxa"/>
          <w:bottom w:w="28" w:type="dxa"/>
          <w:right w:w="28" w:type="dxa"/>
        </w:tblCellMar>
      </w:tblPr>
      <w:tblGrid>
        <w:gridCol w:w="1196"/>
        <w:gridCol w:w="1050"/>
        <w:gridCol w:w="1054"/>
        <w:gridCol w:w="291"/>
        <w:gridCol w:w="849"/>
        <w:gridCol w:w="150"/>
        <w:gridCol w:w="109"/>
        <w:gridCol w:w="109"/>
        <w:gridCol w:w="109"/>
        <w:gridCol w:w="390"/>
        <w:gridCol w:w="1138"/>
        <w:gridCol w:w="28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2024, long-term debt consisted of $237.3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Senior Secured Notes, total debt related to the Senior Secured Notes as of June 30, 2024 was $234.9. The Senior Secured Notes bear interest at an annual rate of 11.5%, payable semi-annually in arrears on May 1 and November 1. Accrued interest related to the Senior Secured Notes was $4.6 as of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2024, the Company also had a $120.0 asset-based revolving credit facility pursuant to a senior secured credit agreement dated August 10, 2018, as amended by the ABL Amendment (as defined below) and other amendments (the “ABL Facility”). The ABL Facility matures on the ABL Maturity Date (as defined below)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extended the maturity date of the ABL Facility from September 15, 2024 to the earlier of (A) September 15, 2025 or (B) August 1, 2025, if the Company's Senior Secured Notes are still outstanding as of such date (the earlier of the foregoing item (A) or item (B), the “ABL Maturity Date”) and (ii) increased the revolving credit commitment from $100.0 to $120.0.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fixed charge coverage ratio (“FCCR”) to be at least 1.0 to 1.0 if availability falls below the greater of $15.0 or 20.0% of the line cap. At all times during the three months ended June 30, 2024, availability exceeded this threshold, and the Company was not subject to this financial covenant. As of June 30, 2024, the FCCR was at least 1.0 to 1.0, and the Company was in full compliance with its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outstanding under the ABL Facility were $50.0 as of June 30, 2024 and bear interest at a rate equal to Term SOFR (as defined in the ABL Facility) plus the Applicable Margin (as defined in the ABL Facility). The effective interest rate under the ABL Facility was approximately 8.4% on June 30, 2024. Total letters of credit outstanding under the ABL Facility were $5.4 at June 30, 2024 and $6.4 at December 31, 2023. Accrued interest under the ABL Facility was $0.0 as of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funds available under the ABL Facility of $34.1 on the June 30, 2024 borrowing base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7 -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that would be received to sell an asset in an orderly transaction between market participants at the measurement date.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$50.0 debt outstanding under the ABL Facility as of June 30, 2024. The fair value of the ABL Facility approximates its carrying value as of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June 30, 2024 and December 31, 2023:</w:t>
      </w:r>
    </w:p>
    <w:p>
      <w:pPr>
        <w:pStyle w:val="TextBody"/>
        <w:bidi w:val="0"/>
        <w:spacing w:before="0" w:after="0"/>
        <w:jc w:val="both"/>
        <w:rPr/>
      </w:pPr>
      <w:r>
        <w:rPr/>
      </w:r>
    </w:p>
    <w:tbl>
      <w:tblPr>
        <w:tblW w:w="9820" w:type="dxa"/>
        <w:jc w:val="left"/>
        <w:tblInd w:w="0" w:type="dxa"/>
        <w:tblLayout w:type="fixed"/>
        <w:tblCellMar>
          <w:top w:w="28" w:type="dxa"/>
          <w:left w:w="28" w:type="dxa"/>
          <w:bottom w:w="28" w:type="dxa"/>
          <w:right w:w="28" w:type="dxa"/>
        </w:tblCellMar>
      </w:tblPr>
      <w:tblGrid>
        <w:gridCol w:w="1414"/>
        <w:gridCol w:w="1241"/>
        <w:gridCol w:w="1245"/>
        <w:gridCol w:w="291"/>
        <w:gridCol w:w="849"/>
        <w:gridCol w:w="150"/>
        <w:gridCol w:w="109"/>
        <w:gridCol w:w="109"/>
        <w:gridCol w:w="109"/>
        <w:gridCol w:w="294"/>
        <w:gridCol w:w="566"/>
        <w:gridCol w:w="152"/>
        <w:gridCol w:w="152"/>
        <w:gridCol w:w="152"/>
        <w:gridCol w:w="152"/>
        <w:gridCol w:w="294"/>
        <w:gridCol w:w="859"/>
        <w:gridCol w:w="152"/>
        <w:gridCol w:w="152"/>
        <w:gridCol w:w="152"/>
        <w:gridCol w:w="152"/>
        <w:gridCol w:w="294"/>
        <w:gridCol w:w="566"/>
        <w:gridCol w:w="21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3"/>
        <w:gridCol w:w="1222"/>
        <w:gridCol w:w="1226"/>
        <w:gridCol w:w="393"/>
        <w:gridCol w:w="1155"/>
        <w:gridCol w:w="205"/>
        <w:gridCol w:w="109"/>
        <w:gridCol w:w="109"/>
        <w:gridCol w:w="109"/>
        <w:gridCol w:w="292"/>
        <w:gridCol w:w="563"/>
        <w:gridCol w:w="151"/>
        <w:gridCol w:w="151"/>
        <w:gridCol w:w="151"/>
        <w:gridCol w:w="151"/>
        <w:gridCol w:w="292"/>
        <w:gridCol w:w="854"/>
        <w:gridCol w:w="151"/>
        <w:gridCol w:w="151"/>
        <w:gridCol w:w="151"/>
        <w:gridCol w:w="151"/>
        <w:gridCol w:w="292"/>
        <w:gridCol w:w="563"/>
        <w:gridCol w:w="220"/>
      </w:tblGrid>
      <w:tr>
        <w:trPr/>
        <w:tc>
          <w:tcPr>
            <w:tcW w:w="139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5 - Property and Equipment, Net, based on sales contracts and comparative price quotes, as of June 30, 2024 and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tbl>
      <w:tblPr>
        <w:tblW w:w="8136" w:type="dxa"/>
        <w:jc w:val="left"/>
        <w:tblInd w:w="0" w:type="dxa"/>
        <w:tblLayout w:type="fixed"/>
        <w:tblCellMar>
          <w:top w:w="28" w:type="dxa"/>
          <w:left w:w="28" w:type="dxa"/>
          <w:bottom w:w="28" w:type="dxa"/>
          <w:right w:w="28" w:type="dxa"/>
        </w:tblCellMar>
      </w:tblPr>
      <w:tblGrid>
        <w:gridCol w:w="803"/>
        <w:gridCol w:w="705"/>
        <w:gridCol w:w="712"/>
        <w:gridCol w:w="375"/>
        <w:gridCol w:w="721"/>
        <w:gridCol w:w="193"/>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2024 and 2023, there was no before-tax loss (gain) related to Assets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 Stockholders' Equity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2024, the Company did not sell any shares of Common Stock and incurred legal and administrative fees of $0.1 and $0.2,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the Company did not sell any shares of Common Stock and incurred legal and administrative fees of $—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and six months ended June 30, 2024 and June 30, 2023 was related to grants of restricted stock as approved by the Compensation Committee. Stock-based compensation was $1.0 and $0.8 for the three months ended June 30, 2024 and 2023, respectively, and $1.9 and $1.5 for the six months ended June 30, 2024 and 2023, respectively. Unrecognized compensation cost related to restricted stock awards made by the Company was $6.1 at June 30, 2024 and $4.2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$0.2 and $0.4 for the three and six months ended June 30, 2024, respectively, and was comprised primarily of state and local taxes. Income tax benefit was $0.3 and $0.1 for the three and six months ended June 30, 2023, respectively, and was comprised primarily of state and local taxes, offset by a deferred tax benefit recognized from a reduction in the valuation allowance related to the Greene's Acquisition. The Company has a valuation allowance against its deferred tax balances and, as a result, it was unable to recognize a federal tax benefit on its year-to-date losses.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11 -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revenues and operating income (loss) and make requests for capital expenditures and acquisition funding (all of which are used to measure segment performance) to the Company's chief operational decision-making group. As a result, the Company has three reportable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revenues and operating income (loss) by reportable segment:</w:t>
      </w:r>
    </w:p>
    <w:tbl>
      <w:tblPr>
        <w:tblW w:w="9664" w:type="dxa"/>
        <w:jc w:val="left"/>
        <w:tblInd w:w="0" w:type="dxa"/>
        <w:tblLayout w:type="fixed"/>
        <w:tblCellMar>
          <w:top w:w="28" w:type="dxa"/>
          <w:left w:w="28" w:type="dxa"/>
          <w:bottom w:w="28" w:type="dxa"/>
          <w:right w:w="28" w:type="dxa"/>
        </w:tblCellMar>
      </w:tblPr>
      <w:tblGrid>
        <w:gridCol w:w="1101"/>
        <w:gridCol w:w="968"/>
        <w:gridCol w:w="975"/>
        <w:gridCol w:w="327"/>
        <w:gridCol w:w="793"/>
        <w:gridCol w:w="169"/>
        <w:gridCol w:w="109"/>
        <w:gridCol w:w="109"/>
        <w:gridCol w:w="109"/>
        <w:gridCol w:w="327"/>
        <w:gridCol w:w="793"/>
        <w:gridCol w:w="169"/>
        <w:gridCol w:w="109"/>
        <w:gridCol w:w="109"/>
        <w:gridCol w:w="109"/>
        <w:gridCol w:w="291"/>
        <w:gridCol w:w="849"/>
        <w:gridCol w:w="150"/>
        <w:gridCol w:w="109"/>
        <w:gridCol w:w="109"/>
        <w:gridCol w:w="109"/>
        <w:gridCol w:w="291"/>
        <w:gridCol w:w="849"/>
        <w:gridCol w:w="150"/>
        <w:gridCol w:w="109"/>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operating income (loss) </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revenues by service offering by reportable segment:</w:t>
      </w:r>
    </w:p>
    <w:p>
      <w:pPr>
        <w:pStyle w:val="TextBody"/>
        <w:bidi w:val="0"/>
        <w:spacing w:before="0" w:after="0"/>
        <w:jc w:val="both"/>
        <w:rPr/>
      </w:pPr>
      <w:r>
        <w:rPr/>
      </w:r>
    </w:p>
    <w:tbl>
      <w:tblPr>
        <w:tblW w:w="10933" w:type="dxa"/>
        <w:jc w:val="left"/>
        <w:tblInd w:w="0" w:type="dxa"/>
        <w:tblLayout w:type="fixed"/>
        <w:tblCellMar>
          <w:top w:w="28" w:type="dxa"/>
          <w:left w:w="28" w:type="dxa"/>
          <w:bottom w:w="28" w:type="dxa"/>
          <w:right w:w="28" w:type="dxa"/>
        </w:tblCellMar>
      </w:tblPr>
      <w:tblGrid>
        <w:gridCol w:w="390"/>
        <w:gridCol w:w="343"/>
        <w:gridCol w:w="348"/>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09"/>
        <w:gridCol w:w="109"/>
        <w:gridCol w:w="109"/>
        <w:gridCol w:w="109"/>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003" w:type="dxa"/>
        <w:jc w:val="left"/>
        <w:tblInd w:w="0" w:type="dxa"/>
        <w:tblLayout w:type="fixed"/>
        <w:tblCellMar>
          <w:top w:w="28" w:type="dxa"/>
          <w:left w:w="28" w:type="dxa"/>
          <w:bottom w:w="28" w:type="dxa"/>
          <w:right w:w="28" w:type="dxa"/>
        </w:tblCellMar>
      </w:tblPr>
      <w:tblGrid>
        <w:gridCol w:w="390"/>
        <w:gridCol w:w="343"/>
        <w:gridCol w:w="348"/>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tbl>
      <w:tblPr>
        <w:tblW w:w="5351" w:type="dxa"/>
        <w:jc w:val="left"/>
        <w:tblInd w:w="0" w:type="dxa"/>
        <w:tblLayout w:type="fixed"/>
        <w:tblCellMar>
          <w:top w:w="28" w:type="dxa"/>
          <w:left w:w="28" w:type="dxa"/>
          <w:bottom w:w="28" w:type="dxa"/>
          <w:right w:w="28" w:type="dxa"/>
        </w:tblCellMar>
      </w:tblPr>
      <w:tblGrid>
        <w:gridCol w:w="640"/>
        <w:gridCol w:w="564"/>
        <w:gridCol w:w="566"/>
        <w:gridCol w:w="307"/>
        <w:gridCol w:w="898"/>
        <w:gridCol w:w="159"/>
        <w:gridCol w:w="109"/>
        <w:gridCol w:w="109"/>
        <w:gridCol w:w="109"/>
        <w:gridCol w:w="405"/>
        <w:gridCol w:w="1186"/>
        <w:gridCol w:w="299"/>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427.3 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cash capital expenditures by reportable segment:</w:t>
      </w:r>
    </w:p>
    <w:tbl>
      <w:tblPr>
        <w:tblW w:w="9326" w:type="dxa"/>
        <w:jc w:val="left"/>
        <w:tblInd w:w="0" w:type="dxa"/>
        <w:tblLayout w:type="fixed"/>
        <w:tblCellMar>
          <w:top w:w="28" w:type="dxa"/>
          <w:left w:w="28" w:type="dxa"/>
          <w:bottom w:w="28" w:type="dxa"/>
          <w:right w:w="28" w:type="dxa"/>
        </w:tblCellMar>
      </w:tblPr>
      <w:tblGrid>
        <w:gridCol w:w="868"/>
        <w:gridCol w:w="765"/>
        <w:gridCol w:w="767"/>
        <w:gridCol w:w="346"/>
        <w:gridCol w:w="841"/>
        <w:gridCol w:w="178"/>
        <w:gridCol w:w="111"/>
        <w:gridCol w:w="111"/>
        <w:gridCol w:w="111"/>
        <w:gridCol w:w="346"/>
        <w:gridCol w:w="841"/>
        <w:gridCol w:w="178"/>
        <w:gridCol w:w="109"/>
        <w:gridCol w:w="109"/>
        <w:gridCol w:w="109"/>
        <w:gridCol w:w="346"/>
        <w:gridCol w:w="839"/>
        <w:gridCol w:w="179"/>
        <w:gridCol w:w="109"/>
        <w:gridCol w:w="109"/>
        <w:gridCol w:w="109"/>
        <w:gridCol w:w="346"/>
        <w:gridCol w:w="839"/>
        <w:gridCol w:w="17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 Net (Loss) Income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income per common share is computed using the weighted average common shares outstanding during the period. Diluted net (loss) income per common share is computed by using the weighted average common shares outstanding, including the dilutive effect of restricted shares based on an average share price during the period. For the three months ended June 30, 2024 and 2023, 0.7 and 0.4 million shares of the Company’s Common Stock, respectively, and for the six months ended June 30, 2024 and 2023, 0.4 and 0.0 million shares of the Company's Common Stock, respectively, were excluded from the determination of diluted net (loss) income per common share because their effect would have been anti-dilutive. The computations of basic and diluted net (loss) income per share for the three and six months ended June 30, 2024 and 2023 are as follows:</w:t>
      </w:r>
    </w:p>
    <w:tbl>
      <w:tblPr>
        <w:tblW w:w="10205" w:type="dxa"/>
        <w:jc w:val="left"/>
        <w:tblInd w:w="0" w:type="dxa"/>
        <w:tblLayout w:type="fixed"/>
        <w:tblCellMar>
          <w:top w:w="28" w:type="dxa"/>
          <w:left w:w="28" w:type="dxa"/>
          <w:bottom w:w="28" w:type="dxa"/>
          <w:right w:w="28" w:type="dxa"/>
        </w:tblCellMar>
      </w:tblPr>
      <w:tblGrid>
        <w:gridCol w:w="1335"/>
        <w:gridCol w:w="1155"/>
        <w:gridCol w:w="1168"/>
        <w:gridCol w:w="296"/>
        <w:gridCol w:w="822"/>
        <w:gridCol w:w="153"/>
        <w:gridCol w:w="109"/>
        <w:gridCol w:w="109"/>
        <w:gridCol w:w="109"/>
        <w:gridCol w:w="322"/>
        <w:gridCol w:w="781"/>
        <w:gridCol w:w="166"/>
        <w:gridCol w:w="109"/>
        <w:gridCol w:w="109"/>
        <w:gridCol w:w="109"/>
        <w:gridCol w:w="296"/>
        <w:gridCol w:w="822"/>
        <w:gridCol w:w="153"/>
        <w:gridCol w:w="109"/>
        <w:gridCol w:w="109"/>
        <w:gridCol w:w="109"/>
        <w:gridCol w:w="322"/>
        <w:gridCol w:w="781"/>
        <w:gridCol w:w="166"/>
        <w:gridCol w:w="109"/>
        <w:gridCol w:w="109"/>
        <w:gridCol w:w="109"/>
        <w:gridCol w:w="159"/>
      </w:tblGrid>
      <w:tr>
        <w:trPr/>
        <w:tc>
          <w:tcPr>
            <w:tcW w:w="133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income per common share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income per common share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2023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costs and other changes in supply, demand and costs of equipment;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and developments, including the outcome of the U.S. presidential election and the imposition of tariffs or trade or other economic sanctions, and political instability or armed conflict, including the ongoing conflicts in Ukraine, the Israel-Gaza region and elsewhere in the Middle East, including rising tensions with Iran;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credit profile and our ability to renew or refinance our indebtedness;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international conflicts,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a global pandemic, like the novel coronavirus (“COVID-19”) pandemic and subsequent variants;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2023</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three and six months ended June 30, 2024, as compared to our results of operations for the three and six months ended June 30, 2023. In addition, the discussion and analysis addresses our liquidity, financial condition and other matters for these periods.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(the “Greene's Acquisition”), including $1.7 in cash remaining at Greene’s, which was subsequently adjusted to $1.1 due to a $0.6 working capital adjustment.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38 patents and 9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The oil and gas industry experienced significant increases in activity in late 2021 and 2022 due to the recovery from the COVID-19 pandemic and increasing demand for oil and gas. Furthermore, sanctions and import bans on Russian oil have been implemented by various countries in response to the ongoing war in Ukraine, further impacting global oil supply. While oil prices declined in the first half of 2023 from their 2022 highs, oil prices rebounded in the third quarter of 2023 due to stronger than anticipated economic growth and sustained production cuts from Saudi Arabia and Russia, followed by oil price decreases in the fourth quarter of 2023 due to a decrease in demand as the overall economy declined. Natural gas prices also declined in the fourth quarter of 2023. Oil and natural gas prices have been, and may remain, volatile, which impacts demand for our business. West Texas Intermediate’s (“WTI") average daily price per barrel increased by approximately 4.2%, to $81.81 per Bbl during the three months ended June 30, 2024, compared to the WTI average daily price per barrel of $78.53 per Bbl during the three months ended December 31, 2023. As of June 30, 2024, U.S. land rig count stood at 560, a decrease of 7.0% compared to December 31, 2023, when the U.S. rig count was 602.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Despite the decrease in commodity prices during the fiscal year ended December 31, 2023, 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to the year ending December 31, 2024, assuming economic activity holds at the recent level and commodity prices remain volatile, we anticipate that our customers will continue to cautiously allocate capital and operating expense spending. So far in the year ending December 31, 2024, WTI prices have noted a slight increase, as demand for oil and gas products persists. Currently, global oil inventories supplied from OPEC and its allies (“OPEC+”) and other oil producing nations are expected to transition to inventory decreases throughout the majority of 2024 from inventory builds during 2023. This persisting demand and expectation of decreased inventory is balanced against weather-related challenges across the country as well as a cautious approach to drilling expansion, as evidenced by the U.S. rig count marking a slight decline through mid-July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medium term, we anticipate demand for oil and gas products to hold and even expand, as demand for energy generated from oil and gas grows across the United States. Per S&amp;P Global, nearly 50GW of electricity generation capacity is expected to be added to the U.S. grid by 2028 to support the operations of datacenters. Per the Electric Reliability Council of Texas, generation capacity in the state is set to almost double by 2030, citing increased demand from AI data centers and crypto-mining. In addition to domestic electricity generation, there are indications of higher demand for natural gas for export, with S&amp;P Global projecting that feedgas demand could more than double by 2032. These and other expected developments point to increased demand for the products our services help to extract.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Oil and natural gas prices may fluctuate with changes in demand due to, among other things, the ongoing war in Ukraine, the Israel-Hamas conflict, rising tensions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June 30, 2024 Compared to Three Months Ended June 30, 2023</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7012"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414"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2024, revenues were $180.2, a decrease of $53.8, or 23.0%, as compared with the prior year period. The overall decrease in revenues reflects a decline in activity during the quarter, leading to lower demand for our services. Lower weighted average price contributed to approximately 19% of the $53.8 decrease, and lower weighted average volume contributed to the remaining approximately 81%. On a segment basis, Rocky Mountains segment revenue decreased by $5.0 or 7.5%. This decrease was driven entirely by a decrease in weighted average volume. Southwest segment revenue decreased by $16.4 or 19.0%. This decrease was driven entirely by a decrease in weighted average volume. Northeast/Mid-Con segment revenue decreased by $32.4 or 39.9%. Lower weighted average price contributed to approximately 38% of the dollar decrease, and lower weighted average volume contributed to the remaining approximately 62%.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June 30, 2024, cost of sales were $136.0, or 75.5% of sales, as compared to the three months ended June 30, 2023 of $173.3, or 74.1% of sales. Cost of sales as a percentage of revenues increased primarily due to a decrease in revenue days which led to lower leverage of fixed costs during the quarter. The two largest components of cost of sales are labor and repair &amp; maintenance. Although cost of sales as a percentage of revenues increased, labor costs per employee decreased by 15.0% as compared with the three months ended June 30, 2023. Repair &amp; maintenance costs as a percentage of revenues increased by 13.3% as compared to the three months ended June 30, 2023, due to the lower revenues during the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June 30, 2024, SG&amp;A expenses were $19.3, or 10.7% of revenues, as compared with $22.0, or 9.4% of revenues, in the prior year period. The increase in percentage of revenues is due to the lower revenues and lower leverage of fixed costs during the quarter, as SG&amp;A has decreased on a dollar basis compared to the three months ended June 30,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tbl>
      <w:tblPr>
        <w:tblW w:w="7692"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334"/>
        <w:gridCol w:w="858"/>
        <w:gridCol w:w="172"/>
        <w:gridCol w:w="109"/>
        <w:gridCol w:w="109"/>
        <w:gridCol w:w="109"/>
        <w:gridCol w:w="334"/>
        <w:gridCol w:w="858"/>
        <w:gridCol w:w="172"/>
        <w:gridCol w:w="109"/>
        <w:gridCol w:w="109"/>
        <w:gridCol w:w="109"/>
        <w:gridCol w:w="299"/>
        <w:gridCol w:w="301"/>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June 30, 2024, operating income was $1.4 compared to operating income of $19.6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declined as a function of lower revenues compared to the prior year period. Rocky Mountains segment operating income was $10.5, Southwest segment operating income was $2.6, and Northeast/Mid-Con segment operating loss was $2.5 for the three months ended June 30, 2024. The operating loss for the Corporate and other segment decreased slightly due to non-recurring costs related to the Greene's Acquisition in the prior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 (benefit)</w:t>
      </w:r>
      <w:r>
        <w:rPr>
          <w:rFonts w:ascii="Arial;sans-serif" w:hAnsi="Arial;sans-serif"/>
          <w:b w:val="false"/>
          <w:color w:val="000000"/>
          <w:sz w:val="20"/>
        </w:rPr>
        <w:t>. For the quarter ended June 30, 2024, income tax expense was $0.2, as compared to income tax benefit of $0.3 in the prior year period, and was comprised primarily of state and local taxes. The Company did not recognize a federal tax benefit on its year-to-date losses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 income</w:t>
      </w:r>
      <w:r>
        <w:rPr>
          <w:rFonts w:ascii="Arial;sans-serif" w:hAnsi="Arial;sans-serif"/>
          <w:b w:val="false"/>
          <w:color w:val="000000"/>
          <w:sz w:val="20"/>
        </w:rPr>
        <w:t>. For the quarter ended June 30, 2024, net loss was $8.0, as compared to net income of $11.4 in the prior year period, decreasing primarily as a result of lower revenues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Six Months Ended June 30, 2024 Compared to Six Months Ended June 30, 2023</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7012"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414"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298"/>
        <w:gridCol w:w="913"/>
        <w:gridCol w:w="154"/>
        <w:gridCol w:w="109"/>
        <w:gridCol w:w="109"/>
        <w:gridCol w:w="109"/>
        <w:gridCol w:w="298"/>
        <w:gridCol w:w="913"/>
        <w:gridCol w:w="154"/>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2024, revenues were $354.9, a decrease of $118.7, or 25.1%, as compared with the prior year period. The overall decrease in revenues reflects a decline in activity during the quarter, leading to lower demand for our services. Lower weighted average price contributed to approximately 28% of the $118.7 decrease, and lower weighted average volume contributed to the remaining approximately 72%. On a segment basis, Rocky Mountains segment revenue decreased by $27.3 or 20.3%. Lower weighted average price contributed to approximately 19% of the dollar decrease, and lower weighted average volume contributed to the remaining approximately 81%. Southwest segment revenue decreased by $20.4 or 12.8%. This decrease was driven entirely by a decrease in weighted average volume. Northeast/Mid-Con segment revenue decreased by $71.0 or 39.5%. Lower weighted average price contributed to approximately 51% of the dollar decrease, and lower weighted average volume contributed to the remaining approximately 49%.</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six months ended June 30, 2024, cost of sales were $280.0, or 78.9% of sales, as compared to the six months ended June 30, 2023 of $354.2, or 74.8% of sales. Cost of sales as a percentage of revenues increased primarily due to a decrease in revenue days which led to lower leverage of fixed costs during the quarter. The two largest components of cost of sales are labor and repair &amp; maintenance. Although cost of sales as a percentage of revenues increased, labor costs per employee decreased by 15.0% as compared with the six months ended June 30, 2023. Repair &amp; maintenance costs as a percentage of revenues increased by 21.1% as compared to the six months ended June 30, 2023, due to the lower revenues during the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six months ended June 30, 2024, SG&amp;A expenses were $40.9, or 11.5% of revenues, as compared with $48.2, or 10.2% of revenues, in the prior year period. The increase in percentage of revenues is due to the lower revenues and lower leverage of fixed costs during the quarter, as SG&amp;A has decreased on a dollar basis compared to the six months ended June 30,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tbl>
      <w:tblPr>
        <w:tblW w:w="8023"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312"/>
        <w:gridCol w:w="891"/>
        <w:gridCol w:w="161"/>
        <w:gridCol w:w="109"/>
        <w:gridCol w:w="109"/>
        <w:gridCol w:w="109"/>
        <w:gridCol w:w="334"/>
        <w:gridCol w:w="858"/>
        <w:gridCol w:w="172"/>
        <w:gridCol w:w="109"/>
        <w:gridCol w:w="109"/>
        <w:gridCol w:w="109"/>
        <w:gridCol w:w="351"/>
        <w:gridCol w:w="354"/>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2024, operating loss was $11.7 compared to operating income of $38.5 in the prior year period,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declined as a function of lower revenues compared to the prior year period. Rocky Mountains segment operating income was $9.3, Southwest segment operating income was $1.9, and Northeast/Mid-Con segment operating loss was $0.1 for the six months ended June 30, 2024. The operating loss for the Corporate and other segment decreased slightly due to non-recurring costs related to the Greene's Acquisition in the prior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 (benefit)</w:t>
      </w:r>
      <w:r>
        <w:rPr>
          <w:rFonts w:ascii="Arial;sans-serif" w:hAnsi="Arial;sans-serif"/>
          <w:b w:val="false"/>
          <w:color w:val="000000"/>
          <w:sz w:val="20"/>
        </w:rPr>
        <w:t>. For the six months ended June 30, 2024, income tax expense was $0.4, as compared to income tax benefit of $0.1 in the prior year period, and was comprised primarily of state and local taxes. The Company did not recognize a federal tax benefit on its year-to-date losses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 income</w:t>
      </w:r>
      <w:r>
        <w:rPr>
          <w:rFonts w:ascii="Arial;sans-serif" w:hAnsi="Arial;sans-serif"/>
          <w:b w:val="false"/>
          <w:color w:val="000000"/>
          <w:sz w:val="20"/>
        </w:rPr>
        <w:t>. For the six months ended June 30, 2024, net loss was $30.2, as compared to net income of $20.8 in the prior year period, decreasing primarily as a result of lower revenues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noteholders, borrowings under the Company’s asset-based revolving credit facility, as amended by the ABL Amendment (as defined below) and other amendments (the “ABL Facility”) and cash flows from operations. At June 30, 2024, we had $86.9 of cash and cash equivalents and $34.1 available on the June 2024 ABL Facility Borrowing Base Certificate, which resulted in an available liquidity position of $121.0.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material cash commitments from known contractual and other obligations consist primarily of obligations for long-term debt and related interest as well as leases for property and equipment and purchase obligations as part of normal operations. See below “—ABL Facility” and “—Senior Secured Notes” for information regarding scheduled maturities of our long-term debt. See “Note 8 - Leases” of Item 8 in our 2023 Annual Report on Form 10-K filed with the SEC on March 8, 2024 for information regarding scheduled maturities of our operating and financing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closing our Florida legacy headquarters and relocating all key functions to Houston, eliminating redundancies and duplicative functions throughout our operations following the QES Merger, issuing equity under our ATM Offering, executing debt-for-equity exchanges that have reduced our interest burden and monetizing non-core and obsolete assets. We actively manage our capital spending and are focused primarily on required maintenance spending. Additionally, ongoing volatility in commodity prices and increased inflation continue to affect our financial results. We believe that based on our current forecasts, our cash on hand, together with our operating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substantial indebtedness. As of June 30, 2024, we had total outstanding long-term indebtedness of $284.9 under our ABL Facility and 11.5% senior secured notes due 2025 (the “Senior Secured Notes”) as described in greater detail under “—ABL Facility” and “—Senior Secured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willingness of capital providers to lend to our industry, and other financial and business factors, many of which are beyond our control.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ABL Facility and our Senior Secured Notes mature in 2025. 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par value $0.01, of the Company (“Common Stock”) may result in dilution to our current stockholders.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our substantial leverage position and the uncertainty regarding future market conditions, availability of capital and our financial performance, as market conditions warrant and subject to our contractual restrictions, liquidity position and other factors, we may explore various alternatives to recapitalize, refinance or otherwise restructure our capital structure. We may accomplish this through open market or privately negotiated transactions, which may include, among other things, a mix of refinancings, private or public equity or debt raises and rights offerings, repurchases of our outstanding Senior Secured Notes, debt-for-debt or debt-for-equity exchanges or conversions that if successful could result in the dilution of ownership by existing stockholders. Some of these alternatives may require the consent of current lenders, stockholders or noteholders, and there is no assurance that we will be able to execute any of these alternatives on acceptable terms, or at all. We may, at any time and from time to time, seek to retire or purchase outstanding Senior Secured Notes in open-market purchases, privately negotiated transactions or otherwise, or convert or exchange Senior Secured Notes for equity, depending on prevailing market conditions, liquidity requirements, contractual restrictions and other factors. The amounts involved may be material.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ABL Facility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entered into a $100.0 ABL Facility on August 10, 2018. The ABL Facility became effective on September 14, 2018 and is scheduled to mature on the ABL Maturity Date (as defined below) in 2025. Borrowings under the ABL Facility bear interest at a rate equal to Term SOFR (as defined in the ABL Facility) plus the Applicable Margin (as defined in the ABL Facility). The ABL Facility is tied to a borrowing base formula and the ABL Facility has no maintenance financial covenants as long as the minimum level of borrowing availability is maintained. The ABL Facility is secured by, among other things, a first priority lien on our accounts receivable and inventory and contains customary conditions precedent to borrowing and affirmative and negative covenants. $50.0 was outstanding under the ABL Facility as of June 30, 2024. The effective interest rate under the ABL Facility was approximately 8.4% on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extended the maturity date of the ABL Facility from September 15, 2024 to the earlier of (A) September 15, 2025 or (B) August 1, 2025, if the Company's Senior Secured Notes are still outstanding as of such date (the earlier of the foregoing item (A) or item (B), the “ABL Maturity Date”) and (ii) increased the revolving credit commitment from $100.0 to $120.0.</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FCCR to be at least 1.0 to 1.0 if availability falls below the greater of $15.0 or 20.0% of the borrowing base. At all times during the three months ended June 30, 2024, availability exceeded this threshold, and the Company was not subject to this financial covenant. As of June 30, 2024, the FCCR was at least 1.0 to 1.0, and the Company was in full compliance with the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Senior Secured Notes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in 2018, we issued $250.0 principal amount of the Senior Secured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Secured Notes, total debt related to the Senior Secured Notes as of June 30, 2024 was $234.9. The Senior Secured Notes bear interest at an annual rate of 11.5%, payable semi-annually in arrears on May 1 and November 1 and mature in 2025. Accrued interest related to the Senior Secured Notes was $4.6 as of June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indenture also contains customary events of default including, among other things, the failure to pay interest for 30 days, failure to pay principal when due, failure to observe or perform any other covenants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agreement in the indenture subject to grace periods, cross-acceleration to indebtedness with an aggregate principal amount in excess of $50.0, material impairment of liens, failure to pay certain material judgments and certain events of bankruptcy.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$28.8 during the six months ended June 30, 2024, compared to $26.5 in the six months ended June 30, 2023. Based on current industry conditions and our significant investments in capital expenditures over the past several years, we expect to incur between $50.0 and $55.0 in total capital expenditures for the year ending December 31, 2024, out of which approximately 80% is budgeted for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2024, the Company did not sell any shares of Common Stock and incurred legal and administrative fees of $0.1 and $0.2,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the Company did not sell any shares of Common Stock and incurred legal and administrative fees of $—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provided by operating activities for the six months ended June 30, 2024 were approximately $11.4 as compared to approximately $51.4 provided by operating activities for the six months ended June 30, 2023.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June 30, 2024, we had $86.9 of cash and cash equivalents. Cash on hand at June 30, 2024 decreased by $25.6, as a result of $11.4 of cash flows provided by operating activities, $22.2 of cash flows used in investing activities and $14.8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8333" w:type="dxa"/>
        <w:jc w:val="left"/>
        <w:tblInd w:w="0" w:type="dxa"/>
        <w:tblLayout w:type="fixed"/>
        <w:tblCellMar>
          <w:top w:w="28" w:type="dxa"/>
          <w:left w:w="28" w:type="dxa"/>
          <w:bottom w:w="28" w:type="dxa"/>
          <w:right w:w="28" w:type="dxa"/>
        </w:tblCellMar>
      </w:tblPr>
      <w:tblGrid>
        <w:gridCol w:w="1620"/>
        <w:gridCol w:w="1420"/>
        <w:gridCol w:w="1430"/>
        <w:gridCol w:w="109"/>
        <w:gridCol w:w="109"/>
        <w:gridCol w:w="109"/>
        <w:gridCol w:w="334"/>
        <w:gridCol w:w="858"/>
        <w:gridCol w:w="172"/>
        <w:gridCol w:w="109"/>
        <w:gridCol w:w="109"/>
        <w:gridCol w:w="109"/>
        <w:gridCol w:w="334"/>
        <w:gridCol w:w="858"/>
        <w:gridCol w:w="172"/>
        <w:gridCol w:w="109"/>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was $11.4 for the six months ended June 30, 2024, as compared to net cash provided by operating activities of $51.4 for the six months ended June 30, 2023. The lower operating cash flows were attributable to the change from a net income to a net loss position, partially offset by higher depreciation and amortization in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$22.2 for the six months ended June 30, 2024, as compared to net cash used in investing activities of $16.9 for the six months ended June 30, 2023. The cash flows used in investing activities for the six months ended June 30, 2024 were primarily driven by maintenance capital spending tied to the operation of our existing asset base offset by sales of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was $14.8 for the six months ended June 30, 2024, compared to net cash used in financing activities of $9.8 for the six months ended June 30, 2023. During the six months ended June 30, 2024, there were no additional borrowings under our ABL Facility and no sales under our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2023 Annual Report on Form 10-K filed with the SEC on March 8, 2024.</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 See Note 2 - Recent Accounting Pronouncements above for upcoming adoptions of new accounting pronouncements.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June 30, 2024,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June 30, 2024.</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4" w:type="dxa"/>
        <w:jc w:val="center"/>
        <w:tblInd w:w="0" w:type="dxa"/>
        <w:tblLayout w:type="fixed"/>
        <w:tblCellMar>
          <w:top w:w="28" w:type="dxa"/>
          <w:left w:w="28" w:type="dxa"/>
          <w:bottom w:w="28" w:type="dxa"/>
          <w:right w:w="28" w:type="dxa"/>
        </w:tblCellMar>
      </w:tblPr>
      <w:tblGrid>
        <w:gridCol w:w="298"/>
        <w:gridCol w:w="262"/>
        <w:gridCol w:w="265"/>
        <w:gridCol w:w="676"/>
        <w:gridCol w:w="676"/>
        <w:gridCol w:w="9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June 30,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2"/>
        <w:gridCol w:w="343"/>
        <w:gridCol w:w="345"/>
        <w:gridCol w:w="512"/>
        <w:gridCol w:w="512"/>
        <w:gridCol w:w="513"/>
        <w:gridCol w:w="109"/>
        <w:gridCol w:w="109"/>
        <w:gridCol w:w="109"/>
        <w:gridCol w:w="319"/>
        <w:gridCol w:w="776"/>
        <w:gridCol w:w="166"/>
        <w:gridCol w:w="109"/>
        <w:gridCol w:w="109"/>
        <w:gridCol w:w="109"/>
        <w:gridCol w:w="816"/>
        <w:gridCol w:w="816"/>
        <w:gridCol w:w="818"/>
        <w:gridCol w:w="109"/>
        <w:gridCol w:w="109"/>
        <w:gridCol w:w="109"/>
        <w:gridCol w:w="421"/>
        <w:gridCol w:w="2159"/>
        <w:gridCol w:w="316"/>
      </w:tblGrid>
      <w:tr>
        <w:trPr/>
        <w:tc>
          <w:tcPr>
            <w:tcW w:w="3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2024 - April 30, 2024</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2024 - May 31, 2024</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2024 - June 30, 2024</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6b291a77b4644d4a45fe02df84c0dc9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62"/>
        <w:gridCol w:w="215"/>
        <w:gridCol w:w="221"/>
        <w:gridCol w:w="2895"/>
        <w:gridCol w:w="2730"/>
        <w:gridCol w:w="3882"/>
      </w:tblGrid>
      <w:tr>
        <w:trPr/>
        <w:tc>
          <w:tcPr>
            <w:tcW w:w="2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4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4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4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22024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20"/>
          <w:shd w:fill="FFFFFF" w:val="clear"/>
        </w:rPr>
        <w:t>Certain schedules and exhibits to this agreement have been omitted in accordance with Item 601(a)(5) of Regulation S-K. A copy of any omitted schedule and/or exhibit will be furnished to the SEC 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0"/>
        <w:jc w:val="left"/>
        <w:rPr/>
      </w:pPr>
      <w:hyperlink w:anchor="if6b291a77b4644d4a45fe02df84c0dc9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8, 2024</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8, 2024</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8, 2024</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June 30, 2024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688"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Keefer M. Lehner,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June 30, 2024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7918" w:type="dxa"/>
        <w:jc w:val="left"/>
        <w:tblInd w:w="0" w:type="dxa"/>
        <w:tblLayout w:type="fixed"/>
        <w:tblCellMar>
          <w:top w:w="28" w:type="dxa"/>
          <w:left w:w="28" w:type="dxa"/>
          <w:bottom w:w="28" w:type="dxa"/>
          <w:right w:w="28" w:type="dxa"/>
        </w:tblCellMar>
      </w:tblPr>
      <w:tblGrid>
        <w:gridCol w:w="669"/>
        <w:gridCol w:w="586"/>
        <w:gridCol w:w="589"/>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2024,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6688" w:type="dxa"/>
        <w:jc w:val="left"/>
        <w:tblInd w:w="0" w:type="dxa"/>
        <w:tblLayout w:type="fixed"/>
        <w:tblCellMar>
          <w:top w:w="28" w:type="dxa"/>
          <w:left w:w="28" w:type="dxa"/>
          <w:bottom w:w="28" w:type="dxa"/>
          <w:right w:w="28" w:type="dxa"/>
        </w:tblCellMar>
      </w:tblPr>
      <w:tblGrid>
        <w:gridCol w:w="669"/>
        <w:gridCol w:w="586"/>
        <w:gridCol w:w="589"/>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June 30, 2024,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7918" w:type="dxa"/>
        <w:jc w:val="left"/>
        <w:tblInd w:w="0" w:type="dxa"/>
        <w:tblLayout w:type="fixed"/>
        <w:tblCellMar>
          <w:top w:w="28" w:type="dxa"/>
          <w:left w:w="28" w:type="dxa"/>
          <w:bottom w:w="28" w:type="dxa"/>
          <w:right w:w="28" w:type="dxa"/>
        </w:tblCellMar>
      </w:tblPr>
      <w:tblGrid>
        <w:gridCol w:w="669"/>
        <w:gridCol w:w="586"/>
        <w:gridCol w:w="589"/>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16925</Words>
  <Characters>92144</Characters>
  <CharactersWithSpaces>108144</CharactersWithSpaces>
  <Paragraphs>1928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