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973d8k.htm"/>
      <w:bookmarkStart w:id="1" w:name="ksd14997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001-38609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36-4904146</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3040 Post Oak Boulevard, 15th Floor</w:t>
      </w:r>
    </w:p>
    <w:p>
      <w:pPr>
        <w:pStyle w:val="TextBody"/>
        <w:bidi w:val="0"/>
        <w:spacing w:before="0" w:after="0"/>
        <w:jc w:val="center"/>
        <w:rPr>
          <w:rFonts w:ascii="Times New Roman" w:hAnsi="Times New Roman"/>
          <w:b/>
          <w:sz w:val="20"/>
        </w:rPr>
      </w:pPr>
      <w:r>
        <w:rPr>
          <w:rFonts w:ascii="Times New Roman" w:hAnsi="Times New Roman"/>
          <w:b/>
          <w:sz w:val="20"/>
        </w:rPr>
        <w:t>Houston, Texas 77056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(832) 844-1015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75" w:type="dxa"/>
        <w:jc w:val="left"/>
        <w:tblInd w:w="0" w:type="dxa"/>
        <w:tblLayout w:type="fixed"/>
        <w:tblCellMar>
          <w:top w:w="0" w:type="dxa"/>
          <w:left w:w="0" w:type="dxa"/>
          <w:bottom w:w="0" w:type="dxa"/>
          <w:right w:w="0" w:type="dxa"/>
        </w:tblCellMar>
      </w:tblPr>
      <w:tblGrid>
        <w:gridCol w:w="3185"/>
        <w:gridCol w:w="60"/>
        <w:gridCol w:w="710"/>
        <w:gridCol w:w="60"/>
        <w:gridCol w:w="32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KLXE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r>
        <w:trPr/>
        <w:tc>
          <w:tcPr>
            <w:tcW w:w="3185" w:type="dxa"/>
            <w:tcBorders/>
            <w:vAlign w:val="center"/>
          </w:tcPr>
          <w:p>
            <w:pPr>
              <w:pStyle w:val="TableContents"/>
              <w:bidi w:val="0"/>
              <w:spacing w:before="0" w:after="283"/>
              <w:jc w:val="center"/>
              <w:rPr/>
            </w:pPr>
            <w:r>
              <w:rPr/>
              <w:t>Preferred Stock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KLX Energy Services Holdings, Inc. (the “Company”) issued a press release providing a business update and announcing updated financial information for its third quarter ended September 30, 2026. The Company’s management plans to announce and discuss the Company’s complete third quarter 2026 financial results in November 2026. A copy of the press release is attached hereto as Exhibit 99.1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or incorporated into, this Item 7.01, including Exhibit 99.1 furnished herewith,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the Company also issued a press release announcing the preliminary results of its previously announced subscription rights offering, which expired in accordance with its terms at 5:00 p.m., New York City time, on September 23, 2026. The press release is attached hereto as Exhibit 99.2 and is hereby incorporated by reference into this Item 8.01.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49973dex991.htm">
              <w:r>
                <w:rPr>
                  <w:rStyle w:val="InternetLink"/>
                </w:rPr>
                <w:t xml:space="preserve">Press Release dated September 25, 2026, relating to the updated financial information.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49973dex992.htm">
              <w:r>
                <w:rPr>
                  <w:rStyle w:val="InternetLink"/>
                </w:rPr>
                <w:t xml:space="preserve">Press Release dated September 25, 2026, relating to the expiration of the subscription rights offering.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665"/>
        <w:gridCol w:w="60"/>
        <w:gridCol w:w="80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8785" w:type="dxa"/>
            <w:gridSpan w:val="3"/>
            <w:tcBorders/>
            <w:vAlign w:val="center"/>
          </w:tcPr>
          <w:p>
            <w:pPr>
              <w:pStyle w:val="TableContents"/>
              <w:bidi w:val="0"/>
              <w:spacing w:before="0" w:after="283"/>
              <w:jc w:val="left"/>
              <w:rPr/>
            </w:pPr>
            <w:r>
              <w:rPr/>
              <w:t>KLX Energy Services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L. Bouthillette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Max L. Bouthillette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Executive Vice President, General Counsel, Chief Compliance Officer and Secretary</w:t>
            </w:r>
          </w:p>
        </w:tc>
      </w:tr>
      <w:tr>
        <w:trPr/>
        <w:tc>
          <w:tcPr>
            <w:tcW w:w="665"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September 25, 2026</w:t>
            </w:r>
          </w:p>
        </w:tc>
      </w:tr>
    </w:tbl>
    <w:p>
      <w:pPr>
        <w:pStyle w:val="TextBody"/>
        <w:bidi w:val="0"/>
        <w:spacing w:before="0" w:after="0"/>
        <w:jc w:val="right"/>
        <w:rPr>
          <w:rFonts w:ascii="Times New Roman" w:hAnsi="Times New Roman"/>
          <w:b/>
          <w:sz w:val="20"/>
        </w:rPr>
      </w:pPr>
      <w:bookmarkStart w:id="2" w:name="d149973dex991.htm"/>
      <w:bookmarkStart w:id="3" w:name="ksd14997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9"/>
        <w:gridCol w:w="76"/>
        <w:gridCol w:w="859"/>
        <w:gridCol w:w="76"/>
        <w:gridCol w:w="4775"/>
      </w:tblGrid>
      <w:tr>
        <w:trPr/>
        <w:tc>
          <w:tcPr>
            <w:tcW w:w="441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4419" w:type="dxa"/>
            <w:vMerge w:val="restart"/>
            <w:tcBorders/>
          </w:tcPr>
          <w:p>
            <w:pPr>
              <w:pStyle w:val="TableContents"/>
              <w:bidi w:val="0"/>
              <w:spacing w:before="0" w:after="283"/>
              <w:jc w:val="left"/>
              <w:rPr/>
            </w:pPr>
            <w:r>
              <w:rPr/>
              <w:drawing>
                <wp:inline distT="0" distB="0" distL="0" distR="0">
                  <wp:extent cx="23145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895350"/>
                          </a:xfrm>
                          <a:prstGeom prst="rect">
                            <a:avLst/>
                          </a:prstGeom>
                        </pic:spPr>
                      </pic:pic>
                    </a:graphicData>
                  </a:graphic>
                </wp:inline>
              </w:drawing>
            </w:r>
            <w:r>
              <w:rPr/>
              <w:t xml:space="preserve"> </w:t>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NEWS RELEASE</w:t>
            </w:r>
          </w:p>
          <w:p>
            <w:pPr>
              <w:pStyle w:val="TableContents"/>
              <w:bidi w:val="0"/>
              <w:spacing w:before="0" w:after="20"/>
              <w:jc w:val="left"/>
              <w:rPr/>
            </w:pPr>
            <w:r>
              <w:rPr/>
              <w:t> </w:t>
            </w:r>
          </w:p>
        </w:tc>
      </w:tr>
      <w:tr>
        <w:trPr/>
        <w:tc>
          <w:tcPr>
            <w:tcW w:w="4419" w:type="dxa"/>
            <w:vMerge w:val="continue"/>
            <w:tcBorders/>
          </w:tcPr>
          <w:p>
            <w:pPr>
              <w:pStyle w:val="Normal"/>
              <w:bidi w:val="0"/>
              <w:jc w:val="left"/>
              <w:rPr/>
            </w:pPr>
            <w:r>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pPr>
            <w:r>
              <w:rPr/>
              <w:t>Contacts:</w:t>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u w:val="single"/>
              </w:rPr>
            </w:pPr>
            <w:r>
              <w:rPr>
                <w:u w:val="single"/>
              </w:rPr>
              <w:t>KLX Energy Services</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Geoffrey C. Stanford, SVP, Interim CFO &amp; CAO</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(832) 930-8066</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u w:val="single"/>
              </w:rPr>
            </w:pPr>
            <w:r>
              <w:rPr>
                <w:u w:val="single"/>
              </w:rPr>
              <w:t>IR@klx.com</w:t>
            </w:r>
          </w:p>
        </w:tc>
      </w:tr>
      <w:tr>
        <w:trPr>
          <w:trHeight w:val="120" w:hRule="atLeast"/>
        </w:trPr>
        <w:tc>
          <w:tcPr>
            <w:tcW w:w="441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4851" w:type="dxa"/>
            <w:gridSpan w:val="2"/>
            <w:tcBorders/>
            <w:vAlign w:val="center"/>
          </w:tcPr>
          <w:p>
            <w:pPr>
              <w:pStyle w:val="TableContents"/>
              <w:bidi w:val="0"/>
              <w:spacing w:before="0" w:after="283"/>
              <w:jc w:val="left"/>
              <w:rPr>
                <w:sz w:val="4"/>
                <w:szCs w:val="4"/>
              </w:rPr>
            </w:pPr>
            <w:r>
              <w:rPr>
                <w:sz w:val="4"/>
                <w:szCs w:val="4"/>
              </w:rPr>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u w:val="single"/>
              </w:rPr>
            </w:pPr>
            <w:r>
              <w:rPr>
                <w:u w:val="single"/>
              </w:rPr>
              <w:t>Dennard Lascar Investor Relations</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Ken Dennard / Natalie Hairston</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(713) 529-6600</w:t>
            </w:r>
          </w:p>
        </w:tc>
      </w:tr>
      <w:tr>
        <w:trPr/>
        <w:tc>
          <w:tcPr>
            <w:tcW w:w="441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u w:val="single"/>
              </w:rPr>
            </w:pPr>
            <w:r>
              <w:rPr>
                <w:u w:val="single"/>
              </w:rPr>
              <w:t>KLXE@dennardlascar.com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Updates </w:t>
      </w:r>
    </w:p>
    <w:p>
      <w:pPr>
        <w:pStyle w:val="TextBody"/>
        <w:bidi w:val="0"/>
        <w:spacing w:before="0" w:after="0"/>
        <w:jc w:val="center"/>
        <w:rPr>
          <w:rFonts w:ascii="Times New Roman" w:hAnsi="Times New Roman"/>
          <w:b/>
          <w:sz w:val="20"/>
        </w:rPr>
      </w:pPr>
      <w:r>
        <w:rPr>
          <w:rFonts w:ascii="Times New Roman" w:hAnsi="Times New Roman"/>
          <w:b/>
          <w:sz w:val="20"/>
        </w:rPr>
        <w:t xml:space="preserve">2026 Third Quarter Guidance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Tightens its Revenue range versus prior guidance and </w:t>
      </w:r>
    </w:p>
    <w:p>
      <w:pPr>
        <w:pStyle w:val="TextBody"/>
        <w:bidi w:val="0"/>
        <w:spacing w:before="0" w:after="0"/>
        <w:jc w:val="center"/>
        <w:rPr>
          <w:rFonts w:ascii="Times New Roman" w:hAnsi="Times New Roman"/>
          <w:b/>
          <w:i/>
          <w:sz w:val="20"/>
        </w:rPr>
      </w:pPr>
      <w:r>
        <w:rPr>
          <w:rFonts w:ascii="Times New Roman" w:hAnsi="Times New Roman"/>
          <w:b/>
          <w:i/>
          <w:sz w:val="20"/>
        </w:rPr>
        <w:t xml:space="preserve">provides Adjusted EBITDA Margin range of 13% to 14% </w:t>
      </w:r>
    </w:p>
    <w:p>
      <w:pPr>
        <w:pStyle w:val="TextBody"/>
        <w:bidi w:val="0"/>
        <w:spacing w:before="240" w:after="0"/>
        <w:jc w:val="left"/>
        <w:rPr>
          <w:rFonts w:ascii="Times New Roman" w:hAnsi="Times New Roman"/>
          <w:sz w:val="20"/>
        </w:rPr>
      </w:pPr>
      <w:r>
        <w:rPr>
          <w:rFonts w:ascii="Times New Roman" w:hAnsi="Times New Roman"/>
          <w:sz w:val="20"/>
        </w:rPr>
        <w:t xml:space="preserve">HOUSTON, TX – September 25, 2026 – KLX Energy Services Holdings, Inc. (Nasdaq: KLXE) (“KLX”, the “Company”, “we”, “us” or “our”) today announced it has updated its 2026 third quarter Revenue range to tighten its previously announced guidance; and provides Adjusted EBITDA Margin range for the third quarter that ends September 30, 2026.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2026 Guidance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3Q26 Revenue range is now $180 million to $185 million, representing a 9% sequential Revenue improvement over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3Q26 Adjusted EBITDA Margin range is 13% to 14%, representing an approximately 200 basis point sequential Adjusted EBITDA Margin improvement over second quarter of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Chris Baker, KLX President and Chief Executive Officer, stated, “Based on our quarter to date internal financials , we are very pleased with our performance thus far in the third quarter. Looking at our current internal forecast, we are narrowing our third quarter revenue guidance to a range of $180 million to $185 million. At the revised midpoint, we expect revenue will increase approximately 9% sequentially over the second quarter of 2026. </w:t>
      </w:r>
    </w:p>
    <w:p>
      <w:pPr>
        <w:pStyle w:val="TextBody"/>
        <w:bidi w:val="0"/>
        <w:spacing w:before="240" w:after="0"/>
        <w:jc w:val="left"/>
        <w:rPr/>
      </w:pPr>
      <w:r>
        <w:rPr/>
        <w:t>“</w:t>
      </w:r>
      <w:r>
        <w:rPr>
          <w:rFonts w:ascii="Times New Roman" w:hAnsi="Times New Roman"/>
          <w:sz w:val="20"/>
        </w:rPr>
        <w:t xml:space="preserve">We expect Adjusted EBITDA to improve by approximately 30% at the midpoint of the guidance range and Adjusted EBITDA Margin to improve approximately 200 basis points sequentially. </w:t>
      </w:r>
    </w:p>
    <w:p>
      <w:pPr>
        <w:pStyle w:val="TextBody"/>
        <w:bidi w:val="0"/>
        <w:spacing w:before="240" w:after="0"/>
        <w:jc w:val="left"/>
        <w:rPr/>
      </w:pPr>
      <w:r>
        <w:rPr/>
        <w:t>“</w:t>
      </w:r>
      <w:r>
        <w:rPr>
          <w:rFonts w:ascii="Times New Roman" w:hAnsi="Times New Roman"/>
          <w:sz w:val="20"/>
        </w:rPr>
        <w:t xml:space="preserve">We are also benefiting from a full quarter of contribution from the Wolf Pack acquisition, and we remain on track to achieve the $2.5 million annual synergy target announced in August. These updated ranges for the third quarter reinforce our confidence in the earnings trajectory of the business and support the strategic actions we have taken to position KLX for the next phase of growth. </w:t>
      </w:r>
    </w:p>
    <w:p>
      <w:pPr>
        <w:pStyle w:val="TextBody"/>
        <w:bidi w:val="0"/>
        <w:spacing w:before="240" w:after="0"/>
        <w:jc w:val="left"/>
        <w:rPr/>
      </w:pPr>
      <w:r>
        <w:rPr/>
        <w:t>“</w:t>
      </w:r>
      <w:r>
        <w:rPr>
          <w:rFonts w:ascii="Times New Roman" w:hAnsi="Times New Roman"/>
          <w:sz w:val="20"/>
        </w:rPr>
        <w:t xml:space="preserve">Lastly, the offering period for the Company’s $125 million equity rights offering has ended and we are proud to have achieved the Company’s objectives. This is a transformational step in the Company’s strategy to delever and positions KLX to execute on organic and inorganic growth. We sincerely thank our stockholders and creditors for their confidence in the Company and we appreciate the broad participation across the investor base including existing and new stockholders, creditors, the board, management and our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KLX Energy Services Holdings, Inc. </w:t>
      </w:r>
    </w:p>
    <w:p>
      <w:pPr>
        <w:pStyle w:val="TextBody"/>
        <w:bidi w:val="0"/>
        <w:spacing w:before="120" w:after="0"/>
        <w:jc w:val="left"/>
        <w:rPr>
          <w:rFonts w:ascii="Times New Roman" w:hAnsi="Times New Roman"/>
          <w:sz w:val="20"/>
        </w:rPr>
      </w:pPr>
      <w:r>
        <w:rPr>
          <w:rFonts w:ascii="Times New Roman" w:hAnsi="Times New Roman"/>
          <w:sz w:val="20"/>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hAnsi="Times New Roman"/>
          <w:sz w:val="20"/>
          <w:u w:val="single"/>
        </w:rPr>
        <w:t>www.klx.com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and Cautionary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Private Securities Litigation Reform Act of 1995 provides a “safe harbor” for forward-looking statements to encourage companies to provide prospective information to investors. This news release includes forward-looking statements that reflect our current expectations and projections about our future results, performance and prospects. Forward-looking statements include all statements that are not historical in nature and are not current facts. When used in this news release (and any oral statements made regarding the subjects of this release, including on the conference call announced herein),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with respect to, among other things: our operating cash flows; the availability of capital and our liquidity; our future revenue, income and operating performance; our ability to sustain and improve our utilization, revenue and margins; our ability to maintain acceptable pricing for our services; future capital expenditures; our ability to finance equipment, working capital and capital expenditures; our ability to execute our long-term growth strategy and to integrate our acquisitions; our ability to successfully develop our research and technology capabilities and implement technological developments and enhancements; and the timing and success of strategic initiatives and special projects.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assurances of future performance and actual results could differ materially from our historical experience and our present expectations or projections. These forward-looking statements are based on management’s current expectations and beliefs, forecasts for our existing operations, experience, expectations and perception of historical trends, current conditions, anticipated future developments and their effect on us and other factors believed to be appropriate. Although management believes the expectations and assumptions reflected in these forward-looking statements are reasonable as and when made, no assurance can be given that these assumptions are accurate or that any of these expectations will be achieved (in full or at all). Our forward-looking statements involve significant risks, contingencies and uncertainties, most of which are difficult to predict and many of which are beyond our control. Known material factors that could cause actual results to differ materially from those in the forward-looking statements include, but are not limited to, risks associated with the following: prevailing market conditions, the successfully meeting the closing conditions of the subscription rights offering and related Backstop Exchange, a decline in demand for our services, including due to overcapacity and other competitive factors affecting our industry; the cyclical nature and volatility of the oil and gas industry, which impacts the level of exploration, production and development activity and spending patterns by oil and natural gas exploration and production companies; a decline in, or substantial volatility of, crude oil and gas commodity prices, which generally leads to decreased spending by our customers and negatively impacts drilling, completion and production activity; inflation; changes in interest rates; the ongoing war in Ukraine and its continuing effects on global trade; the ongoing conflict and tensions in the Middle East, including the conflict with Iran; supply chain issues; general economic, financial and political conditions, including market volatility and the impact of the imposition of increased, new and retaliatory tariffs; and other risks and uncertainties listed in our filings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Securities and Exchange Commission, including our Current Reports on Form 8-K that we file from time to time, Quarterly Reports on Form 10-Q and Annual Report on Form 10-K. 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Regarding Guidance Updates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provide a detailed operational and financial update during its third quarter 2026 earnings call in November 2026. Closing procedures for the fiscal quarter ended September 30, 2026, are not yet complete. The updated guidance ranges contained in this news release reflect management’s estimates based solely upon information available to it as of the date of this news release and is not a comprehensive statement of the Company’s financial results for the three months ended September 30, 2026. The guidance presented herein should not be considered a substitute for full unaudited financial statements for the three months ended September 30, 2026, once they become available and should not be regarded as a representation by the Company or its management as to its actual financial results for the three months ended September 30, 2026. The guidance ranges described above constitute forward-looking statements. The guidance ranges presented herein are subject to change, and the Company’s actual financial results may differ from such guidance and such differences could be material. Accordingly, you should not place undue reliance upon these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Adjusted EBITDA and Adjusted EBITDA margin. Each of the metrics are “non-GAAP financial measures” as defined in Regulation G of the Securities Exchange Act of 1934. We have not provided reconciliations of our future expectations as to Adjusted EBITDA or Adjusted EBITDA margin as such reconciliation is not available without unreasonable efforts.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(v) costs incurred related to the COVID-19 pandemic and (vi) other expenses or charges to exclude certain items that we believe are not reflective of ongoing performance of our business. Adjusted EBITDA is used to calculate the Company’s leverage ratio, consistent with the terms of the Company’s ABL Facility. </w:t>
      </w:r>
    </w:p>
    <w:p>
      <w:pPr>
        <w:pStyle w:val="TextBody"/>
        <w:bidi w:val="0"/>
        <w:spacing w:before="240" w:after="0"/>
        <w:jc w:val="left"/>
        <w:rPr>
          <w:rFonts w:ascii="Times New Roman" w:hAnsi="Times New Roman"/>
          <w:sz w:val="20"/>
        </w:rPr>
      </w:pPr>
      <w:r>
        <w:rPr>
          <w:rFonts w:ascii="Times New Roman" w:hAnsi="Times New Roman"/>
          <w:sz w:val="20"/>
        </w:rPr>
        <w:t xml:space="preserve">We believe Adjusted EBITDA is useful because it allows us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 w:name="d149973dex992.htm"/>
      <w:bookmarkStart w:id="5" w:name="ksd149973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0"/>
        <w:gridCol w:w="120"/>
        <w:gridCol w:w="948"/>
        <w:gridCol w:w="120"/>
        <w:gridCol w:w="3907"/>
      </w:tblGrid>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5110" w:type="dxa"/>
            <w:vMerge w:val="restart"/>
            <w:tcBorders/>
          </w:tcPr>
          <w:p>
            <w:pPr>
              <w:pStyle w:val="TableContents"/>
              <w:bidi w:val="0"/>
              <w:spacing w:before="0" w:after="283"/>
              <w:jc w:val="left"/>
              <w:rPr/>
            </w:pPr>
            <w:r>
              <w:rPr/>
              <w:drawing>
                <wp:inline distT="0" distB="0" distL="0" distR="0">
                  <wp:extent cx="2348230" cy="911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48230" cy="9112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75" w:type="dxa"/>
            <w:gridSpan w:val="3"/>
            <w:tcBorders/>
          </w:tcPr>
          <w:p>
            <w:pPr>
              <w:pStyle w:val="TableContents"/>
              <w:bidi w:val="0"/>
              <w:spacing w:before="0" w:after="283"/>
              <w:jc w:val="left"/>
              <w:rPr>
                <w:b/>
                <w:i/>
              </w:rPr>
            </w:pPr>
            <w:r>
              <w:rPr>
                <w:b/>
                <w:i/>
              </w:rPr>
              <w:t>N</w:t>
            </w:r>
            <w:r>
              <w:rPr>
                <w:b/>
                <w:i/>
                <w:sz w:val="20"/>
              </w:rPr>
              <w:t>EWS</w:t>
            </w:r>
            <w:r>
              <w:rPr>
                <w:b/>
                <w:i/>
              </w:rPr>
              <w:t xml:space="preserve"> R</w:t>
            </w:r>
            <w:r>
              <w:rPr>
                <w:b/>
                <w:i/>
                <w:sz w:val="20"/>
              </w:rPr>
              <w:t>ELEASE</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Contacts:</w:t>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u w:val="single"/>
              </w:rPr>
            </w:pPr>
            <w:r>
              <w:rPr>
                <w:rFonts w:ascii="Times New Roman" w:hAnsi="Times New Roman"/>
                <w:sz w:val="20"/>
                <w:u w:val="single"/>
              </w:rPr>
              <w:t>KLX Energy Services</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pPr>
            <w:r>
              <w:rPr/>
              <w:t>Geoffrey C. Stanford, SVP, CAO &amp; Interim CFO</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pPr>
            <w:r>
              <w:rPr/>
              <w:t>(832) 930-8066</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u w:val="single"/>
              </w:rPr>
            </w:pPr>
            <w:r>
              <w:rPr>
                <w:u w:val="single"/>
              </w:rPr>
              <w:t>IR@klx.com</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u w:val="single"/>
              </w:rPr>
            </w:pPr>
            <w:r>
              <w:rPr>
                <w:rFonts w:ascii="Times New Roman" w:hAnsi="Times New Roman"/>
                <w:sz w:val="20"/>
                <w:u w:val="single"/>
              </w:rPr>
              <w:t>Dennard Lascar Investor Relations</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pPr>
            <w:r>
              <w:rPr/>
              <w:t>Ken Dennard / Natalie Hairston</w:t>
            </w:r>
          </w:p>
        </w:tc>
      </w:tr>
      <w:tr>
        <w:trPr/>
        <w:tc>
          <w:tcPr>
            <w:tcW w:w="511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pPr>
            <w:r>
              <w:rPr/>
              <w:t>(713) 529-6600</w:t>
            </w:r>
          </w:p>
        </w:tc>
      </w:tr>
      <w:tr>
        <w:trPr/>
        <w:tc>
          <w:tcPr>
            <w:tcW w:w="51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07" w:type="dxa"/>
            <w:tcBorders/>
          </w:tcPr>
          <w:p>
            <w:pPr>
              <w:pStyle w:val="TableContents"/>
              <w:bidi w:val="0"/>
              <w:spacing w:before="0" w:after="283"/>
              <w:jc w:val="left"/>
              <w:rPr>
                <w:u w:val="single"/>
              </w:rPr>
            </w:pPr>
            <w:r>
              <w:rPr>
                <w:u w:val="single"/>
              </w:rPr>
              <w:t>KLXE@dennardlascar.com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Announces Preliminary Results of Subscription Rights Offering </w:t>
      </w:r>
    </w:p>
    <w:p>
      <w:pPr>
        <w:pStyle w:val="TextBody"/>
        <w:bidi w:val="0"/>
        <w:spacing w:before="240" w:after="0"/>
        <w:jc w:val="left"/>
        <w:rPr>
          <w:rFonts w:ascii="Times New Roman" w:hAnsi="Times New Roman"/>
          <w:sz w:val="20"/>
        </w:rPr>
      </w:pPr>
      <w:r>
        <w:rPr>
          <w:rFonts w:ascii="Times New Roman" w:hAnsi="Times New Roman"/>
          <w:b/>
          <w:sz w:val="20"/>
        </w:rPr>
        <w:t>HOUSTON, TX – September</w:t>
      </w:r>
      <w:r>
        <w:rPr>
          <w:rFonts w:ascii="Times New Roman" w:hAnsi="Times New Roman"/>
          <w:sz w:val="20"/>
        </w:rPr>
        <w:t> </w:t>
      </w:r>
      <w:r>
        <w:rPr>
          <w:rFonts w:ascii="Times New Roman" w:hAnsi="Times New Roman"/>
          <w:b/>
          <w:sz w:val="20"/>
        </w:rPr>
        <w:t>25, 2026 – KLX Energy Services Holdings, Inc.</w:t>
      </w:r>
      <w:r>
        <w:rPr>
          <w:rFonts w:ascii="Times New Roman" w:hAnsi="Times New Roman"/>
          <w:sz w:val="20"/>
        </w:rPr>
        <w:t xml:space="preserve"> (NASDAQ: KLXE) (“KLX” or the “Company”) announced today the preliminary results of its previously announced subscription rights offering (the “Rights Offering”), which expired at 5:00 p.m., New York City time, on September 23, 2026 (the “Expiration Date”). Subscription rights that were not exercised by the Expiration Date have expired and are no longer exercisable. </w:t>
      </w:r>
    </w:p>
    <w:p>
      <w:pPr>
        <w:pStyle w:val="TextBody"/>
        <w:bidi w:val="0"/>
        <w:spacing w:before="240" w:after="0"/>
        <w:jc w:val="left"/>
        <w:rPr>
          <w:rFonts w:ascii="Times New Roman" w:hAnsi="Times New Roman"/>
          <w:sz w:val="20"/>
        </w:rPr>
      </w:pPr>
      <w:r>
        <w:rPr>
          <w:rFonts w:ascii="Times New Roman" w:hAnsi="Times New Roman"/>
          <w:sz w:val="20"/>
        </w:rPr>
        <w:t xml:space="preserve">According to Computershare Trust Company, N.A. (the “Subscription Agent”), as of the Expiration Date, 6,385,123 basic subscription rights were exercised to purchase an aggregate of 24,806,099 shares of the Company’s common stock, par value $0.01 per share (the “Common Stock”), and 168,902 additional shares of Common Stock were subscribed for pursuant to the over-subscription privilege. </w:t>
      </w:r>
    </w:p>
    <w:p>
      <w:pPr>
        <w:pStyle w:val="TextBody"/>
        <w:bidi w:val="0"/>
        <w:spacing w:before="240" w:after="0"/>
        <w:jc w:val="left"/>
        <w:rPr>
          <w:rFonts w:ascii="Times New Roman" w:hAnsi="Times New Roman"/>
          <w:sz w:val="20"/>
        </w:rPr>
      </w:pPr>
      <w:r>
        <w:rPr>
          <w:rFonts w:ascii="Times New Roman" w:hAnsi="Times New Roman"/>
          <w:sz w:val="20"/>
        </w:rPr>
        <w:t xml:space="preserve">In the aggregate, the Company is expected to issue 24,975,001 shares of Common Stock pursuant to the Rights Offering at the subscription price of $1.49 per whole share (the “Subscription Price”) for gross proceeds of $37.2 million to the Company. Of the $37.2 million gross cash proceeds from the Rights Offering, the Company expects to use $31.0 million for general corporate purposes, including to pay fees and expenses in connection with the Rights Offering, and $6.2 million to redeem the 2030 Notes (as defined below) at par, plus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Rights Offering and the Backstop Exchange (as defined below), the Company expects to have approximately 105.7 million shares of Common Stock issued and outstanding. Upon completion of the Backstop Exchange, the outstanding principal amount of the 2030 Notes will be reduced by $94.0 million as a result of the combination of par redemptions from excess proceeds in the Rights Offering and the exchange of 2030 Notes for Common Stock in the Backstop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the Subscription Agent to distribute the shares of Common Stock and the proceeds from the Rights Offering on or about September 29,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was backstopped by the existing holders (the “Backstop Parties”) of the Company’s Senior Secured Floating Rate Cash / PIK Notes due 2030 (the “2030 Notes”) in an aggregate backstop commitment amount of $94.0 million pursuant to a Rights Offering Backstop Agreement (the “Backstop Agreement”), which was reduced to $87.8 million as a result of $6.2 million of 2030 Notes redeemed with Rights Offering proceeds, with each individual Backstop Party subject to an aggregate 30% ownership limitation on a pro forma fully diluted basis. The Backstop Parties committed to purchase their respective backstop commitment amounts through an exchange of their 2030 Notes (at 100% of the principal amount thereof plus accrued and unpaid interest) for shares of Common Stock at the Subscription Price (the “Backstop Exchange”). An aggregate of approximately 59.3 million shares of Common Stock will be issued to the Backstop Parties in the Backstop Exchange. Upon completion of the Backstop Exchange, the Company will enter into an amended and restated indenture governing the 2030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Offering was made pursuant to the Company’s existing effective shelf registration statement on Form S-3 (Reg. No. 333-295905) on file with the Securities and Exchange Commission (the “SEC”) and the prospectus supplement (and the accompanying base prospectus) filed with the SEC on August 24, 2026 (collectively, the “Prospectus”). Additional information regarding the Rights Offering is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KLX Energy Services Holdings, Inc. </w:t>
      </w:r>
    </w:p>
    <w:p>
      <w:pPr>
        <w:pStyle w:val="TextBody"/>
        <w:bidi w:val="0"/>
        <w:spacing w:before="120" w:after="0"/>
        <w:jc w:val="left"/>
        <w:rPr>
          <w:rFonts w:ascii="Times New Roman" w:hAnsi="Times New Roman"/>
          <w:sz w:val="20"/>
        </w:rPr>
      </w:pPr>
      <w:r>
        <w:rPr>
          <w:rFonts w:ascii="Times New Roman" w:hAnsi="Times New Roman"/>
          <w:sz w:val="20"/>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hAnsi="Times New Roman"/>
          <w:sz w:val="20"/>
          <w:u w:val="single"/>
        </w:rPr>
        <w:t>www.klx.com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and the documents to which the Company refers you to in this release,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release that are not historical facts are forward-looking statements, including, without limitation, statements about the Company’s beliefs and expectations regarding the Rights Offering, including the use of proceeds therefrom.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and successfully meeting the closing conditions of the Rights Offering and the Backstop Exchange, as well as,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3583</Words>
  <Characters>20583</Characters>
  <CharactersWithSpaces>24203</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