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27"/>
        <w:gridCol w:w="1520"/>
        <w:gridCol w:w="3047"/>
        <w:gridCol w:w="2511"/>
      </w:tblGrid>
      <w:tr>
        <w:trPr/>
        <w:tc>
          <w:tcPr>
            <w:tcW w:w="312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pPr>
                  <w:hyperlink r:id="rId2">
                    <w:r>
                      <w:rPr>
                        <w:rStyle w:val="InternetLink"/>
                      </w:rPr>
                      <w:t>WHITEBOX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3033 EXCELSIOR BLVD.</w:t>
                  </w:r>
                </w:p>
              </w:tc>
            </w:tr>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00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09/29/2026</w:t>
            </w:r>
          </w:p>
        </w:tc>
        <w:tc>
          <w:tcPr>
            <w:tcW w:w="555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KLX Energy Services Holdings, Inc.</w:t>
              </w:r>
            </w:hyperlink>
            <w:r>
              <w:rPr/>
              <w:t xml:space="preserve"> [ </w:t>
            </w:r>
            <w:r>
              <w:rPr>
                <w:rFonts w:ascii="Times;serif" w:hAnsi="Times;serif"/>
                <w:color w:val="0000FF"/>
                <w:sz w:val="24"/>
                <w:shd w:fill="FFFFFF" w:val="clear"/>
              </w:rPr>
              <w:t>KLXE</w:t>
            </w:r>
            <w:r>
              <w:rPr/>
              <w:t xml:space="preserve"> ] </w:t>
              <w:br/>
            </w:r>
            <w:r>
              <w:rPr>
                <w:rFonts w:ascii="arial;helvetica;sans-serif" w:hAnsi="arial;helvetica;sans-serif"/>
                <w:sz w:val="20"/>
              </w:rPr>
              <w:t>Foreign Trading Symbol</w:t>
            </w:r>
          </w:p>
        </w:tc>
      </w:tr>
      <w:tr>
        <w:trPr/>
        <w:tc>
          <w:tcPr>
            <w:tcW w:w="3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4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5"/>
              <w:gridCol w:w="439"/>
              <w:gridCol w:w="1025"/>
            </w:tblGrid>
            <w:tr>
              <w:trPr/>
              <w:tc>
                <w:tcPr>
                  <w:tcW w:w="4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7"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2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4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7"/>
              <w:gridCol w:w="2034"/>
            </w:tblGrid>
            <w:tr>
              <w:trPr/>
              <w:tc>
                <w:tcPr>
                  <w:tcW w:w="35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13,055,633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directly owned by certain private investment funds (the "Private Funds") and may be deemed to be beneficially owned by Whitebox Advisors LLC by virtue of its role as the investment manager of the Private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its pecuniary interest therein, and this report shall not be deemed an admission that the Reporting Person is the beneficial owner of the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Whitebox Advisors LLC By: /s/ Muqu Karim, Chief Operating Officer &amp;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57391" TargetMode="External"/><Relationship Id="rId3" Type="http://schemas.openxmlformats.org/officeDocument/2006/relationships/hyperlink" Target="http://www.sec.gov/cgi-bin/browse-edgar?action=getcompany&amp;CIK=00017388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499</Words>
  <Characters>2740</Characters>
  <CharactersWithSpaces>3190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