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2</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Quintana Energy Services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 par value $0.01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74875T103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12/31/2024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74875T103</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Melqart Asset Management (UK) Ltd.</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UNITED KINGDOM</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FI, OO</w:t>
      </w:r>
    </w:p>
    <w:p>
      <w:pPr>
        <w:spacing w:after="0" w:line="200" w:lineRule="exact"/>
        <w:rPr>
          <w:sz w:val="20"/>
          <w:szCs w:val="20"/>
          <w:color w:val="auto"/>
        </w:rPr>
      </w:pPr>
    </w:p>
    <w:p>
      <w:pPr>
        <w:sectPr>
          <w:pgSz w:w="11900" w:h="16838" w:orient="portrait"/>
          <w:cols w:equalWidth="0" w:num="2">
            <w:col w:w="1060" w:space="60"/>
            <w:col w:w="9520"/>
          </w:cols>
          <w:pgMar w:left="360" w:top="166" w:right="89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Quintana Energy Services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1415 Louisiana Street, Suite 2900, Houston, TX 77002</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Melqart Asset Management (UK) Ltd.</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5 St James's Square, London, SW1Y 4JU.</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A company organized in England and Wales</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Stock, par value $0.01 per share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74875T103</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ectPr>
          <w:pgSz w:w="11900" w:h="16838" w:orient="portrait"/>
          <w:cols w:equalWidth="0" w:num="1">
            <w:col w:w="10640"/>
          </w:cols>
          <w:pgMar w:left="360" w:top="166" w:right="899" w:bottom="0" w:gutter="0" w:footer="0" w:header="0"/>
          <w:type w:val="continuous"/>
        </w:sectPr>
      </w:pPr>
    </w:p>
    <w:bookmarkStart w:id="2" w:name="page3"/>
    <w:bookmarkEnd w:id="2"/>
    <w:p>
      <w:pPr>
        <w:ind w:left="920" w:hanging="912"/>
        <w:spacing w:after="0"/>
        <w:tabs>
          <w:tab w:leader="none" w:pos="92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A savings associations as defined in Section 3(b) of the Federal Deposit Insurance Act (12 U.S.C. 1813);</w:t>
      </w:r>
    </w:p>
    <w:p>
      <w:pPr>
        <w:spacing w:after="0" w:line="62" w:lineRule="exact"/>
        <w:rPr>
          <w:rFonts w:ascii="Times New Roman" w:cs="Times New Roman" w:eastAsia="Times New Roman" w:hAnsi="Times New Roman"/>
          <w:sz w:val="21"/>
          <w:szCs w:val="21"/>
          <w:color w:val="auto"/>
        </w:rPr>
      </w:pPr>
    </w:p>
    <w:p>
      <w:pPr>
        <w:ind w:left="920" w:right="680" w:hanging="912"/>
        <w:spacing w:after="0" w:line="185" w:lineRule="auto"/>
        <w:tabs>
          <w:tab w:leader="none" w:pos="920" w:val="left"/>
        </w:tabs>
        <w:numPr>
          <w:ilvl w:val="0"/>
          <w:numId w:val="4"/>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NA</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0</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1140" w:hanging="214"/>
        <w:spacing w:after="0"/>
        <w:tabs>
          <w:tab w:leader="none" w:pos="1140" w:val="left"/>
        </w:tabs>
        <w:numPr>
          <w:ilvl w:val="1"/>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p>
    <w:p>
      <w:pPr>
        <w:spacing w:after="0" w:line="20"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rFonts w:ascii="Times New Roman" w:cs="Times New Roman" w:eastAsia="Times New Roman" w:hAnsi="Times New Roman"/>
          <w:sz w:val="22"/>
          <w:szCs w:val="22"/>
          <w:color w:val="auto"/>
        </w:rPr>
      </w:pPr>
    </w:p>
    <w:p>
      <w:pPr>
        <w:spacing w:after="0"/>
        <w:tabs>
          <w:tab w:leader="none" w:pos="0" w:val="left"/>
        </w:tabs>
        <w:numPr>
          <w:ilvl w:val="1"/>
          <w:numId w:val="6"/>
        </w:numPr>
        <w:rPr>
          <w:rFonts w:ascii="Times New Roman" w:cs="Times New Roman" w:eastAsia="Times New Roman" w:hAnsi="Times New Roman"/>
          <w:sz w:val="22"/>
          <w:szCs w:val="22"/>
          <w:color w:val="auto"/>
        </w:rPr>
      </w:pPr>
    </w:p>
    <w:p>
      <w:pPr>
        <w:spacing w:after="0" w:line="287"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(ii) 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tabs>
          <w:tab w:leader="none" w:pos="0" w:val="left"/>
        </w:tabs>
        <w:numPr>
          <w:ilvl w:val="1"/>
          <w:numId w:val="6"/>
        </w:numPr>
        <w:rPr>
          <w:rFonts w:ascii="Times New Roman" w:cs="Times New Roman" w:eastAsia="Times New Roman" w:hAnsi="Times New Roman"/>
          <w:sz w:val="22"/>
          <w:szCs w:val="22"/>
          <w:color w:val="auto"/>
        </w:rPr>
      </w:pPr>
    </w:p>
    <w:p>
      <w:pPr>
        <w:spacing w:after="0" w:line="287"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(iii) Sole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tabs>
          <w:tab w:leader="none" w:pos="0" w:val="left"/>
        </w:tabs>
        <w:numPr>
          <w:ilvl w:val="1"/>
          <w:numId w:val="6"/>
        </w:numPr>
        <w:rPr>
          <w:rFonts w:ascii="Times New Roman" w:cs="Times New Roman" w:eastAsia="Times New Roman" w:hAnsi="Times New Roman"/>
          <w:sz w:val="22"/>
          <w:szCs w:val="22"/>
          <w:color w:val="auto"/>
        </w:rPr>
      </w:pPr>
    </w:p>
    <w:p>
      <w:pPr>
        <w:spacing w:after="0" w:line="287"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(iv) 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tabs>
          <w:tab w:leader="none" w:pos="0" w:val="left"/>
        </w:tabs>
        <w:numPr>
          <w:ilvl w:val="1"/>
          <w:numId w:val="6"/>
        </w:numPr>
        <w:rPr>
          <w:rFonts w:ascii="Times New Roman" w:cs="Times New Roman" w:eastAsia="Times New Roman" w:hAnsi="Times New Roman"/>
          <w:sz w:val="22"/>
          <w:szCs w:val="22"/>
          <w:color w:val="auto"/>
        </w:rPr>
      </w:pPr>
    </w:p>
    <w:p>
      <w:pPr>
        <w:spacing w:after="0" w:line="287"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Ownership of 5 Percent or Less of a Class.</w:t>
      </w:r>
    </w:p>
    <w:p>
      <w:pPr>
        <w:spacing w:after="0" w:line="58"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-151130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ectPr>
          <w:pgSz w:w="11900" w:h="16838" w:orient="portrait"/>
          <w:cols w:equalWidth="0" w:num="1">
            <w:col w:w="11140"/>
          </w:cols>
          <w:pgMar w:left="360" w:top="126" w:right="399" w:bottom="0" w:gutter="0" w:footer="0" w:header="0"/>
        </w:sectPr>
      </w:pP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ectPr>
          <w:pgSz w:w="11900" w:h="16838" w:orient="portrait"/>
          <w:cols w:equalWidth="0" w:num="2">
            <w:col w:w="620" w:space="300"/>
            <w:col w:w="10220"/>
          </w:cols>
          <w:pgMar w:left="360" w:top="126" w:right="399" w:bottom="0" w:gutter="0" w:footer="0" w:header="0"/>
          <w:type w:val="continuous"/>
        </w:sect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22"/>
          <w:szCs w:val="22"/>
          <w:color w:val="auto"/>
        </w:rPr>
        <w:t>Melqart Asset Management (UK) Ltd.</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Julian Versteeg</w:t>
      </w:r>
    </w:p>
    <w:p>
      <w:pPr>
        <w:ind w:left="566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Julian Versteeg | General Counsel and Chief</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Compliance Officer</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02/11/2025</w:t>
      </w:r>
    </w:p>
    <w:p>
      <w:pPr>
        <w:sectPr>
          <w:pgSz w:w="11900" w:h="16838" w:orient="portrait"/>
          <w:cols w:equalWidth="0" w:num="1">
            <w:col w:w="11140"/>
          </w:cols>
          <w:pgMar w:left="360" w:top="126" w:right="399" w:bottom="0" w:gutter="0" w:footer="0" w:header="0"/>
          <w:type w:val="continuous"/>
        </w:sectPr>
      </w:pPr>
    </w:p>
    <w:bookmarkStart w:id="3" w:name="page4"/>
    <w:bookmarkEnd w:id="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1)"/>
      <w:numFmt w:val="lowerLetter"/>
      <w:start w:val="1"/>
    </w:lvl>
  </w:abstractNum>
  <w:abstractNum w:abstractNumId="3">
    <w:nsid w:val="46E87CCD"/>
    <w:multiLevelType w:val="hybridMultilevel"/>
    <w:lvl w:ilvl="0">
      <w:lvlJc w:val="left"/>
      <w:lvlText w:val="(%1)"/>
      <w:numFmt w:val="lowerLetter"/>
      <w:start w:val="8"/>
    </w:lvl>
  </w:abstractNum>
  <w:abstractNum w:abstractNumId="4">
    <w:nsid w:val="3D1B58BA"/>
    <w:multiLevelType w:val="hybridMultilevel"/>
    <w:lvl w:ilvl="0">
      <w:lvlJc w:val="left"/>
      <w:lvlText w:val="(%1)"/>
      <w:numFmt w:val="lowerLetter"/>
      <w:start w:val="11"/>
    </w:lvl>
  </w:abstractNum>
  <w:abstractNum w:abstractNumId="5">
    <w:nsid w:val="507ED7AB"/>
    <w:multiLevelType w:val="hybridMultilevel"/>
    <w:lvl w:ilvl="0">
      <w:lvlJc w:val="left"/>
      <w:lvlText w:val="(%1)"/>
      <w:numFmt w:val="lowerLetter"/>
      <w:start w:val="2"/>
    </w:lvl>
    <w:lvl w:ilvl="1">
      <w:lvlJc w:val="left"/>
      <w:lvlText w:val="0"/>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2025-02-11T08:39:45Z</dcterms:created>
  <dcterms:modified xsi:type="dcterms:W3CDTF">2025-02-11T08:39:45Z</dcterms:modified>
</cp:coreProperties>
</file>