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1" w:lineRule="exact"/>
        <w:rPr>
          <w:sz w:val="24"/>
          <w:szCs w:val="24"/>
          <w:color w:val="auto"/>
        </w:rPr>
      </w:pPr>
    </w:p>
    <w:p>
      <w:pPr>
        <w:ind w:left="3980" w:right="2280" w:hanging="3431"/>
        <w:spacing w:after="0" w:line="374" w:lineRule="auto"/>
        <w:tabs>
          <w:tab w:leader="none" w:pos="78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April 30, 2021</w:t>
      </w:r>
    </w:p>
    <w:p>
      <w:pPr>
        <w:spacing w:after="0" w:line="48"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83"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No. 001-38609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KLX Energy Services Holdings,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003" w:right="339" w:bottom="1440" w:gutter="0" w:footer="0" w:header="0"/>
        </w:sectPr>
      </w:pPr>
    </w:p>
    <w:p>
      <w:pPr>
        <w:spacing w:after="0" w:line="141"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36-4904146</w:t>
      </w:r>
    </w:p>
    <w:p>
      <w:pPr>
        <w:spacing w:after="0" w:line="53" w:lineRule="exact"/>
        <w:rPr>
          <w:sz w:val="24"/>
          <w:szCs w:val="24"/>
          <w:color w:val="auto"/>
        </w:rPr>
      </w:pPr>
    </w:p>
    <w:p>
      <w:pPr>
        <w:sectPr>
          <w:pgSz w:w="11900" w:h="16838" w:orient="portrait"/>
          <w:cols w:equalWidth="0" w:num="2">
            <w:col w:w="7220" w:space="720"/>
            <w:col w:w="3300"/>
          </w:cols>
          <w:pgMar w:left="320" w:top="1003" w:right="339" w:bottom="1440" w:gutter="0" w:footer="0" w:header="0"/>
          <w:type w:val="continuous"/>
        </w:sectPr>
      </w:pPr>
    </w:p>
    <w:p>
      <w:pPr>
        <w:ind w:left="206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003" w:right="339" w:bottom="1440" w:gutter="0" w:footer="0" w:header="0"/>
          <w:type w:val="continuous"/>
        </w:sectPr>
      </w:pP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3040 Post Oak Boulevard, 15th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Houston, TX 77056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(832) 844-1015</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principal executive offices of registrant)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gridSpan w:val="3"/>
          </w:tcPr>
          <w:p>
            <w:pPr>
              <w:ind w:left="1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6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5"/>
        </w:trPr>
        <w:tc>
          <w:tcPr>
            <w:tcW w:w="36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Common Stock, $0.01 Par Value</w:t>
            </w:r>
          </w:p>
        </w:tc>
        <w:tc>
          <w:tcPr>
            <w:tcW w:w="2480" w:type="dxa"/>
            <w:vAlign w:val="bottom"/>
            <w:gridSpan w:val="2"/>
          </w:tcPr>
          <w:p>
            <w:pPr>
              <w:jc w:val="center"/>
              <w:ind w:right="300"/>
              <w:spacing w:after="0"/>
              <w:rPr>
                <w:sz w:val="20"/>
                <w:szCs w:val="20"/>
                <w:color w:val="auto"/>
              </w:rPr>
            </w:pPr>
            <w:r>
              <w:rPr>
                <w:rFonts w:ascii="Arial" w:cs="Arial" w:eastAsia="Arial" w:hAnsi="Arial"/>
                <w:sz w:val="16"/>
                <w:szCs w:val="16"/>
                <w:color w:val="auto"/>
              </w:rPr>
              <w:t>KLXE</w:t>
            </w:r>
          </w:p>
        </w:tc>
        <w:tc>
          <w:tcPr>
            <w:tcW w:w="5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30" w:lineRule="exact"/>
        <w:rPr>
          <w:sz w:val="24"/>
          <w:szCs w:val="24"/>
          <w:color w:val="auto"/>
        </w:rPr>
      </w:pPr>
    </w:p>
    <w:p>
      <w:pPr>
        <w:jc w:val="both"/>
        <w:spacing w:after="0" w:line="19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ind w:right="50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25" w:lineRule="exact"/>
        <w:rPr>
          <w:sz w:val="24"/>
          <w:szCs w:val="24"/>
          <w:color w:val="auto"/>
        </w:rPr>
      </w:pPr>
    </w:p>
    <w:p>
      <w:pPr>
        <w:ind w:left="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65"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spacing w:after="0" w:line="30" w:lineRule="exact"/>
        <w:rPr>
          <w:sz w:val="24"/>
          <w:szCs w:val="24"/>
          <w:color w:val="auto"/>
        </w:rPr>
      </w:pPr>
    </w:p>
    <w:p>
      <w:pPr>
        <w:ind w:left="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06"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ind w:left="764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1003" w:right="339" w:bottom="1440" w:gutter="0" w:footer="0" w:header="0"/>
          <w:type w:val="continuous"/>
        </w:sectPr>
      </w:pPr>
    </w:p>
    <w:p>
      <w:pPr>
        <w:spacing w:after="0" w:line="374" w:lineRule="exact"/>
        <w:rPr>
          <w:sz w:val="24"/>
          <w:szCs w:val="24"/>
          <w:color w:val="auto"/>
        </w:rPr>
      </w:pPr>
    </w:p>
    <w:p>
      <w:pPr>
        <w:ind w:firstLine="241"/>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6"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The registrant has one class of common stock, $0.01 par value, of which 8,831,007 shares were outstanding as of June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521970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20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Balance Sheets as of April 30, 2021 and January 31, 2021</w:t>
              </w:r>
            </w:hyperlink>
          </w:p>
        </w:tc>
        <w:tc>
          <w:tcPr>
            <w:tcW w:w="480" w:type="dxa"/>
            <w:vAlign w:val="bottom"/>
            <w:tcBorders>
              <w:top w:val="single" w:sz="8" w:color="0000FF"/>
            </w:tcBorders>
            <w:gridSpan w:val="2"/>
          </w:tcPr>
          <w:p>
            <w:pPr>
              <w:spacing w:after="0"/>
              <w:rPr>
                <w:sz w:val="18"/>
                <w:szCs w:val="18"/>
                <w:color w:val="auto"/>
              </w:rPr>
            </w:pPr>
          </w:p>
        </w:tc>
        <w:tc>
          <w:tcPr>
            <w:tcW w:w="53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Statements of Operations for the Three Months Ended April 30, 2021 and 2020</w:t>
              </w:r>
            </w:hyperlink>
          </w:p>
        </w:tc>
        <w:tc>
          <w:tcPr>
            <w:tcW w:w="416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40" w:type="dxa"/>
            <w:vAlign w:val="bottom"/>
            <w:tcBorders>
              <w:bottom w:val="single" w:sz="8" w:color="0000FF"/>
            </w:tcBorders>
            <w:gridSpan w:val="20"/>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 xml:space="preserve">Statements of Stockholders' Equity (Deficit) for the </w:t>
              </w:r>
            </w:hyperlink>
            <w:hyperlink w:anchor="page3">
              <w:r>
                <w:rPr>
                  <w:rFonts w:ascii="Arial" w:cs="Arial" w:eastAsia="Arial" w:hAnsi="Arial"/>
                  <w:sz w:val="18"/>
                  <w:szCs w:val="18"/>
                  <w:color w:val="0000FF"/>
                  <w:w w:val="98"/>
                </w:rPr>
                <w:t>Three Months Ended April 30, 2021 and 2020</w:t>
              </w:r>
            </w:hyperlink>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0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 xml:space="preserve">Statements of Cash Flows </w:t>
              </w:r>
            </w:hyperlink>
            <w:hyperlink w:anchor="page3">
              <w:r>
                <w:rPr>
                  <w:rFonts w:ascii="Arial" w:cs="Arial" w:eastAsia="Arial" w:hAnsi="Arial"/>
                  <w:sz w:val="18"/>
                  <w:szCs w:val="18"/>
                  <w:color w:val="0000FF"/>
                  <w:w w:val="98"/>
                </w:rPr>
                <w:t>for the Three Months Ended April 30, 2021 and 2020</w:t>
              </w:r>
            </w:hyperlink>
          </w:p>
        </w:tc>
        <w:tc>
          <w:tcPr>
            <w:tcW w:w="41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Notes to Condensed Consolidated Financial Statements</w:t>
              </w:r>
            </w:hyperlink>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20"/>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Item 2. Management’s Discussion and Analysis of Financial Condition and Results of Operations</w:t>
              </w:r>
            </w:hyperlink>
          </w:p>
        </w:tc>
        <w:tc>
          <w:tcPr>
            <w:tcW w:w="3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 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4. Controls and Procedures</w:t>
              </w:r>
            </w:hyperlink>
          </w:p>
        </w:tc>
        <w:tc>
          <w:tcPr>
            <w:tcW w:w="2680" w:type="dxa"/>
            <w:vAlign w:val="bottom"/>
            <w:tcBorders>
              <w:top w:val="single" w:sz="8" w:color="0000FF"/>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r>
      <w:tr>
        <w:trPr>
          <w:trHeight w:val="207"/>
        </w:trPr>
        <w:tc>
          <w:tcPr>
            <w:tcW w:w="11000" w:type="dxa"/>
            <w:vAlign w:val="bottom"/>
            <w:gridSpan w:val="2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 OTHER INFORMATION</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1. Legal Proceedings</w:t>
              </w:r>
            </w:hyperlink>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 Risk Factors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 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4820" w:type="dxa"/>
            <w:vAlign w:val="bottom"/>
            <w:tcBorders>
              <w:top w:val="single" w:sz="8" w:color="0000FF"/>
            </w:tcBorders>
            <w:gridSpan w:val="15"/>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524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1940" w:type="dxa"/>
            <w:vAlign w:val="bottom"/>
            <w:tcBorders>
              <w:top w:val="single" w:sz="8" w:color="0000FF"/>
              <w:bottom w:val="single" w:sz="8" w:color="0000FF"/>
            </w:tcBorders>
            <w:gridSpan w:val="7"/>
          </w:tcPr>
          <w:p>
            <w:pPr>
              <w:ind w:left="20"/>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Mine Safety Disclosures</w:t>
              </w:r>
            </w:hyperlink>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10060" w:type="dxa"/>
            <w:vAlign w:val="bottom"/>
            <w:gridSpan w:val="20"/>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1400" w:type="dxa"/>
            <w:vAlign w:val="bottom"/>
            <w:tcBorders>
              <w:top w:val="single" w:sz="8" w:color="0000FF"/>
            </w:tcBorders>
            <w:gridSpan w:val="4"/>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April 30, 2021</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194"/>
        </w:trPr>
        <w:tc>
          <w:tcPr>
            <w:tcW w:w="7120" w:type="dxa"/>
            <w:vAlign w:val="bottom"/>
          </w:tcPr>
          <w:p>
            <w:pPr>
              <w:ind w:left="53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receivable–trade, net of allowance of $5.9 and $6.5</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7"/>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712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1"/>
        </w:trPr>
        <w:tc>
          <w:tcPr>
            <w:tcW w:w="7120" w:type="dxa"/>
            <w:vAlign w:val="bottom"/>
            <w:shd w:val="clear" w:color="auto" w:fill="CCEEFF"/>
          </w:tcPr>
          <w:p>
            <w:pPr>
              <w:ind w:left="354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20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(DEFICIT)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1"/>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capital leases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243.9</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capital lease obligations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11)</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 110.0 authorized; 9.1 and 8.6 issued</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469.1</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0.3 shares and 0.3 shares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1"/>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(433.1)</w:t>
            </w:r>
          </w:p>
        </w:tc>
      </w:tr>
      <w:tr>
        <w:trPr>
          <w:trHeight w:val="20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10"/>
        </w:trPr>
        <w:tc>
          <w:tcPr>
            <w:tcW w:w="712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 (deficit)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2021</w:t>
            </w:r>
          </w:p>
        </w:tc>
        <w:tc>
          <w:tcPr>
            <w:tcW w:w="280" w:type="dxa"/>
            <w:vAlign w:val="bottom"/>
          </w:tcPr>
          <w:p>
            <w:pPr>
              <w:spacing w:after="0"/>
              <w:rPr>
                <w:sz w:val="18"/>
                <w:szCs w:val="18"/>
                <w:color w:val="auto"/>
              </w:rPr>
            </w:pPr>
          </w:p>
        </w:tc>
        <w:tc>
          <w:tcPr>
            <w:tcW w:w="1620" w:type="dxa"/>
            <w:vAlign w:val="bottom"/>
          </w:tcPr>
          <w:p>
            <w:pPr>
              <w:jc w:val="right"/>
              <w:ind w:right="360"/>
              <w:spacing w:after="0"/>
              <w:rPr>
                <w:sz w:val="20"/>
                <w:szCs w:val="20"/>
                <w:color w:val="auto"/>
              </w:rPr>
            </w:pPr>
            <w:r>
              <w:rPr>
                <w:rFonts w:ascii="Arial" w:cs="Arial" w:eastAsia="Arial" w:hAnsi="Arial"/>
                <w:sz w:val="16"/>
                <w:szCs w:val="16"/>
                <w:b w:val="1"/>
                <w:bCs w:val="1"/>
                <w:color w:val="auto"/>
              </w:rPr>
              <w:t>April 30, 2020</w:t>
            </w:r>
          </w:p>
        </w:tc>
      </w:tr>
      <w:tr>
        <w:trPr>
          <w:trHeight w:val="208"/>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4"/>
        </w:trPr>
        <w:tc>
          <w:tcPr>
            <w:tcW w:w="7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 (exclusive of items shown separately below)</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11"/>
        </w:trPr>
        <w:tc>
          <w:tcPr>
            <w:tcW w:w="73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7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1"/>
        </w:trPr>
        <w:tc>
          <w:tcPr>
            <w:tcW w:w="734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4"/>
        </w:trPr>
        <w:tc>
          <w:tcPr>
            <w:tcW w:w="7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(235.6)</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1"/>
        </w:trPr>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11"/>
        </w:trPr>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9"/>
        </w:trPr>
        <w:tc>
          <w:tcPr>
            <w:tcW w:w="7340" w:type="dxa"/>
            <w:vAlign w:val="bottom"/>
            <w:tcBorders>
              <w:bottom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Net loss per share-basic </w:t>
            </w:r>
            <w:r>
              <w:rPr>
                <w:rFonts w:ascii="Arial" w:cs="Arial" w:eastAsia="Arial" w:hAnsi="Arial"/>
                <w:sz w:val="20"/>
                <w:szCs w:val="20"/>
                <w:color w:val="auto"/>
                <w:vertAlign w:val="superscript"/>
              </w:rPr>
              <w:t>(1)</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34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Net loss per share-diluted </w:t>
            </w:r>
            <w:r>
              <w:rPr>
                <w:rFonts w:ascii="Arial" w:cs="Arial" w:eastAsia="Arial" w:hAnsi="Arial"/>
                <w:sz w:val="20"/>
                <w:szCs w:val="20"/>
                <w:color w:val="auto"/>
                <w:vertAlign w:val="superscript"/>
              </w:rPr>
              <w:t>(1)</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(52.60)</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right="100" w:firstLine="7"/>
        <w:spacing w:after="0" w:line="256" w:lineRule="auto"/>
        <w:tabs>
          <w:tab w:leader="none" w:pos="241"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Basic and diluted net loss per share for the three months ended April 30, 2020 were retroactively adjusted for the Company’s 1-for-5 Reverse Stock Split effective July 28, 2020. See Note 1.</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40" w:right="2660"/>
        <w:spacing w:after="0" w:line="257" w:lineRule="auto"/>
        <w:rPr>
          <w:sz w:val="20"/>
          <w:szCs w:val="20"/>
          <w:color w:val="auto"/>
        </w:rPr>
      </w:pPr>
      <w:r>
        <w:rPr>
          <w:rFonts w:ascii="Arial" w:cs="Arial" w:eastAsia="Arial" w:hAnsi="Arial"/>
          <w:sz w:val="18"/>
          <w:szCs w:val="18"/>
          <w:b w:val="1"/>
          <w:bCs w:val="1"/>
          <w:color w:val="auto"/>
        </w:rPr>
        <w:t>KLX Energy Services Holdings, Inc. Condensed Consolidated Statements of Stockholders' Equity (Deficit) Three Months Ended April 30, 2021 and 2020 (</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7"/>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tcBorders>
              <w:bottom w:val="single" w:sz="8" w:color="auto"/>
            </w:tcBorders>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60"/>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160"/>
              <w:spacing w:after="0" w:line="161" w:lineRule="exact"/>
              <w:rPr>
                <w:sz w:val="20"/>
                <w:szCs w:val="20"/>
                <w:color w:val="auto"/>
              </w:rPr>
            </w:pPr>
            <w:r>
              <w:rPr>
                <w:rFonts w:ascii="Arial" w:cs="Arial" w:eastAsia="Arial" w:hAnsi="Arial"/>
                <w:sz w:val="16"/>
                <w:szCs w:val="16"/>
                <w:b w:val="1"/>
                <w:bCs w:val="1"/>
                <w:color w:val="auto"/>
                <w:w w:val="97"/>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jc w:val="right"/>
              <w:ind w:right="10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jc w:val="right"/>
              <w:ind w:right="60"/>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(4.0)</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(433.1)</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April 30,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(4.3)</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(469.9)</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6"/>
            <w:vMerge w:val="restart"/>
          </w:tcPr>
          <w:p>
            <w:pPr>
              <w:jc w:val="right"/>
              <w:ind w:right="540"/>
              <w:spacing w:after="0"/>
              <w:rPr>
                <w:sz w:val="20"/>
                <w:szCs w:val="20"/>
                <w:color w:val="auto"/>
              </w:rPr>
            </w:pPr>
            <w:r>
              <w:rPr>
                <w:rFonts w:ascii="Arial" w:cs="Arial" w:eastAsia="Arial" w:hAnsi="Arial"/>
                <w:sz w:val="16"/>
                <w:szCs w:val="16"/>
                <w:b w:val="1"/>
                <w:bCs w:val="1"/>
                <w:color w:val="auto"/>
              </w:rPr>
              <w:t>Common Stock</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6"/>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ind w:left="4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Stock</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60"/>
              <w:spacing w:after="0"/>
              <w:rPr>
                <w:sz w:val="20"/>
                <w:szCs w:val="20"/>
                <w:color w:val="auto"/>
              </w:rPr>
            </w:pPr>
            <w:r>
              <w:rPr>
                <w:rFonts w:ascii="Arial" w:cs="Arial" w:eastAsia="Arial" w:hAnsi="Arial"/>
                <w:sz w:val="16"/>
                <w:szCs w:val="16"/>
                <w:color w:val="auto"/>
              </w:rPr>
              <w:t>Balance at April 30, 2020</w:t>
            </w: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415.9</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(344.0)</w:t>
            </w: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30, 2021</w:t>
            </w:r>
          </w:p>
        </w:tc>
        <w:tc>
          <w:tcPr>
            <w:tcW w:w="280" w:type="dxa"/>
            <w:vAlign w:val="bottom"/>
          </w:tcPr>
          <w:p>
            <w:pPr>
              <w:spacing w:after="0"/>
              <w:rPr>
                <w:sz w:val="18"/>
                <w:szCs w:val="18"/>
                <w:color w:val="auto"/>
              </w:rPr>
            </w:pPr>
          </w:p>
        </w:tc>
        <w:tc>
          <w:tcPr>
            <w:tcW w:w="1640" w:type="dxa"/>
            <w:vAlign w:val="bottom"/>
          </w:tcPr>
          <w:p>
            <w:pPr>
              <w:jc w:val="right"/>
              <w:ind w:right="360"/>
              <w:spacing w:after="0"/>
              <w:rPr>
                <w:sz w:val="20"/>
                <w:szCs w:val="20"/>
                <w:color w:val="auto"/>
              </w:rPr>
            </w:pPr>
            <w:r>
              <w:rPr>
                <w:rFonts w:ascii="Arial" w:cs="Arial" w:eastAsia="Arial" w:hAnsi="Arial"/>
                <w:sz w:val="16"/>
                <w:szCs w:val="16"/>
                <w:b w:val="1"/>
                <w:bCs w:val="1"/>
                <w:color w:val="auto"/>
              </w:rPr>
              <w:t>April 30, 2020</w:t>
            </w:r>
          </w:p>
        </w:tc>
      </w:tr>
      <w:tr>
        <w:trPr>
          <w:trHeight w:val="194"/>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11"/>
        </w:trPr>
        <w:tc>
          <w:tcPr>
            <w:tcW w:w="7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(243.1)</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provided by operating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Provision for inventory reserve</w:t>
            </w:r>
          </w:p>
        </w:tc>
        <w:tc>
          <w:tcPr>
            <w:tcW w:w="2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(Gain) loss on disposal of property, equipment and other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73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1"/>
        </w:trPr>
        <w:tc>
          <w:tcPr>
            <w:tcW w:w="730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1"/>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1"/>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19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4"/>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1"/>
        </w:trPr>
        <w:tc>
          <w:tcPr>
            <w:tcW w:w="7300" w:type="dxa"/>
            <w:vAlign w:val="bottom"/>
          </w:tcPr>
          <w:p>
            <w:pPr>
              <w:ind w:left="220"/>
              <w:spacing w:after="0"/>
              <w:rPr>
                <w:sz w:val="20"/>
                <w:szCs w:val="20"/>
                <w:color w:val="auto"/>
              </w:rPr>
            </w:pPr>
            <w:r>
              <w:rPr>
                <w:rFonts w:ascii="Arial" w:cs="Arial" w:eastAsia="Arial" w:hAnsi="Arial"/>
                <w:sz w:val="16"/>
                <w:szCs w:val="16"/>
                <w:color w:val="auto"/>
              </w:rPr>
              <w:t>Payments on capital lease obligations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to financed payables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financing activities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1"/>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3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7300" w:type="dxa"/>
            <w:vAlign w:val="bottom"/>
          </w:tcPr>
          <w:p>
            <w:pPr>
              <w:ind w:left="20"/>
              <w:spacing w:after="0"/>
              <w:rPr>
                <w:sz w:val="20"/>
                <w:szCs w:val="20"/>
                <w:color w:val="auto"/>
              </w:rPr>
            </w:pPr>
            <w:r>
              <w:rPr>
                <w:rFonts w:ascii="Arial" w:cs="Arial" w:eastAsia="Arial" w:hAnsi="Arial"/>
                <w:sz w:val="16"/>
                <w:szCs w:val="16"/>
                <w:color w:val="auto"/>
              </w:rPr>
              <w:t>Cash paid during period for:</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3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7300" w:type="dxa"/>
            <w:vAlign w:val="bottom"/>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of U.S. dollars)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2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coiled-tubing, directional drilling, thru-tubing, hydraulic fracturing rentals, fishing, pressure control, wireline, rig-assisted snubbing, fluid pumping, flowback, testing, pressure pumping and well control services. KLXE’s primary rentals include hydraulic fracturing stacks, blow out preventers, tubulars, downhole tools, and accommodation units. KLXE's primary product offering includes a suite of proprietary dissolvable and composite plugs along with liner hangers, stage cementing tools, inflatables, and float/casing equipment.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24, 2020,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The Board subsequently resolved to implement the Reverse Stock Split at a ratio of 1-for-5.</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On July 28, 2020, immediately prior to the consummation of the Merger, the Reverse Stock Split Amendment became effective and thereby effectuated the 1-for-5 Reverse Stock Split of the Company’s issued and outstanding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2021 or for any future period. The information included in these condensed consolidated financial statements should be read in conjunction with the consolidated financial statements and accompanying notes included in the Company’s 2020 Annual Report on Form 10-K filed with the SEC on April 28, 2021.</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unaudited condensed consolidated financial statements present the consolidated KLXE and QES financial position as of April 30, 2021 and January 31, 2021, and the condensed consolidated statements of operations and cash flows for the three months ended April 30, 2021 include an entire quarter of combined results for both legacy KLXE and legacy QES. The condensed consolidated statements of operations and cash flows for the three months ended April 30, 2020 does not include combined results for legacy QES.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for additional information. As a result of the change in presentation, the total corporate overhead costs allocated for the three months ended April 30, 2020 to the Company’s three reportable segments decreased $8.8.</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three months ended April 30, 2020, the total drilling revenues reported within segment reporting was $6.8.</w:t>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condensed consolidated financial statements.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February 1, 2022. While the exact impact of this standard is not known, the guidance is not expected to have a material impact on the Company’s condensed consolidated financial statements.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April 30, 2021 had a third-party accounts receivable balance, net of allowance, of $70.2. Topic 326 is not expected to have a material impact on the Company’s condensed consolidated financial statements.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 and qualitative disclosures surrounding leases. Topic 842 will be applied using a 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condensed consolidated financial statements as of its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with cash paid to settle QES debt, comprised of 3.4 million shares of the Company’s common stock. Based on the Company’s preliminary purchase price allocation, the purchase price was less than the fair value of the identifiable assets acquired, which resulted in a $40.3 bargain purchase gain being recorded in fiscal 2020.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$0.4 was allocated to the purchase price, and $1.6 relating to post-acquisition services will be recorded as operating expenses over the remaining requisite service periods. As of the Merger date, each unvested QES RSU was converted into a KLXE RSU award at a conversion rate of 0.0969 and valued on July 28, 2020.</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condensed consolidated statements of operations from the respective date of acquisition.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during the second quarter of 2021. The following table summarizes the fair values of assets acquired and liabilities assumed in the Merger in accordance with ASC 805: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QES</w:t>
            </w:r>
          </w:p>
        </w:tc>
      </w:tr>
      <w:tr>
        <w:trPr>
          <w:trHeight w:val="210"/>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1"/>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r>
      <w:tr>
        <w:trPr>
          <w:trHeight w:val="235"/>
        </w:trPr>
        <w:tc>
          <w:tcPr>
            <w:tcW w:w="9640" w:type="dxa"/>
            <w:vAlign w:val="bottom"/>
            <w:tcBorders>
              <w:bottom w:val="single" w:sz="8" w:color="CCEEFF"/>
            </w:tcBorders>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0"/>
                <w:szCs w:val="20"/>
                <w:color w:val="auto"/>
                <w:vertAlign w:val="superscript"/>
              </w:rPr>
              <w:t>(1)</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20" w:firstLine="7"/>
        <w:spacing w:after="0" w:line="255" w:lineRule="auto"/>
        <w:tabs>
          <w:tab w:leader="none" w:pos="28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consideration of the Merger was approximately $44.4, which was comprised of 3.4 million shares of the Company's common stock and cash paid to settle QES debt.</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substantially integrated portions of the QES business and, as a result, it is not practicable to report stand-alone revenues and operating (loss) earnings of the QES business since the Merger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pro forma basis to give effect to the Merger, as if it occurred on February 1, 2020, revenues, net loss and loss per diluted share for the three months ended April 30, 2020 would have been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Unaudited Pro Forma</w:t>
            </w:r>
          </w:p>
        </w:tc>
      </w:tr>
      <w:tr>
        <w:trPr>
          <w:trHeight w:val="210"/>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8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April 30, 2020</w:t>
            </w:r>
          </w:p>
        </w:tc>
      </w:tr>
      <w:tr>
        <w:trPr>
          <w:trHeight w:val="208"/>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CEEFF"/>
          </w:tcPr>
          <w:p>
            <w:pPr>
              <w:jc w:val="center"/>
              <w:ind w:left="1780"/>
              <w:spacing w:after="0"/>
              <w:rPr>
                <w:sz w:val="20"/>
                <w:szCs w:val="20"/>
                <w:color w:val="auto"/>
              </w:rPr>
            </w:pPr>
            <w:r>
              <w:rPr>
                <w:rFonts w:ascii="Arial" w:cs="Arial" w:eastAsia="Arial" w:hAnsi="Arial"/>
                <w:sz w:val="16"/>
                <w:szCs w:val="16"/>
                <w:color w:val="auto"/>
                <w:w w:val="99"/>
              </w:rPr>
              <w:t>158.2</w:t>
            </w:r>
          </w:p>
        </w:tc>
      </w:tr>
      <w:tr>
        <w:trPr>
          <w:trHeight w:val="211"/>
        </w:trPr>
        <w:tc>
          <w:tcPr>
            <w:tcW w:w="8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spacing w:after="0"/>
              <w:rPr>
                <w:sz w:val="18"/>
                <w:szCs w:val="18"/>
                <w:color w:val="auto"/>
              </w:rPr>
            </w:pPr>
          </w:p>
        </w:tc>
        <w:tc>
          <w:tcPr>
            <w:tcW w:w="2420" w:type="dxa"/>
            <w:vAlign w:val="bottom"/>
          </w:tcPr>
          <w:p>
            <w:pPr>
              <w:jc w:val="center"/>
              <w:ind w:left="1780"/>
              <w:spacing w:after="0"/>
              <w:rPr>
                <w:sz w:val="20"/>
                <w:szCs w:val="20"/>
                <w:color w:val="auto"/>
              </w:rPr>
            </w:pPr>
            <w:r>
              <w:rPr>
                <w:rFonts w:ascii="Arial" w:cs="Arial" w:eastAsia="Arial" w:hAnsi="Arial"/>
                <w:sz w:val="16"/>
                <w:szCs w:val="16"/>
                <w:color w:val="auto"/>
              </w:rPr>
              <w:t>(264.4)</w:t>
            </w: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diluted share</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780"/>
              <w:spacing w:after="0"/>
              <w:rPr>
                <w:sz w:val="20"/>
                <w:szCs w:val="20"/>
                <w:color w:val="auto"/>
              </w:rPr>
            </w:pPr>
            <w:r>
              <w:rPr>
                <w:rFonts w:ascii="Arial" w:cs="Arial" w:eastAsia="Arial" w:hAnsi="Arial"/>
                <w:sz w:val="16"/>
                <w:szCs w:val="16"/>
                <w:color w:val="auto"/>
              </w:rPr>
              <w:t>(33.47)</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and Integration Costs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Merger and integration costs were recorded separately from the acquisition of assets and assumptions of liabilities in the Merger. Merger costs consist of legal and professional fees and accelerated stock compensation expense. Integration costs consist of expenses to relocate corporate headquarters, integrate the QES business, reduce headcount, and consolidate service and support facilities.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Merger and integration costs totaled $1.8 for the three months ended April 30, 2021. $1.1 was recorded to cost of sales in the interim condensed consolidated statements of operations for the three months ended April 30, 2021. $0.1 was recorded to selling, general and administrative in the interim condensed consolidated statements of operations for the three months ended April 30, 2021. Lease termination costs of $0.6 was recorded to impairment and other charges in the interim condensed consolidated statements of operations for the three months ended April 30, 2021.</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Company continues to integrate the QES business, there will be further charges in future periods relating to, among other things, fixed assets, facilities, workforce reductions and other assets.</w:t>
      </w:r>
    </w:p>
    <w:p>
      <w:pPr>
        <w:sectPr>
          <w:pgSz w:w="11900" w:h="16838" w:orient="portrait"/>
          <w:cols w:equalWidth="0" w:num="1">
            <w:col w:w="11240"/>
          </w:cols>
          <w:pgMar w:left="320" w:top="14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April 30, 2021 and January 31, 2021, accrued lease termination costs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33590"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as of January 31, 2021</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Charged (credited)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3590" cy="13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Deductions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 as of April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jc w:val="right"/>
              <w:ind w:right="980"/>
              <w:spacing w:after="0"/>
              <w:rPr>
                <w:sz w:val="20"/>
                <w:szCs w:val="20"/>
                <w:color w:val="auto"/>
              </w:rPr>
            </w:pPr>
            <w:r>
              <w:rPr>
                <w:rFonts w:ascii="Arial" w:cs="Arial" w:eastAsia="Arial" w:hAnsi="Arial"/>
                <w:sz w:val="16"/>
                <w:szCs w:val="16"/>
                <w:color w:val="auto"/>
              </w:rPr>
              <w:t>$</w:t>
            </w: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8"/>
              </w:rPr>
              <w:t>3.4</w:t>
            </w:r>
          </w:p>
        </w:tc>
      </w:tr>
      <w:tr>
        <w:trPr>
          <w:trHeight w:val="214"/>
        </w:trPr>
        <w:tc>
          <w:tcPr>
            <w:tcW w:w="1180" w:type="dxa"/>
            <w:vAlign w:val="bottom"/>
          </w:tcPr>
          <w:p>
            <w:pPr>
              <w:spacing w:after="0"/>
              <w:rPr>
                <w:sz w:val="18"/>
                <w:szCs w:val="18"/>
                <w:color w:val="auto"/>
              </w:rPr>
            </w:pP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8"/>
              </w:rPr>
              <w:t>0.6</w:t>
            </w:r>
          </w:p>
        </w:tc>
      </w:tr>
      <w:tr>
        <w:trPr>
          <w:trHeight w:val="217"/>
        </w:trPr>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960"/>
              <w:spacing w:after="0"/>
              <w:rPr>
                <w:sz w:val="20"/>
                <w:szCs w:val="20"/>
                <w:color w:val="auto"/>
              </w:rPr>
            </w:pPr>
            <w:r>
              <w:rPr>
                <w:rFonts w:ascii="Arial" w:cs="Arial" w:eastAsia="Arial" w:hAnsi="Arial"/>
                <w:sz w:val="16"/>
                <w:szCs w:val="16"/>
                <w:color w:val="auto"/>
              </w:rPr>
              <w:t>(0.9)</w:t>
            </w:r>
          </w:p>
        </w:tc>
      </w:tr>
      <w:tr>
        <w:trPr>
          <w:trHeight w:val="207"/>
        </w:trPr>
        <w:tc>
          <w:tcPr>
            <w:tcW w:w="1180" w:type="dxa"/>
            <w:vAlign w:val="bottom"/>
            <w:tcBorders>
              <w:bottom w:val="single" w:sz="8" w:color="auto"/>
            </w:tcBorders>
          </w:tcPr>
          <w:p>
            <w:pPr>
              <w:jc w:val="right"/>
              <w:ind w:righ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center"/>
              <w:ind w:left="960"/>
              <w:spacing w:after="0"/>
              <w:rPr>
                <w:sz w:val="20"/>
                <w:szCs w:val="20"/>
                <w:color w:val="auto"/>
              </w:rPr>
            </w:pPr>
            <w:r>
              <w:rPr>
                <w:rFonts w:ascii="Arial" w:cs="Arial" w:eastAsia="Arial" w:hAnsi="Arial"/>
                <w:sz w:val="16"/>
                <w:szCs w:val="16"/>
                <w:color w:val="auto"/>
                <w:w w:val="98"/>
              </w:rPr>
              <w:t>3.1</w:t>
            </w:r>
          </w:p>
        </w:tc>
      </w:tr>
      <w:tr>
        <w:trPr>
          <w:trHeight w:val="23"/>
        </w:trPr>
        <w:tc>
          <w:tcPr>
            <w:tcW w:w="1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20" w:space="720"/>
            <w:col w:w="2600"/>
          </w:cols>
          <w:pgMar w:left="320" w:top="140" w:right="339" w:bottom="1440" w:gutter="0" w:footer="0" w:header="0"/>
          <w:type w:val="continuous"/>
        </w:sectPr>
      </w:pP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presents Merger and integration costs that were recorded for the three months ended April 30, 2021 in the interim condensed consolidated statements of operations (in millions of U.S.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right"/>
              <w:ind w:right="63"/>
              <w:spacing w:after="0"/>
              <w:rPr>
                <w:sz w:val="20"/>
                <w:szCs w:val="20"/>
                <w:color w:val="auto"/>
              </w:rPr>
            </w:pPr>
            <w:r>
              <w:rPr>
                <w:rFonts w:ascii="Arial" w:cs="Arial" w:eastAsia="Arial" w:hAnsi="Arial"/>
                <w:sz w:val="14"/>
                <w:szCs w:val="14"/>
                <w:b w:val="1"/>
                <w:bCs w:val="1"/>
                <w:color w:val="auto"/>
              </w:rPr>
              <w:t>Three Months Ended April 30,</w:t>
            </w:r>
          </w:p>
        </w:tc>
      </w:tr>
      <w:tr>
        <w:trPr>
          <w:trHeight w:val="174"/>
        </w:trPr>
        <w:tc>
          <w:tcPr>
            <w:tcW w:w="8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2021</w:t>
            </w:r>
          </w:p>
        </w:tc>
      </w:tr>
      <w:tr>
        <w:trPr>
          <w:trHeight w:val="207"/>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Integration costs</w:t>
            </w: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Merger and Integration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540" w:type="dxa"/>
            <w:vAlign w:val="bottom"/>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1"/>
        </w:trPr>
        <w:tc>
          <w:tcPr>
            <w:tcW w:w="7160" w:type="dxa"/>
            <w:vAlign w:val="bottom"/>
          </w:tcPr>
          <w:p>
            <w:pPr>
              <w:ind w:left="20"/>
              <w:spacing w:after="0"/>
              <w:rPr>
                <w:sz w:val="20"/>
                <w:szCs w:val="20"/>
                <w:color w:val="auto"/>
              </w:rPr>
            </w:pPr>
            <w:r>
              <w:rPr>
                <w:rFonts w:ascii="Arial" w:cs="Arial" w:eastAsia="Arial" w:hAnsi="Arial"/>
                <w:sz w:val="16"/>
                <w:szCs w:val="16"/>
                <w:color w:val="auto"/>
              </w:rPr>
              <w:t>Plugs</w:t>
            </w: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1"/>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1"/>
        </w:trPr>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Inventory reserve</w:t>
            </w: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540" w:type="dxa"/>
            <w:vAlign w:val="bottom"/>
            <w:tcBorders>
              <w:bottom w:val="single" w:sz="8" w:color="auto"/>
            </w:tcBorders>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Inventories are made up of composite and dissolvable plugs, spare parts and consumables used to perform services for customers. The Company values inventories at the lower of cost or net realizable value. Inventory reserves were approximately $2.4 and $2.4 as of April 30, 2021 and January 31, 2021,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April 30, 2021</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January 31, 2021</w:t>
            </w:r>
          </w:p>
        </w:tc>
      </w:tr>
      <w:tr>
        <w:trPr>
          <w:trHeight w:val="205"/>
        </w:trPr>
        <w:tc>
          <w:tcPr>
            <w:tcW w:w="522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w:t>
            </w:r>
          </w:p>
        </w:tc>
      </w:tr>
      <w:tr>
        <w:trPr>
          <w:trHeight w:val="21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bottom w:val="single" w:sz="8" w:color="CCEEFF"/>
            </w:tcBorders>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w:t>
            </w:r>
          </w:p>
        </w:tc>
      </w:tr>
      <w:tr>
        <w:trPr>
          <w:trHeight w:val="210"/>
        </w:trPr>
        <w:tc>
          <w:tcPr>
            <w:tcW w:w="5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w:t>
            </w:r>
          </w:p>
        </w:tc>
      </w:tr>
      <w:tr>
        <w:trPr>
          <w:trHeight w:val="21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r>
      <w:tr>
        <w:trPr>
          <w:trHeight w:val="235"/>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$15.3 and $15.2 for the three months ended April 30, 2021 and 2020,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April 30, 2021, the Company’s condensed consolidated balance sheet includes assets classified as held for sale of $2.7. The assets held for sale are reported within other current assets on the condensed consolidated balance sheet and represent the value of three operational facilities and select equipment. In light of the current market environment and as part of the ongoing integration of the QES business, the Company has consolidated operations within certain geographies rendering these locations unnecessary to support the efficient operations of the Company. These assets are being actively marketed for sale as of April 30, 2021 and are recorded at the lower of their carrying value or fair value less costs to sell.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drove a steep drop in oil prices, leading to decreases in demand for the Company’s services and lower current and expected revenues for the Company.</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impairment indicators above, the Company performed a goodwill and long-lived asset impairment analysis during the three months ended April 30, 2020. The results of the impairment analysis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condensed consolidated statements of operations for the three months ended April 30, 2020. This charge reflects $91.3 and $89.1 of the long-lived assets attributable to the Southwest and Northeast/Mid-Con segments, respectively.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10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10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operations for the three months ended April 30, 2020. This charge reflects the full value of the goodwill attributable to the Rocky Mountains segment, leaving the Company with no goodwill as of April 30,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 impairment indicators were identified for the quarter ended April 30,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vacation and related benefits</w:t>
            </w:r>
          </w:p>
        </w:tc>
        <w:tc>
          <w:tcPr>
            <w:tcW w:w="154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72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compensation</w:t>
            </w: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7220" w:type="dxa"/>
            <w:vAlign w:val="bottom"/>
          </w:tcPr>
          <w:p>
            <w:pPr>
              <w:ind w:left="20"/>
              <w:spacing w:after="0"/>
              <w:rPr>
                <w:sz w:val="20"/>
                <w:szCs w:val="20"/>
                <w:color w:val="auto"/>
              </w:rPr>
            </w:pPr>
            <w:r>
              <w:rPr>
                <w:rFonts w:ascii="Arial" w:cs="Arial" w:eastAsia="Arial" w:hAnsi="Arial"/>
                <w:sz w:val="16"/>
                <w:szCs w:val="16"/>
                <w:color w:val="auto"/>
              </w:rPr>
              <w:t>Accrued lease termination costs</w:t>
            </w: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4"/>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7220" w:type="dxa"/>
            <w:vAlign w:val="bottom"/>
          </w:tcPr>
          <w:p>
            <w:pPr>
              <w:ind w:left="240"/>
              <w:spacing w:after="0"/>
              <w:rPr>
                <w:sz w:val="20"/>
                <w:szCs w:val="20"/>
                <w:color w:val="auto"/>
              </w:rPr>
            </w:pPr>
            <w:r>
              <w:rPr>
                <w:rFonts w:ascii="Arial" w:cs="Arial" w:eastAsia="Arial" w:hAnsi="Arial"/>
                <w:sz w:val="16"/>
                <w:szCs w:val="16"/>
                <w:color w:val="auto"/>
              </w:rPr>
              <w:t>Total accrued liabilities</w:t>
            </w:r>
          </w:p>
        </w:tc>
        <w:tc>
          <w:tcPr>
            <w:tcW w:w="1540" w:type="dxa"/>
            <w:vAlign w:val="bottom"/>
            <w:tcBorders>
              <w:bottom w:val="single" w:sz="8" w:color="auto"/>
            </w:tcBorders>
          </w:tcPr>
          <w:p>
            <w:pPr>
              <w:jc w:val="right"/>
              <w:ind w:right="13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7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April 30, 2021,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April 30, 2021 was $244.1. The Notes bear interest at an annual rate of 11.5%, payable semi-annually in arrears on May 1 and November 1. Accrued interest as of April 30, 2021 was $14.4.</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April 30, 2021,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ABL Facility bear interest at a rate equal to LIBOR plus the applicable margin (as defined in the ABL Facility). There were no outstanding amounts under the ABL Facility as of April 30, 2021.</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fixed charge coverage ratio (“FCCR”) to be at least 1.0 to 1.0 if availability falls below the greater of $10.0 or 15% of the borrowing base. At all times during the three months ended April 30, 2021, availability exceeded this threshold, and the Company was not subject to this financial covenant. As of April 30, 2021, the FCCR was below 1.0 to 1.0. The Company was in full compliance with its credit facility as of April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ABL Facility, net of $10.0 FCCR holdback, was $41.4 based on the April 30, 2021 borrowing base certificate.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letters of credit outstanding under the ABL Facility were $6.6 at April 30,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acquired QES's long-term capital lease agreements in the Merger. The leases are for a manufacturing and office facility supporting completion operations in Oklahoma City, Oklahoma and Elk City, Oklahoma. The capital lease for the facility in Oklahoma City, Oklahoma commenced in December 2006 and is payable monthly in amounts ranging from $28 to $35 thousand over the 20 year lease term. The lease for the facility in Elk City, Oklahoma commenced in April 2007 and is payable monthly in amounts ranging from $25 to $30 thousand over the 20 year lease term.</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certain vehicles, machinery and service equipment under capital leases. The capital lease obligations for these assets have lease terms ranging from 36 months to 55 months, and the interest rates range between 3.0% to 7.0%.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Capital lease obligations were $5.8 as of April 30,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Information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April 30, 2021. The fair value of the Notes, based on market prices for publicly traded debt, which the Company classifies as Level 2 inputs, was $155.0 and $132.5 as of April 30, 2021 and January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months ended April 30, 2020, goodwill and long-lived assets, including certain property and equipment and purchased intangibles subject to amortization, were impaired as a result of the first quarter 2020 interim goodwill and long-lived asset impairment tests.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Fair value is measured as of the impairment date. The carrying value and fair values of the impaired assets as of April 30, 2020 was $194.0 and $52.8 for property and equipment, net, $28.3 and $0.0 for goodwill, and $39.2 and $0.0 for intangible assets, net, respectively. See Note 7 for a discussion of the changes in goodwill and long-lived asset values due to impairment charges recorded during the three months ended April 30,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Contingencies and Off-Balance-Sheet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April 30, 2021, future minimum lease payments under these arrangements approximated $66.3 of which $19.6 is related to long-term real estate leases and $27.4 is related to long-term coiled tubing unit leases.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$20. We believe that total invoices issued to Magellan by its blowout vendors total $14.3 and are within policy limits. The Company's Texas court action includes claims against Magellan and as an additional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under the OEE policy and also against Redmon-Keys as Magellan's broker who issued the additional insured certificate to the Company.</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$7.4 of the total $14.3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$2.3 or half of the Company's total $4.6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 On March 30, 2021, hours before the TRO hearing, Magellan filed for bankruptcy pursuant to Chapter 7 of the U.S. bankruptcy code.</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believes that the OEE policy is now an asset of the Chapter 7 estate. The bankruptcy proceedings are in their initial stages. During the year ended January 31, 2021, the Company reserved the full amount of its invoices totaling $4.6 as a prudent action in light of the Chapter 7 filing. These invoices remain fully reserved as of April 30, 2021. However, we believe that the proceeds from the OEE policy will ultimately be allocated to the blowout creditors and KLXE will be offering our support to the U.S. Trustee in its pursuit of full recovery under the OEE policy from Underwriters.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Accounting for Stock-Based Compensation</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reserved for issuance under the Amended and Restated LTIP by 632,051 shares. A description of the Amended and Restated LTIP is included in the Company’s proxy statement, filed with the Securities and Exchange Commission on January 11, 2021.</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cost recognized during the three months ended April 30, 2021 and 2020 related to grants of restricted stock granted as approved by the Compensation Committee. Stock-based compensation was $0.8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and $(0.7) for the three months ended April 30, 2021 and 2020, respectively. Share based compensation was negative during the three months ended April 30, 2020 due to modifications of awards, which resulted in reversal of unvested stock compensation and determination of new grant date fair value. Unrecognized compensation cost related to restricted stock awards made by the Company was $9.0 at April 30, 2021.</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date of the QES acquisition, each unvested QES restricted stock unit award was converted into a replacement 0.0969 KLXE restricted stock unit award. Approximately 2.0 million shares of QES common stock subject to awards outstanding were converted to 0.2 million shares of common stock assumed by KLXE.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has a qualified Employee Stock Purchase Plan (the “ESPP”), the terms of which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Because the ESPP did not have enough shares reserved to satisfy outstanding options to purchase during the offering period ended June 30, 2020, the Company refunded participants’ contributions. In addition, the Company agreed with QES to suspend the ESPP due to the Merger. Accordingly, compensation cost was $0.0 for the three months ended April 30, 2021 and 2020, respectively. The Company’s shareholders approved an amendment to the ESPP at the Company’s annual meeting on July 24, 2020, for an increase of 0.3 million shares to the ESPP’s share reserve.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expense was $0.1 and $0.1 for the three months ended April 30, 2021 and April 30, 2020, respectively, and was comprised primarily of state and local taxes. The Company has a valuation allowance against its deferred tax balances, and as a result, it was unable to recognize a tax benefit at the federal statutory rate of 21% on its year to date losses.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(“CARES Act”), which was enacted on March 27, 2020 in the United States, includes measures to assist companies. Under the CARES Act, the Company has deferred the employer portion of FICA tax payments of $3.8 as of April 30, 2021. This deferral is included on the condensed consolidated balance sheet. Accrued and other non-current liabilities each had a balance of $1.9 as of April 30, 2021. These payments are due in two installments: half on December 31, 2021; and half on December 31, 2022.</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American Rescue Plan Act of 2021 (the "ARP”) enacted on March 11, 2021, by the United States, includes measures to assist eligible individuals by providing a 100% subsidy under the Consolidated Omnibus Budget Reconciliation Act of 1985 (“COBRA”) for any period of coverage beginning on or after April 1, 2021 and ending on September 20, 2021. The ARP allows a refundable tax credit against the Medicare payroll tax equal to premium amounts not paid by the eligible individuals. The Company may be entitled to the refundable tax credit in future quarters of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capital expenditures and acquisition funding to the CODM. As a result, the Company has three reportable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Three Months Ended</w:t>
            </w:r>
          </w:p>
        </w:tc>
        <w:tc>
          <w:tcPr>
            <w:tcW w:w="2380" w:type="dxa"/>
            <w:vAlign w:val="bottom"/>
            <w:tcBorders>
              <w:bottom w:val="single" w:sz="8" w:color="auto"/>
            </w:tcBorders>
          </w:tcPr>
          <w:p>
            <w:pPr>
              <w:spacing w:after="0"/>
              <w:rPr>
                <w:sz w:val="18"/>
                <w:szCs w:val="18"/>
                <w:color w:val="auto"/>
              </w:rPr>
            </w:pPr>
          </w:p>
        </w:tc>
      </w:tr>
      <w:tr>
        <w:trPr>
          <w:trHeight w:val="210"/>
        </w:trPr>
        <w:tc>
          <w:tcPr>
            <w:tcW w:w="426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April 30, 2021</w:t>
            </w: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b w:val="1"/>
                <w:bCs w:val="1"/>
                <w:color w:val="auto"/>
              </w:rPr>
              <w:t>April 30, 2020</w:t>
            </w:r>
          </w:p>
        </w:tc>
      </w:tr>
      <w:tr>
        <w:trPr>
          <w:trHeight w:val="19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211"/>
        </w:trPr>
        <w:tc>
          <w:tcPr>
            <w:tcW w:w="426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2540" w:type="dxa"/>
            <w:vAlign w:val="bottom"/>
          </w:tcPr>
          <w:p>
            <w:pPr>
              <w:jc w:val="right"/>
              <w:ind w:right="236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w:t>
            </w:r>
          </w:p>
        </w:tc>
        <w:tc>
          <w:tcPr>
            <w:tcW w:w="140" w:type="dxa"/>
            <w:vAlign w:val="bottom"/>
          </w:tcPr>
          <w:p>
            <w:pPr>
              <w:spacing w:after="0"/>
              <w:rPr>
                <w:sz w:val="18"/>
                <w:szCs w:val="18"/>
                <w:color w:val="auto"/>
              </w:rPr>
            </w:pPr>
          </w:p>
        </w:tc>
        <w:tc>
          <w:tcPr>
            <w:tcW w:w="720" w:type="dxa"/>
            <w:vAlign w:val="bottom"/>
          </w:tcPr>
          <w:p>
            <w:pPr>
              <w:jc w:val="right"/>
              <w:ind w:right="540"/>
              <w:spacing w:after="0"/>
              <w:rPr>
                <w:sz w:val="20"/>
                <w:szCs w:val="20"/>
                <w:color w:val="auto"/>
              </w:rPr>
            </w:pPr>
            <w:r>
              <w:rPr>
                <w:rFonts w:ascii="Arial" w:cs="Arial" w:eastAsia="Arial" w:hAnsi="Arial"/>
                <w:sz w:val="16"/>
                <w:szCs w:val="16"/>
                <w:color w:val="auto"/>
                <w:w w:val="89"/>
              </w:rPr>
              <w:t>$</w:t>
            </w:r>
          </w:p>
        </w:tc>
        <w:tc>
          <w:tcPr>
            <w:tcW w:w="23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7"/>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1"/>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r>
        <w:trPr>
          <w:trHeight w:val="210"/>
        </w:trPr>
        <w:tc>
          <w:tcPr>
            <w:tcW w:w="4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4"/>
        </w:trPr>
        <w:tc>
          <w:tcPr>
            <w:tcW w:w="426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Operating loss </w:t>
            </w:r>
            <w:r>
              <w:rPr>
                <w:rFonts w:ascii="Arial" w:cs="Arial" w:eastAsia="Arial" w:hAnsi="Arial"/>
                <w:sz w:val="20"/>
                <w:szCs w:val="20"/>
                <w:color w:val="auto"/>
                <w:vertAlign w:val="superscript"/>
              </w:rPr>
              <w:t>(1)</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4"/>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1"/>
        </w:trPr>
        <w:tc>
          <w:tcPr>
            <w:tcW w:w="426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217"/>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14"/>
        </w:trPr>
        <w:tc>
          <w:tcPr>
            <w:tcW w:w="4260" w:type="dxa"/>
            <w:vAlign w:val="bottom"/>
            <w:tcBorders>
              <w:bottom w:val="single" w:sz="8" w:color="CCEEFF"/>
            </w:tcBorders>
          </w:tcPr>
          <w:p>
            <w:pPr>
              <w:ind w:left="140"/>
              <w:spacing w:after="0" w:line="214"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0"/>
                <w:szCs w:val="20"/>
                <w:color w:val="auto"/>
                <w:vertAlign w:val="superscript"/>
              </w:rPr>
              <w:t>(1)</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07"/>
        </w:trPr>
        <w:tc>
          <w:tcPr>
            <w:tcW w:w="4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loss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11"/>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3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2540" w:type="dxa"/>
            <w:vAlign w:val="bottom"/>
            <w:tcBorders>
              <w:bottom w:val="single" w:sz="8" w:color="auto"/>
            </w:tcBorders>
            <w:shd w:val="clear" w:color="auto" w:fill="CCEEFF"/>
          </w:tcPr>
          <w:p>
            <w:pPr>
              <w:jc w:val="right"/>
              <w:ind w:right="236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firstLine="7"/>
        <w:spacing w:after="0" w:line="254" w:lineRule="auto"/>
        <w:tabs>
          <w:tab w:leader="none" w:pos="242" w:val="left"/>
        </w:tabs>
        <w:numPr>
          <w:ilvl w:val="0"/>
          <w:numId w:val="5"/>
        </w:numPr>
        <w:rPr>
          <w:rFonts w:ascii="Arial" w:cs="Arial" w:eastAsia="Arial" w:hAnsi="Arial"/>
          <w:sz w:val="16"/>
          <w:szCs w:val="16"/>
          <w:color w:val="auto"/>
        </w:rPr>
      </w:pPr>
      <w:r>
        <w:rPr>
          <w:rFonts w:ascii="Arial" w:cs="Arial" w:eastAsia="Arial" w:hAnsi="Arial"/>
          <w:sz w:val="16"/>
          <w:szCs w:val="16"/>
          <w:color w:val="auto"/>
        </w:rPr>
        <w:t>Historically, and through July 31, 2020, the Company</w:t>
      </w:r>
      <w:r>
        <w:rPr>
          <w:rFonts w:ascii="Arial" w:cs="Arial" w:eastAsia="Arial" w:hAnsi="Arial"/>
          <w:sz w:val="17"/>
          <w:szCs w:val="17"/>
          <w:color w:val="auto"/>
        </w:rPr>
        <w:t>’</w:t>
      </w:r>
      <w:r>
        <w:rPr>
          <w:rFonts w:ascii="Arial" w:cs="Arial" w:eastAsia="Arial" w:hAnsi="Arial"/>
          <w:sz w:val="16"/>
          <w:szCs w:val="16"/>
          <w:color w:val="auto"/>
        </w:rPr>
        <w:t>s total corporate overhead costs were allocated and reported within each reportable segment. During the third quarter of 2020, the Company changed the corporate overhead allocation methodology to include corporate costs incurred on behalf of its operating segments, which includes accounts payable, accounts receivable, insurance, audit, supply chain, health, safety and environmental and others. The remaining unallocated corporate costs are reported as a reconciling item. The change will better reflect the CODM’s philosophy on assessing performance and allocating resources, as well as improve comparability to the Company</w:t>
      </w:r>
      <w:r>
        <w:rPr>
          <w:rFonts w:ascii="Arial" w:cs="Arial" w:eastAsia="Arial" w:hAnsi="Arial"/>
          <w:sz w:val="17"/>
          <w:szCs w:val="17"/>
          <w:color w:val="auto"/>
        </w:rPr>
        <w:t>’</w:t>
      </w:r>
      <w:r>
        <w:rPr>
          <w:rFonts w:ascii="Arial" w:cs="Arial" w:eastAsia="Arial" w:hAnsi="Arial"/>
          <w:sz w:val="16"/>
          <w:szCs w:val="16"/>
          <w:color w:val="auto"/>
        </w:rPr>
        <w:t>s peer group.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April 30, 2020</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69"/>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1"/>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1"/>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total assets by segment:</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55"/>
        </w:trPr>
        <w:tc>
          <w:tcPr>
            <w:tcW w:w="64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April 30, 2021</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January 31, 2021</w:t>
            </w:r>
          </w:p>
        </w:tc>
      </w:tr>
      <w:tr>
        <w:trPr>
          <w:trHeight w:val="20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920" w:type="dxa"/>
            <w:vAlign w:val="bottom"/>
            <w:shd w:val="clear" w:color="auto" w:fill="CCEEFF"/>
          </w:tcPr>
          <w:p>
            <w:pPr>
              <w:jc w:val="right"/>
              <w:ind w:right="1737"/>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1"/>
        </w:trPr>
        <w:tc>
          <w:tcPr>
            <w:tcW w:w="64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r>
      <w:tr>
        <w:trPr>
          <w:trHeight w:val="207"/>
        </w:trPr>
        <w:tc>
          <w:tcPr>
            <w:tcW w:w="6420" w:type="dxa"/>
            <w:vAlign w:val="bottom"/>
          </w:tcPr>
          <w:p>
            <w:pPr>
              <w:ind w:left="160"/>
              <w:spacing w:after="0"/>
              <w:rPr>
                <w:sz w:val="20"/>
                <w:szCs w:val="20"/>
                <w:color w:val="auto"/>
              </w:rPr>
            </w:pPr>
            <w:r>
              <w:rPr>
                <w:rFonts w:ascii="Arial" w:cs="Arial" w:eastAsia="Arial" w:hAnsi="Arial"/>
                <w:sz w:val="16"/>
                <w:szCs w:val="16"/>
                <w:color w:val="auto"/>
              </w:rPr>
              <w:t>Total</w:t>
            </w:r>
          </w:p>
        </w:tc>
        <w:tc>
          <w:tcPr>
            <w:tcW w:w="1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0"/>
        </w:trPr>
        <w:tc>
          <w:tcPr>
            <w:tcW w:w="64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920" w:type="dxa"/>
            <w:vAlign w:val="bottom"/>
            <w:tcBorders>
              <w:bottom w:val="single" w:sz="8" w:color="auto"/>
            </w:tcBorders>
          </w:tcPr>
          <w:p>
            <w:pPr>
              <w:jc w:val="right"/>
              <w:ind w:right="17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r>
      <w:tr>
        <w:trPr>
          <w:trHeight w:val="20"/>
        </w:trPr>
        <w:tc>
          <w:tcPr>
            <w:tcW w:w="6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The following table presents capital expenditures by reportable segment:</w:t>
            </w: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5"/>
        </w:trPr>
        <w:tc>
          <w:tcPr>
            <w:tcW w:w="6340" w:type="dxa"/>
            <w:vAlign w:val="bottom"/>
          </w:tcPr>
          <w:p>
            <w:pPr>
              <w:spacing w:after="0"/>
              <w:rPr>
                <w:sz w:val="22"/>
                <w:szCs w:val="22"/>
                <w:color w:val="auto"/>
              </w:rPr>
            </w:pPr>
          </w:p>
        </w:tc>
        <w:tc>
          <w:tcPr>
            <w:tcW w:w="44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Borders>
              <w:bottom w:val="single" w:sz="8" w:color="auto"/>
            </w:tcBorders>
          </w:tcPr>
          <w:p>
            <w:pPr>
              <w:spacing w:after="0"/>
              <w:rPr>
                <w:sz w:val="22"/>
                <w:szCs w:val="22"/>
                <w:color w:val="auto"/>
              </w:rPr>
            </w:pPr>
          </w:p>
        </w:tc>
      </w:tr>
      <w:tr>
        <w:trPr>
          <w:trHeight w:val="221"/>
        </w:trPr>
        <w:tc>
          <w:tcPr>
            <w:tcW w:w="63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April 30,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April 30, 2020</w:t>
            </w:r>
          </w:p>
        </w:tc>
        <w:tc>
          <w:tcPr>
            <w:tcW w:w="480" w:type="dxa"/>
            <w:vAlign w:val="bottom"/>
            <w:tcBorders>
              <w:bottom w:val="single" w:sz="8" w:color="auto"/>
            </w:tcBorders>
          </w:tcPr>
          <w:p>
            <w:pPr>
              <w:spacing w:after="0"/>
              <w:rPr>
                <w:sz w:val="19"/>
                <w:szCs w:val="19"/>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900" w:type="dxa"/>
            <w:vAlign w:val="bottom"/>
            <w:shd w:val="clear" w:color="auto" w:fill="CCEEFF"/>
          </w:tcPr>
          <w:p>
            <w:pPr>
              <w:jc w:val="right"/>
              <w:ind w:right="171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777"/>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634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1"/>
        </w:trPr>
        <w:tc>
          <w:tcPr>
            <w:tcW w:w="634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9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35"/>
        </w:trPr>
        <w:tc>
          <w:tcPr>
            <w:tcW w:w="6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1900" w:type="dxa"/>
            <w:vAlign w:val="bottom"/>
            <w:tcBorders>
              <w:top w:val="single" w:sz="8" w:color="auto"/>
              <w:bottom w:val="single" w:sz="8" w:color="auto"/>
            </w:tcBorders>
            <w:shd w:val="clear" w:color="auto" w:fill="CCEEFF"/>
          </w:tcPr>
          <w:p>
            <w:pPr>
              <w:jc w:val="right"/>
              <w:ind w:right="1715"/>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ind w:right="1777"/>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Common Share</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28, 2020, immediately prior to consummation of the Merger, the Reverse Stock Split Amendment became effective and thereby effectuated the 1-for-5 Reverse Stock Split of the Company’s issued and outstanding common stock.</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April 30, 2021 and 2020, 0.4 and 0.5 million shares of the Company’s common stock, respectively, were excluded from the determination of diluted net loss per common share because their effect would have been anti-dilutive. The computations of basic and diluted net loss per share for the three months ended April 30, 2021 and 2020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40" w:type="dxa"/>
            <w:vAlign w:val="bottom"/>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Three Months Ended</w:t>
            </w:r>
          </w:p>
        </w:tc>
        <w:tc>
          <w:tcPr>
            <w:tcW w:w="2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4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April 30, 2021</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1100"/>
              <w:spacing w:after="0"/>
              <w:rPr>
                <w:sz w:val="20"/>
                <w:szCs w:val="20"/>
                <w:color w:val="auto"/>
              </w:rPr>
            </w:pPr>
            <w:r>
              <w:rPr>
                <w:rFonts w:ascii="Arial" w:cs="Arial" w:eastAsia="Arial" w:hAnsi="Arial"/>
                <w:sz w:val="16"/>
                <w:szCs w:val="16"/>
                <w:b w:val="1"/>
                <w:bCs w:val="1"/>
                <w:color w:val="auto"/>
              </w:rPr>
              <w:t>April 30, 2020</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40" w:type="dxa"/>
            <w:vAlign w:val="bottom"/>
            <w:tcBorders>
              <w:bottom w:val="single" w:sz="8" w:color="auto"/>
            </w:tcBorders>
            <w:shd w:val="clear" w:color="auto" w:fill="CCEEFF"/>
          </w:tcPr>
          <w:p>
            <w:pPr>
              <w:jc w:val="right"/>
              <w:ind w:right="22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line="204" w:lineRule="exact"/>
              <w:rPr>
                <w:sz w:val="20"/>
                <w:szCs w:val="20"/>
                <w:color w:val="auto"/>
              </w:rPr>
            </w:pPr>
            <w:r>
              <w:rPr>
                <w:rFonts w:ascii="Arial" w:cs="Arial" w:eastAsia="Arial" w:hAnsi="Arial"/>
                <w:sz w:val="16"/>
                <w:szCs w:val="16"/>
                <w:color w:val="auto"/>
              </w:rPr>
              <w:t xml:space="preserve">(Shares in millions) </w:t>
            </w:r>
            <w:r>
              <w:rPr>
                <w:rFonts w:ascii="Arial" w:cs="Arial" w:eastAsia="Arial" w:hAnsi="Arial"/>
                <w:sz w:val="20"/>
                <w:szCs w:val="20"/>
                <w:color w:val="auto"/>
                <w:vertAlign w:val="superscript"/>
              </w:rPr>
              <w:t>(2)</w:t>
            </w: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4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434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4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4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Basic net loss per common share </w:t>
            </w:r>
            <w:r>
              <w:rPr>
                <w:rFonts w:ascii="Arial" w:cs="Arial" w:eastAsia="Arial" w:hAnsi="Arial"/>
                <w:sz w:val="20"/>
                <w:szCs w:val="20"/>
                <w:color w:val="auto"/>
                <w:vertAlign w:val="superscript"/>
              </w:rPr>
              <w:t>(1) (2)</w:t>
            </w:r>
          </w:p>
        </w:tc>
        <w:tc>
          <w:tcPr>
            <w:tcW w:w="2440" w:type="dxa"/>
            <w:vAlign w:val="bottom"/>
            <w:shd w:val="clear" w:color="auto" w:fill="CCEEFF"/>
          </w:tcPr>
          <w:p>
            <w:pPr>
              <w:jc w:val="right"/>
              <w:ind w:right="22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0" w:type="dxa"/>
            <w:vAlign w:val="bottom"/>
          </w:tcPr>
          <w:p>
            <w:pPr>
              <w:spacing w:after="0"/>
              <w:rPr>
                <w:sz w:val="1"/>
                <w:szCs w:val="1"/>
                <w:color w:val="auto"/>
              </w:rPr>
            </w:pPr>
          </w:p>
        </w:tc>
      </w:tr>
      <w:tr>
        <w:trPr>
          <w:trHeight w:val="279"/>
        </w:trPr>
        <w:tc>
          <w:tcPr>
            <w:tcW w:w="4340" w:type="dxa"/>
            <w:vAlign w:val="bottom"/>
          </w:tcPr>
          <w:p>
            <w:pPr>
              <w:ind w:left="20"/>
              <w:spacing w:after="0"/>
              <w:rPr>
                <w:sz w:val="20"/>
                <w:szCs w:val="20"/>
                <w:color w:val="auto"/>
              </w:rPr>
            </w:pPr>
            <w:r>
              <w:rPr>
                <w:rFonts w:ascii="Arial" w:cs="Arial" w:eastAsia="Arial" w:hAnsi="Arial"/>
                <w:sz w:val="16"/>
                <w:szCs w:val="16"/>
                <w:color w:val="auto"/>
              </w:rPr>
              <w:t xml:space="preserve">Diluted net loss per common share </w:t>
            </w:r>
            <w:r>
              <w:rPr>
                <w:rFonts w:ascii="Arial" w:cs="Arial" w:eastAsia="Arial" w:hAnsi="Arial"/>
                <w:sz w:val="20"/>
                <w:szCs w:val="20"/>
                <w:color w:val="auto"/>
                <w:vertAlign w:val="superscript"/>
              </w:rPr>
              <w:t>(1) (2)</w:t>
            </w:r>
          </w:p>
        </w:tc>
        <w:tc>
          <w:tcPr>
            <w:tcW w:w="2440" w:type="dxa"/>
            <w:vAlign w:val="bottom"/>
          </w:tcPr>
          <w:p>
            <w:pPr>
              <w:jc w:val="right"/>
              <w:ind w:right="22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4"/>
                <w:szCs w:val="24"/>
                <w:color w:val="auto"/>
              </w:rPr>
            </w:pPr>
          </w:p>
        </w:tc>
        <w:tc>
          <w:tcPr>
            <w:tcW w:w="96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2440" w:type="dxa"/>
            <w:vAlign w:val="bottom"/>
          </w:tcPr>
          <w:p>
            <w:pPr>
              <w:jc w:val="right"/>
              <w:spacing w:after="0"/>
              <w:rPr>
                <w:sz w:val="20"/>
                <w:szCs w:val="20"/>
                <w:color w:val="auto"/>
              </w:rPr>
            </w:pPr>
            <w:r>
              <w:rPr>
                <w:rFonts w:ascii="Arial" w:cs="Arial" w:eastAsia="Arial" w:hAnsi="Arial"/>
                <w:sz w:val="16"/>
                <w:szCs w:val="16"/>
                <w:color w:val="auto"/>
              </w:rPr>
              <w:t>(52.60)</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233"/>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July 28, 2020, each issued and outstanding share of QES common stock was automatically converted into the right</w:t>
      </w:r>
    </w:p>
    <w:p>
      <w:pPr>
        <w:spacing w:after="0" w:line="3" w:lineRule="exact"/>
        <w:rPr>
          <w:rFonts w:ascii="Arial" w:cs="Arial" w:eastAsia="Arial" w:hAnsi="Arial"/>
          <w:sz w:val="16"/>
          <w:szCs w:val="16"/>
          <w:color w:val="auto"/>
        </w:rPr>
      </w:pPr>
    </w:p>
    <w:p>
      <w:pPr>
        <w:ind w:left="240" w:right="580"/>
        <w:spacing w:after="0" w:line="256" w:lineRule="auto"/>
        <w:rPr>
          <w:rFonts w:ascii="Arial" w:cs="Arial" w:eastAsia="Arial" w:hAnsi="Arial"/>
          <w:sz w:val="16"/>
          <w:szCs w:val="16"/>
          <w:color w:val="auto"/>
        </w:rPr>
      </w:pPr>
      <w:r>
        <w:rPr>
          <w:rFonts w:ascii="Arial" w:cs="Arial" w:eastAsia="Arial" w:hAnsi="Arial"/>
          <w:sz w:val="16"/>
          <w:szCs w:val="16"/>
          <w:color w:val="auto"/>
        </w:rPr>
        <w:t>to receive 0.0969 shares of KLXE common stock, which reflects adjustment for the 1-for-5 Reverse Stock Split of the KLXE common stock effected immediately prior to the consummation of the Merger.</w:t>
      </w:r>
    </w:p>
    <w:p>
      <w:pPr>
        <w:spacing w:after="0" w:line="219" w:lineRule="exact"/>
        <w:rPr>
          <w:rFonts w:ascii="Arial" w:cs="Arial" w:eastAsia="Arial" w:hAnsi="Arial"/>
          <w:sz w:val="16"/>
          <w:szCs w:val="16"/>
          <w:color w:val="auto"/>
        </w:rPr>
      </w:pPr>
    </w:p>
    <w:p>
      <w:pPr>
        <w:ind w:left="240" w:hanging="233"/>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Shares and per share data have been retroactively adjusted to reflect the Company</w:t>
      </w:r>
      <w:r>
        <w:rPr>
          <w:rFonts w:ascii="Arial" w:cs="Arial" w:eastAsia="Arial" w:hAnsi="Arial"/>
          <w:sz w:val="17"/>
          <w:szCs w:val="17"/>
          <w:color w:val="auto"/>
        </w:rPr>
        <w:t>’</w:t>
      </w:r>
      <w:r>
        <w:rPr>
          <w:rFonts w:ascii="Arial" w:cs="Arial" w:eastAsia="Arial" w:hAnsi="Arial"/>
          <w:sz w:val="16"/>
          <w:szCs w:val="16"/>
          <w:color w:val="auto"/>
        </w:rPr>
        <w:t>s 1-for-5 Reverse Stock Split effective July 28,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May 14, 2021, we filed a shelf registration statement on Form S-3 with the SEC. If and when the shelf registration statement is declared effective by the SEC, we will be able to, from time to time, offer and sell, in one or more offerings, up to a total dollar amount of $75.0 of common stock described in the shelf registration statement or a related prospectus supplement. Additionally, if and when declared effective by the SEC,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shelf registration statement will register for resale shares of the Company’s common stock by certain stockholders, pursuant to the Company’s contractual obligations under the Registration Rights Agreement, dated May 3, 2020, between the Company and certain of its stockholders (the "Registration Rights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2021 and in this Quarterly Report, including the following factors:</w:t>
      </w:r>
    </w:p>
    <w:p>
      <w:pPr>
        <w:spacing w:after="0" w:line="237" w:lineRule="exact"/>
        <w:rPr>
          <w:sz w:val="20"/>
          <w:szCs w:val="20"/>
          <w:color w:val="auto"/>
        </w:rPr>
      </w:pP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extraordinary market environment and impacts resulting from the COVID-19 pandemic and related swift and material decline, as well as increased volatility, in national and global crude oil demand and crude oil prices;</w:t>
      </w:r>
    </w:p>
    <w:p>
      <w:pPr>
        <w:ind w:left="800" w:right="2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have on our financial flexibility, our ability to engage in strategic transactions or our ability to declare and pay cash dividends on our common stock;</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0" w:hanging="151"/>
        <w:spacing w:after="0" w:line="248"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39"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 of U.S. dollars and shares)</w:t>
      </w:r>
    </w:p>
    <w:p>
      <w:pPr>
        <w:spacing w:after="0" w:line="176" w:lineRule="exact"/>
        <w:rPr>
          <w:sz w:val="20"/>
          <w:szCs w:val="20"/>
          <w:color w:val="auto"/>
        </w:rPr>
      </w:pPr>
    </w:p>
    <w:p>
      <w:pPr>
        <w:jc w:val="both"/>
        <w:spacing w:after="0" w:line="22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the historical condensed consolidated financial statements and related notes included elsewhere in this Quarterly Report on Form 10-Q (“Quarterly Report”) as well as our </w:t>
      </w:r>
      <w:hyperlink r:id="rId33">
        <w:r>
          <w:rPr>
            <w:rFonts w:ascii="Arial" w:cs="Arial" w:eastAsia="Arial" w:hAnsi="Arial"/>
            <w:sz w:val="18"/>
            <w:szCs w:val="18"/>
            <w:i w:val="1"/>
            <w:iCs w:val="1"/>
            <w:color w:val="auto"/>
          </w:rPr>
          <w:t xml:space="preserve">Annual Report on Form 10-K </w:t>
        </w:r>
      </w:hyperlink>
      <w:r>
        <w:rPr>
          <w:rFonts w:ascii="Arial" w:cs="Arial" w:eastAsia="Arial" w:hAnsi="Arial"/>
          <w:sz w:val="18"/>
          <w:szCs w:val="18"/>
          <w:i w:val="1"/>
          <w:iCs w:val="1"/>
          <w:color w:val="auto"/>
        </w:rPr>
        <w:t>for the fiscal year ended January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April 30, 2021, as compared to our results of operations for the three months ended April 30, 2020. In addition, the discussion and analysis addresses our liquidity, financial condition and other matters for these periods. The previously announced merger of Krypton Merger Sub, Inc., an indirect wholly owned subsidiary of KLXE ("Merger Sub"), with and into QES, with QES surviving the merger as a subsidiary of KLXE (the "Merger") closed on July 28, 2020. Unless otherwise noted or the context requires otherwise, references herein to KLX Energy Services with respect to time periods prior to July 28, 2020 include KLX Energy Services and its consolidated subsidiaries and do not include QES and its consolidated subsidiaries, while references herein to KLX Energy Services with respect to time periods from and after July 28, 2020 include QES and its consolidated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Services, LLC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QES during the second quarter of 2020 and, by doing so, helped establish KLXE as an industry leading provider of diversified oilfield solutions across the full well lifecycle to the major onshore oil and gas producing regions of the United States.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26, 2020, the Company’s Board approved a 1-for-5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Merger of KLXE and QES provides increased scale to serve a blue-chip customer base across the onshore oil and gas basins in the United States. The Merger combines two strong company cultures comprised of highly talented teams with shared commitments to safety, performance, customer service and profitability. The combination leverages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closing the Merger, the Company has been focused on integrating personnel, facilities, processes and systems across all functional areas of the organization.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By the end of first quarter of 2021, the Company implemented approximately $46.0 of annualized cost savings. We are diligently focused on generating additional cost savings from the Merger and to date have realized such savings through eliminating KLXE's legacy corporate headquarters in Wellington, Florida, rationalizing associated corporate functions to Houston, and capturing operational synergies in the areas of personnel, facilities and rolling stock.</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first quarter of 2021, we consolidated corporate offices in Houston, Texas and identified $4.4 million of additional annualized fixed cost savings associated with headcount, facilities, changes to management processes and reduction in the size of the board from nine directors to seven directors. A portion of the cost reductions were accomplished in the first quarter. We expect these cost savings to be fully implemented by the end of the second quarter and realize the full benefit beginning in the third quarter.</w:t>
      </w:r>
    </w:p>
    <w:p>
      <w:pPr>
        <w:spacing w:after="0" w:line="23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Additional synergies may be realized as management continues to rationalize operational facilities and align common roles, processes and systems throughout each function and region. The Merger also enhances the Company’s ability to effect further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28 patents and 9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to the condensed consolidated financial statements for additional information. As a result of the change in presentation, the total corporate overhead costs allocated for the three months ended April 30, 2020 to the Company’s three reportable segments decreased $8.8.</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three months ended April 30, 2020, the total drilling revenues reported within segment reporting was $6.8.</w:t>
      </w:r>
    </w:p>
    <w:p>
      <w:pPr>
        <w:spacing w:after="0" w:line="23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during 2020 was challenged due to the COVID-19 pandemic and macro supply and demand concerns. While the extent and duration of the continued global impact of the COVID-19 pandemic is unknown, economic activity has increased from the April 2020 lows, and signs of a potential global economic recovery in fiscal 2021 have emerged, driven by the rollout of COVID-19 vaccines, fiscal and monetary stimulus policies, and pent-up demand for goods and services.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Despite the market headwinds experienced in 2020, the Company remained focused on building a leaner and more profitable set of service offerings, which allowed us to make meaningful positive impacts to our revenue, operating margins, cash flows and Adjusted EBITDA. We have taken, and are continuing to take, steps to reduce costs, including reductions in capital expenditures, as well as other workforce rightsizing and ongoing cost initiatives.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February of 2021, we experienced a material slow down due to the unprecedented North American Winter Storm Uri, the costliest winter storm in U.S. history. As a result of the storm conditions, our customers shut-in wells and delayed work, causing us at least seven days of lost revenue, primarily in the Permian and the Mid-continent regions. Additionally, customer scheduling and well issues in the Rockies left us with unexpected white space on our calendar.</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So far in fiscal 2021, WTI prices have increased an incremental 21.7% from February 1 to April 30. In response, the United States has continued to increase drilling and completion activity levels relative to where the market exited 2020. As of April 30, 2021, U.S. rig count was up to 440, an increase of 14.6% since January 31, 2021. However, we have continued to see U.S. shale operators consolidate within certain basins, particularly the Permian, and many operators have announced that they are targeting oil and gas production at the end of 2021 to be consistent with production levels at year end 2020.</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Excluding the period impacted by the winter storm, we saw a moderate increase in overall activity throughout the first quarter of 2021, as commodity prices remained constructive. Looking ahead to the remainder of fiscal 2021, provided that the impact of the COVID-19 pandemic lessens, economic activity continues to increase, and commodity prices remain strong, we expect to increase activity.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diverse product and service offerings uniquely positions KLXE to respond to a rapidly evolving marketplace where we can provide a comprehensive suite of engineered solutions for our customers with one call and one master services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$46.0 of expected cost synergies associated with the Merger has further reduced our cost structure and afforded us greater flexibility to respond to changing industry conditions. The implementation of integrated, company-wide management information systems and processes provides more transparency to current operating performance and trends within each market where we compete and helps us more acutely scale our cost structure and pricing strategies on a market-by-market basis. The potential for further cost savings remains as we continue to refine and optimize the business moving forward. We believe our ability to differentiate ourselves on the basis of quality provides an opportunity for us to gain market share and increase our share of business with existing customers.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we have strong management systems in place, which will allow us to manage our operating resources and associated expenses relative to market conditions. Historically, we believed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returns justify the spending. Our required maintenance capital expenditures tend to be lower than other oilfield service providers due to the generally asset-light nature of our services, the average age of our assets and our ability to charge back a portion of asset maintenance to customers for a number of our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0" w:lineRule="exact"/>
        <w:rPr>
          <w:sz w:val="20"/>
          <w:szCs w:val="20"/>
          <w:color w:val="auto"/>
        </w:rPr>
      </w:pPr>
    </w:p>
    <w:p>
      <w:pPr>
        <w:ind w:left="960" w:hanging="311"/>
        <w:spacing w:after="0"/>
        <w:tabs>
          <w:tab w:leader="none" w:pos="9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jc w:val="both"/>
        <w:ind w:left="980" w:hanging="331"/>
        <w:spacing w:after="0" w:line="252" w:lineRule="auto"/>
        <w:tabs>
          <w:tab w:leader="none" w:pos="97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("Adjusted EBITDA")</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non-Generally Accepted Accounting Principles ("GAAP")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83" w:lineRule="exact"/>
        <w:rPr>
          <w:rFonts w:ascii="Arial" w:cs="Arial" w:eastAsia="Arial" w:hAnsi="Arial"/>
          <w:sz w:val="18"/>
          <w:szCs w:val="18"/>
          <w:i w:val="1"/>
          <w:iCs w:val="1"/>
          <w:color w:val="auto"/>
        </w:rPr>
      </w:pPr>
    </w:p>
    <w:p>
      <w:pPr>
        <w:ind w:left="980" w:right="20" w:hanging="331"/>
        <w:spacing w:after="0" w:line="276" w:lineRule="auto"/>
        <w:tabs>
          <w:tab w:leader="none" w:pos="97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2021 Compared to Three Months Ended April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5"/>
        </w:trPr>
        <w:tc>
          <w:tcPr>
            <w:tcW w:w="5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1"/>
        </w:trPr>
        <w:tc>
          <w:tcPr>
            <w:tcW w:w="5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April 30, 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April 30, 2020</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7"/>
        </w:trPr>
        <w:tc>
          <w:tcPr>
            <w:tcW w:w="58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28"/>
        </w:trPr>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55.7 %</w:t>
            </w:r>
          </w:p>
        </w:tc>
      </w:tr>
      <w:tr>
        <w:trPr>
          <w:trHeight w:val="227"/>
        </w:trPr>
        <w:tc>
          <w:tcPr>
            <w:tcW w:w="58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14.9 %</w:t>
            </w:r>
          </w:p>
        </w:tc>
      </w:tr>
      <w:tr>
        <w:trPr>
          <w:trHeight w:val="24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For the quarter ended April 30, 2021, revenues were $90.8, an increase of $7.8, or 9.4%, as compared with the prior year period. Rocky Mountains segment revenue decreased by $9.5, or 28.1%, Southwest segment revenue increased $13.6, or 55.7%, and Northeast/Mid-Con segment revenues increased by $3.7, or 14.9%. The decrease in Rockies revenue was largely driven by a reduction in completion and production activity associated with customer schedule and well issues. The increase in Southwest revenue was primarily driven by an increase in drilling activity largely attributable to the Merger. The increase in Northeast/Mid-Con revenue was driven by increased completion and drilling activity, largely attributable to the Merger, and partially offset by decreased intervention and production activity as a result of decreased demand during the pandemic.</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27.3%, 49.3%, 13.2% and 10.2%, respectively, to revenue for the three months ended April 30, 2021. On a product line basis, drilling revenues increased by $18.0, or 264.7%, due to the incremental drilling service revenues acquired in the Merger with QES. Completion, production and intervention services revenues decreased by approximately $3.0, $3.8 and $3.4, respectively, as compared to the same period in the prior year.</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April 30, 2021, cost of sales were $88.7, or 97.7% of sales,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$77.1, or 92.9% of sales. Cost of sales as a percentage of revenues increased primarily due to integration costs incurred related to consolidating operating facilities.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April 30, 2021, selling, general and administrative (“SG&amp;A”)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$14.9, or 16.4% of revenues, as compared with $16.3, or 19.6% of revenues, in the prior year period due to cost reduction initiatives resulting in lower headcount and fixed costs, as compared to the prior 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r>
        <w:rPr>
          <w:rFonts w:ascii="Arial" w:cs="Arial" w:eastAsia="Arial" w:hAnsi="Arial"/>
          <w:sz w:val="18"/>
          <w:szCs w:val="18"/>
          <w:color w:val="auto"/>
        </w:rPr>
        <w:t>. The following is a summary of operating loss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251"/>
              <w:spacing w:after="0"/>
              <w:rPr>
                <w:sz w:val="20"/>
                <w:szCs w:val="20"/>
                <w:color w:val="auto"/>
              </w:rPr>
            </w:pPr>
            <w:r>
              <w:rPr>
                <w:rFonts w:ascii="Arial" w:cs="Arial" w:eastAsia="Arial" w:hAnsi="Arial"/>
                <w:sz w:val="18"/>
                <w:szCs w:val="18"/>
                <w:b w:val="1"/>
                <w:bCs w:val="1"/>
                <w:color w:val="auto"/>
              </w:rPr>
              <w:t>April 30, 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2020</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jc w:val="right"/>
              <w:ind w:right="71"/>
              <w:spacing w:after="0"/>
              <w:rPr>
                <w:sz w:val="20"/>
                <w:szCs w:val="20"/>
                <w:color w:val="auto"/>
              </w:rPr>
            </w:pPr>
            <w:r>
              <w:rPr>
                <w:rFonts w:ascii="Arial" w:cs="Arial" w:eastAsia="Arial" w:hAnsi="Arial"/>
                <w:sz w:val="18"/>
                <w:szCs w:val="18"/>
                <w:color w:val="auto"/>
              </w:rPr>
              <w:t>Rocky Mountains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79.1 %</w:t>
            </w:r>
          </w:p>
        </w:tc>
      </w:tr>
      <w:tr>
        <w:trPr>
          <w:trHeight w:val="228"/>
        </w:trPr>
        <w:tc>
          <w:tcPr>
            <w:tcW w:w="5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Southwest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92.4 %</w:t>
            </w:r>
          </w:p>
        </w:tc>
      </w:tr>
      <w:tr>
        <w:trPr>
          <w:trHeight w:val="227"/>
        </w:trPr>
        <w:tc>
          <w:tcPr>
            <w:tcW w:w="5760" w:type="dxa"/>
            <w:vAlign w:val="bottom"/>
          </w:tcPr>
          <w:p>
            <w:pPr>
              <w:jc w:val="right"/>
              <w:ind w:right="71"/>
              <w:spacing w:after="0"/>
              <w:rPr>
                <w:sz w:val="20"/>
                <w:szCs w:val="20"/>
                <w:color w:val="auto"/>
              </w:rPr>
            </w:pPr>
            <w:r>
              <w:rPr>
                <w:rFonts w:ascii="Arial" w:cs="Arial" w:eastAsia="Arial" w:hAnsi="Arial"/>
                <w:sz w:val="18"/>
                <w:szCs w:val="18"/>
                <w:color w:val="auto"/>
              </w:rPr>
              <w:t>Northeast/Mid-Con</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92.8 %</w:t>
            </w:r>
          </w:p>
        </w:tc>
      </w:tr>
      <w:tr>
        <w:trPr>
          <w:trHeight w:val="227"/>
        </w:trPr>
        <w:tc>
          <w:tcPr>
            <w:tcW w:w="5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21"/>
        </w:trPr>
        <w:tc>
          <w:tcPr>
            <w:tcW w:w="5760" w:type="dxa"/>
            <w:vAlign w:val="bottom"/>
          </w:tcPr>
          <w:p>
            <w:pPr>
              <w:jc w:val="right"/>
              <w:ind w:right="71"/>
              <w:spacing w:after="0"/>
              <w:rPr>
                <w:sz w:val="20"/>
                <w:szCs w:val="20"/>
                <w:color w:val="auto"/>
              </w:rPr>
            </w:pPr>
            <w:r>
              <w:rPr>
                <w:rFonts w:ascii="Arial" w:cs="Arial" w:eastAsia="Arial" w:hAnsi="Arial"/>
                <w:sz w:val="18"/>
                <w:szCs w:val="18"/>
                <w:color w:val="auto"/>
              </w:rPr>
              <w:t>Total operating loss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87.7 %</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quarter ended April 30, 2021, operating loss was $28.9 compared to operating loss of $235.6 in the prior year period, due to a decrease in impairment and other charges of $208.1.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Rocky Mountains segment operating loss was $7.1, Southwest segment operating loss was $7.5, and Northeast/Mid-Con segment operating loss was $6.8 for the three months ended April 30, 2021, in each case primarily driven by lower impairment and other charges.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April 30, 2021, income tax expense was $0.1, as compared to income tax expense of $0.1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April 30, 2021, net loss was $36.8, as compared to $243.1 in the prior year period,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impairment and other charges of $208.1.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ABL Facility and cash flows from operations. At April 30, 2021, we had $37.9 of cash and cash equivalents and $41.4 available on the April 30, 2021 ABL Facility Borrowing Base Certificate, net of $10.0 FCCR holdback, which resulted in a total liquidity position of $79.3.</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cash flow used in operations for the three months ended April 30, 2021 was approximately $11.3 in cash flows. In response to declining customer activity and commodity price instability, in the third quarter of 2020 we implemented actions to achieve our previously announced annualized run-rate cost synergies. By the end of first quarter of 2021, the Company implemented approximately $46.0 of annualized cost savings and also identified an additional $4.4 of annualized cost savings.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available cash. The COVID-19 pandemic and the related significant decrease in the price of oil resulted in a decrease in demand for our services in the last part of the first quarter through the third quarter of 2020. We started to see a moderate increase in overall activity throughout the first quarter of 2021, which we expect to continue into the second quarter. Additionally, should our customers experience financial distress due to the current market conditions, they could default on their payments owed to us, which would affect our cash flows and liquidity. As of April 30, 2021, we have $4.7 of trade accounts receivable reserved for customers in bankruptcy, inclusive of $4.6 due from Magellan. See Part II, Item 1 "Legal Proceedings" for more information regarding the amount due from Magellan.</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primary use of capital resources has been for funding working capital and investing in property and equipment used to provide our services. We actively manage our capital spending and are focused on required maintenance spending. In addition, we regularly monitor potential sources of capital, including equity and debt financings, in an effort to meet our planned capital expenditure and liquidity requirements. The COVID-19 pandemic, coupled with the global crude oil supply and demand imbalance and resulting decline in crude oil prices, has significantly affected the value of our common stock, which, without a viable recovery and uptick in the demand for our services, may reduce our ability to access capital in the bank and capital markets, including through equity or debt offerings.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April 30, 2021, we had $37.9 of cash and cash equivalents. Cash on hand at April 30, 2021 decreased by $9.2, as compared with $47.1 cash on hand at January 31, 2021 as a result of $11.3 of cash flows used by operating activities and $3.9 of cash flows provided by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2021</w:t>
            </w:r>
          </w:p>
        </w:tc>
        <w:tc>
          <w:tcPr>
            <w:tcW w:w="26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b w:val="1"/>
                <w:bCs w:val="1"/>
                <w:color w:val="auto"/>
              </w:rPr>
              <w:t>April 30, 2020</w:t>
            </w:r>
          </w:p>
        </w:tc>
      </w:tr>
      <w:tr>
        <w:trPr>
          <w:trHeight w:val="221"/>
        </w:trPr>
        <w:tc>
          <w:tcPr>
            <w:tcW w:w="72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7"/>
        </w:trPr>
        <w:tc>
          <w:tcPr>
            <w:tcW w:w="72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0"/>
        </w:trPr>
        <w:tc>
          <w:tcPr>
            <w:tcW w:w="720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8"/>
                <w:szCs w:val="18"/>
                <w:color w:val="auto"/>
              </w:rPr>
              <w:t>Net change in cash</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balance end of period</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cash used in operating activities was $11.3 for the three months ended April 30, 2021, as compared to net cash provided by operating activities of $7.0 for the three months ended April 30, 2020. The decrease in operating cash flows was primarily attributable to the decrease in revenues across most service and related product lines driven by the current slowdown and market headwinds. In addition, the overall cash collected from the reduction in working capital could not offset the decline in operating leverage, and thus, the Company incurred an operating loss for the three months ended April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provided by investing activities was $3.9 for the three months ended April 30, 2021, as compared to net cash used in investing activities of $4.6 for the three months ended April 30, 2020. The cash flow provided by investing activities for the three months ended April 30, 2021 was primarily driven by sales of facilities, trucks and other idle assets resulting from the cost reduction initiatives offset by critical maintenance capital spending tied to the operation of our existing asset base.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in financing activities was $1.8 for the three months ended April 30, 2021, compared to net cash used in financing activities of $0.3 for the three months ended April 30, 2020. During the three months ended April 30, 2021, $1.0 was paid on financed payables, $0.5 was paid on capital lease obligations, and $0.3 was paid for treasury shares in connection with the settlement of income tax and related benefit withholding obligations arising from vesting of restricted stock grants under the Company’s long-term incentive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During the three months ended April 30, 2021, the Company included the acquired QES current asset collateral into the borrowing base formula used to calculate the KLXE borrowing availability. The ABL Facility is secured by, among other things, a first priority lien on our accounts receivable and inventory and contains customary conditions precedent to borrowing and affirmative and negative covenants. No amounts were outstanding under the ABL Facility as of April 30, 2021. The effective interest rate under the ABL Facility would have been approximately 2.69% on April 30, 2021.</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$10.0 or 15% of the borrowing base. At all times during the three months ended April 30, 2021, availability exceeded this threshold, and the Company was not subject to this financial covenant. As of April 30, 2021, the FCCR was below 1.0 to 1.0. The Company was in full compliance with its credit facility as of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April 30, 2021 was $244.1. The Notes bear interest at an annual rate of 11.5%, payable semi-annually in arrears on May 1 and November 1. Accrued interest as of April 30, 2021 was $14.4.</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our cash on hand, along with $41.4 of availability based on our April 30, 2021 borrowing base certificate under our $100.0 undrawn ABL Facility, net of $10.0 FCCR holdback, provides us with the ability to fund our operations, make planned capital expenditures, repurchase our debt or equity securities, meet our debt service obligations and provide funding for potential future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capital expenditures were $2.2 during the three months ended April 30, 2021, compared to $4.8 in the three months ended April 30, 2020. We expect to incur between $14.0 and $16.0 in capital expenditures for the year ending January 31, 2022, based on current industry conditions.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the ABL Facility availability and cash flow from operations. We have funds available from our $100.0 ABL Facility (under which the amount of availability depends in part on a borrowing base tied to the aggregate amount of our accounts receivable and inventory satisfying specified criteria and our compliance with a minimum fixed charge coverage ratio), none of which was drawn at April 30, 2021.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based on our current forecasts, our cash on hand, the ABL Facility availability, together with our cash flows, will provide us with the ability to fund our operations and make planned capital expenditures for at least the next 12 months.</w:t>
      </w:r>
    </w:p>
    <w:p>
      <w:pPr>
        <w:spacing w:after="0" w:line="23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also continues to assess various sources and options including public and private financings to bolster its liquidity and believes that, given current market conditions, it has opportunities to do so.</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May 14, 2021, we filed a shelf registration statement on Form S-3 with the SEC. If and when the shelf registration statement is declared effective by the SEC, we will be able to, from time to time, offer and sell, in one or more offerings, up to a total dollar amount of $75.0 of common stock described in the shelf registration statement or a related prospectus supplement. Additionally, if and when declared effective by the SEC, the shelf registration statement will register for resale shares of the Company’s common stock by certain stockholders, pursuant to the Company’s contractual obligations under the Registration Rights Agreement, dated May 3, 2020, between the Company and certain of its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April 30, 2021, future minimum lease payments under these arrangements approximated $66.3 of which $19.6 is related to long-term real estate leases and $27.4 is related to long-term coiled tubing unit leases.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lease of a corporate aircraft expired April 30, 2021. The lease burdened cash flow by approximately $0.7 during the quarter ended April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2020 Annual Report on Form 10-K filed with the SEC on April 28,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preparation of this Quarterly Report for the quarter ended April 30, 2021,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April 30,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$20. We believe that total invoices issued to Magellan by its blowout vendors total $14.3 and are within policy limits. The Company's Texas court action includes claims against Magellan and as an additional insured under the OEE policy and also against Redmon-Keys as Magellan's broker who issued the additional insured certificate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$7.4 of the total $14.3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$2.3 or half of the Company's total $4.6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 On March 30, 2021, hours before the TRO hearing, Magellan filed for bankruptcy pursuant to Chapter 7 of the U.S. bankruptcy code.</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believes that the OEE policy is now an asset of the Chapter 7 estate. The bankruptcy proceedings are in their initial stages. At this time, the Company has reserved the full amount of its invoices totaling $4.6 as a prudent action in light of the Chapter 7 filing. However, we believe that the proceeds from the OEE policy will ultimately be allocated to the blowout creditors and will be offering our support to the U.S. Trustee in its pursuit of full recovery under the OEE policy from Underwriters.</w:t>
      </w:r>
    </w:p>
    <w:p>
      <w:pPr>
        <w:spacing w:after="0" w:line="22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In addition to the information set forth in this report, you should carefull consider the risk factors previously described in Part I, Item IA. “Risk Factors” in our Annual Report on Form 10-K for the fiscal year ended January 31, 2021.</w:t>
      </w: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April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0"/>
              <w:spacing w:after="0" w:line="214"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February 1, 2021 - February 28, 2021</w:t>
            </w:r>
          </w:p>
        </w:tc>
        <w:tc>
          <w:tcPr>
            <w:tcW w:w="2020" w:type="dxa"/>
            <w:vAlign w:val="bottom"/>
          </w:tcPr>
          <w:p>
            <w:pPr>
              <w:jc w:val="right"/>
              <w:spacing w:after="0"/>
              <w:rPr>
                <w:sz w:val="20"/>
                <w:szCs w:val="20"/>
                <w:color w:val="auto"/>
              </w:rPr>
            </w:pPr>
            <w:r>
              <w:rPr>
                <w:rFonts w:ascii="Arial" w:cs="Arial" w:eastAsia="Arial" w:hAnsi="Arial"/>
                <w:sz w:val="16"/>
                <w:szCs w:val="16"/>
                <w:color w:val="auto"/>
              </w:rPr>
              <w:t>22,168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2021 - March 31, 2021</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April 1, 2021 - April 30, 2021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40" w:firstLine="7"/>
        <w:spacing w:after="0" w:line="256" w:lineRule="auto"/>
        <w:tabs>
          <w:tab w:leader="none" w:pos="2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spacing w:after="0" w:line="88" w:lineRule="exact"/>
        <w:rPr>
          <w:rFonts w:ascii="Arial" w:cs="Arial" w:eastAsia="Arial" w:hAnsi="Arial"/>
          <w:sz w:val="16"/>
          <w:szCs w:val="16"/>
          <w:color w:val="auto"/>
        </w:rPr>
      </w:pPr>
    </w:p>
    <w:p>
      <w:pPr>
        <w:ind w:left="240" w:hanging="233"/>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share repurchase program includes commissions paid to the brokers.</w:t>
      </w:r>
    </w:p>
    <w:p>
      <w:pPr>
        <w:spacing w:after="0" w:line="110" w:lineRule="exact"/>
        <w:rPr>
          <w:rFonts w:ascii="Arial" w:cs="Arial" w:eastAsia="Arial" w:hAnsi="Arial"/>
          <w:sz w:val="16"/>
          <w:szCs w:val="16"/>
          <w:color w:val="auto"/>
        </w:rPr>
      </w:pPr>
    </w:p>
    <w:p>
      <w:pPr>
        <w:ind w:firstLine="7"/>
        <w:spacing w:after="0" w:line="256" w:lineRule="auto"/>
        <w:tabs>
          <w:tab w:leader="none" w:pos="2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4.</w:t>
            </w:r>
          </w:p>
        </w:tc>
        <w:tc>
          <w:tcPr>
            <w:tcW w:w="10140" w:type="dxa"/>
            <w:vAlign w:val="bottom"/>
            <w:gridSpan w:val="16"/>
            <w:shd w:val="clear" w:color="auto" w:fill="CCEEFF"/>
          </w:tcPr>
          <w:p>
            <w:pPr>
              <w:ind w:left="40"/>
              <w:spacing w:after="0"/>
              <w:rPr>
                <w:sz w:val="20"/>
                <w:szCs w:val="20"/>
                <w:color w:val="auto"/>
              </w:rPr>
            </w:pPr>
            <w:r>
              <w:rPr>
                <w:rFonts w:ascii="Arial" w:cs="Arial" w:eastAsia="Arial" w:hAnsi="Arial"/>
                <w:sz w:val="18"/>
                <w:szCs w:val="18"/>
                <w:b w:val="1"/>
                <w:bCs w:val="1"/>
                <w:color w:val="auto"/>
              </w:rPr>
              <w:t>MINE SAFETY DISCLOSURES</w:t>
            </w:r>
          </w:p>
        </w:tc>
      </w:tr>
      <w:tr>
        <w:trPr>
          <w:trHeight w:val="547"/>
        </w:trPr>
        <w:tc>
          <w:tcPr>
            <w:tcW w:w="1220" w:type="dxa"/>
            <w:vAlign w:val="bottom"/>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10140" w:type="dxa"/>
            <w:vAlign w:val="bottom"/>
            <w:gridSpan w:val="16"/>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533"/>
        </w:trPr>
        <w:tc>
          <w:tcPr>
            <w:tcW w:w="1220" w:type="dxa"/>
            <w:vAlign w:val="bottom"/>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6"/>
            <w:shd w:val="clear" w:color="auto" w:fill="CCEEFF"/>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2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6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Exhibit 3.1 of KLX Energy Services Holdings, Inc’s Quarterly Report on Form 10-Q, filed on September 8, 2020,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001-38609).</w:t>
              </w:r>
            </w:hyperlink>
          </w:p>
        </w:tc>
        <w:tc>
          <w:tcPr>
            <w:tcW w:w="13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000" w:type="dxa"/>
            <w:vAlign w:val="bottom"/>
            <w:tcBorders>
              <w:top w:val="single" w:sz="8" w:color="0000FF"/>
            </w:tcBorders>
          </w:tcPr>
          <w:p>
            <w:pPr>
              <w:spacing w:after="0"/>
              <w:rPr>
                <w:sz w:val="13"/>
                <w:szCs w:val="13"/>
                <w:color w:val="auto"/>
              </w:rPr>
            </w:pPr>
          </w:p>
        </w:tc>
        <w:tc>
          <w:tcPr>
            <w:tcW w:w="25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r:id="rId54">
              <w:r>
                <w:rPr>
                  <w:rFonts w:ascii="Arial" w:cs="Arial" w:eastAsia="Arial" w:hAnsi="Arial"/>
                  <w:sz w:val="18"/>
                  <w:szCs w:val="18"/>
                  <w:color w:val="0000FF"/>
                </w:rPr>
                <w:t>Third Amended and Restated Bylaws of KLX Energy Services Holdings, Inc. (incorporated by reference to Exhibit 3.1 of KLX</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rPr>
            </w:pPr>
            <w:hyperlink r:id="rId54">
              <w:r>
                <w:rPr>
                  <w:rFonts w:ascii="Arial" w:cs="Arial" w:eastAsia="Arial" w:hAnsi="Arial"/>
                  <w:sz w:val="17"/>
                  <w:szCs w:val="17"/>
                  <w:color w:val="0000FF"/>
                </w:rPr>
                <w:t>Energy Services Holdings, Inc.'s Current Report on Form 8-K, filed on December 8, 2020, File No. 001-38609).</w:t>
              </w:r>
            </w:hyperlink>
          </w:p>
        </w:tc>
        <w:tc>
          <w:tcPr>
            <w:tcW w:w="10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Third Supplemental Indenture, dated August 25, 2020, among KLX Energy Services Holdings, Inc., as the issuer, the</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6"/>
          </w:tcPr>
          <w:p>
            <w:pPr>
              <w:spacing w:after="0" w:line="154" w:lineRule="exact"/>
              <w:rPr>
                <w:rFonts w:ascii="Arial" w:cs="Arial" w:eastAsia="Arial" w:hAnsi="Arial"/>
                <w:sz w:val="17"/>
                <w:szCs w:val="17"/>
                <w:color w:val="0000FF"/>
              </w:rPr>
            </w:pPr>
            <w:hyperlink w:anchor="page37">
              <w:r>
                <w:rPr>
                  <w:rFonts w:ascii="Arial" w:cs="Arial" w:eastAsia="Arial" w:hAnsi="Arial"/>
                  <w:sz w:val="17"/>
                  <w:szCs w:val="17"/>
                  <w:color w:val="0000FF"/>
                </w:rPr>
                <w:t>Guaranteeing Subsidiaries named therein and Wilmington Trust, National Association, as trustee and collateral agent.</w:t>
              </w:r>
            </w:hyperlink>
          </w:p>
        </w:tc>
        <w:tc>
          <w:tcPr>
            <w:tcW w:w="60" w:type="dxa"/>
            <w:vAlign w:val="bottom"/>
            <w:tcBorders>
              <w:bottom w:val="single" w:sz="8" w:color="0000FF"/>
            </w:tcBorders>
          </w:tcPr>
          <w:p>
            <w:pPr>
              <w:spacing w:after="0"/>
              <w:rPr>
                <w:sz w:val="13"/>
                <w:szCs w:val="13"/>
                <w:color w:val="auto"/>
              </w:rPr>
            </w:pPr>
          </w:p>
        </w:tc>
        <w:tc>
          <w:tcPr>
            <w:tcW w:w="5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r:id="rId55">
              <w:r>
                <w:rPr>
                  <w:rFonts w:ascii="Arial" w:cs="Arial" w:eastAsia="Arial" w:hAnsi="Arial"/>
                  <w:sz w:val="18"/>
                  <w:szCs w:val="18"/>
                  <w:color w:val="0000FF"/>
                </w:rPr>
                <w:t>KLX Energy Services Holdings, Inc. Long-Term Incentive Plan (Amended and Restated as of December 2, 2020)</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1"/>
          </w:tcPr>
          <w:p>
            <w:pPr>
              <w:spacing w:after="0" w:line="154" w:lineRule="exact"/>
              <w:rPr>
                <w:rFonts w:ascii="Arial" w:cs="Arial" w:eastAsia="Arial" w:hAnsi="Arial"/>
                <w:sz w:val="17"/>
                <w:szCs w:val="17"/>
                <w:color w:val="0000FF"/>
              </w:rPr>
            </w:pPr>
            <w:hyperlink r:id="rId55">
              <w:r>
                <w:rPr>
                  <w:rFonts w:ascii="Arial" w:cs="Arial" w:eastAsia="Arial" w:hAnsi="Arial"/>
                  <w:sz w:val="17"/>
                  <w:szCs w:val="17"/>
                  <w:color w:val="0000FF"/>
                </w:rPr>
                <w:t>(incorporated by reference to Exhibit 10.1 of KLX Energy Services Holdings, Inc's Current Report on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900" w:type="dxa"/>
            <w:vAlign w:val="bottom"/>
            <w:gridSpan w:val="12"/>
          </w:tcPr>
          <w:p>
            <w:pPr>
              <w:spacing w:after="0" w:line="154" w:lineRule="exact"/>
              <w:rPr>
                <w:rFonts w:ascii="Arial" w:cs="Arial" w:eastAsia="Arial" w:hAnsi="Arial"/>
                <w:sz w:val="17"/>
                <w:szCs w:val="17"/>
                <w:color w:val="0000FF"/>
              </w:rPr>
            </w:pPr>
            <w:hyperlink r:id="rId55">
              <w:r>
                <w:rPr>
                  <w:rFonts w:ascii="Arial" w:cs="Arial" w:eastAsia="Arial" w:hAnsi="Arial"/>
                  <w:sz w:val="17"/>
                  <w:szCs w:val="17"/>
                  <w:color w:val="0000FF"/>
                </w:rPr>
                <w:t>February 16, 2021, File No. 001-38609).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rPr>
            </w:pPr>
            <w:hyperlink w:anchor="page43">
              <w:r>
                <w:rPr>
                  <w:rFonts w:ascii="Arial" w:cs="Arial" w:eastAsia="Arial" w:hAnsi="Arial"/>
                  <w:sz w:val="17"/>
                  <w:szCs w:val="17"/>
                  <w:color w:val="0000FF"/>
                </w:rPr>
                <w:t>1934, as Adopted Pursuant to Section 302 of the Sarbanes-Oxley Act of 2002.</w:t>
              </w:r>
            </w:hyperlink>
          </w:p>
        </w:tc>
        <w:tc>
          <w:tcPr>
            <w:tcW w:w="366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1934, as Adopted Pursuant to Section 302 of the Sarbanes-Oxley Act of 2002.</w:t>
              </w:r>
            </w:hyperlink>
          </w:p>
        </w:tc>
        <w:tc>
          <w:tcPr>
            <w:tcW w:w="37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w:anchor="page45">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r>
      <w:tr>
        <w:trPr>
          <w:trHeight w:val="207"/>
        </w:trPr>
        <w:tc>
          <w:tcPr>
            <w:tcW w:w="122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w:anchor="page46">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r>
      <w:tr>
        <w:trPr>
          <w:trHeight w:val="246"/>
        </w:trPr>
        <w:tc>
          <w:tcPr>
            <w:tcW w:w="12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1"/>
                <w:szCs w:val="21"/>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9"/>
                <w:szCs w:val="19"/>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9"/>
                <w:szCs w:val="19"/>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9"/>
                <w:szCs w:val="19"/>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2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820" w:firstLine="25"/>
        <w:spacing w:after="0" w:line="302" w:lineRule="auto"/>
        <w:tabs>
          <w:tab w:leader="none" w:pos="13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June 10, 2021</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ind w:left="7400"/>
        <w:spacing w:after="0" w:line="225" w:lineRule="auto"/>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June 10, 2021</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0"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21"/>
          <w:szCs w:val="21"/>
          <w:b w:val="1"/>
          <w:bCs w:val="1"/>
          <w:color w:val="auto"/>
        </w:rPr>
        <w:t>Exhibit 4.1</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THIRD SUPPLEMENTAL INDENTURE</w:t>
      </w:r>
    </w:p>
    <w:p>
      <w:pPr>
        <w:spacing w:after="0" w:line="227" w:lineRule="exact"/>
        <w:rPr>
          <w:sz w:val="20"/>
          <w:szCs w:val="20"/>
          <w:color w:val="auto"/>
        </w:rPr>
      </w:pPr>
    </w:p>
    <w:p>
      <w:pPr>
        <w:ind w:right="140" w:firstLine="1284"/>
        <w:spacing w:after="0" w:line="255" w:lineRule="auto"/>
        <w:rPr>
          <w:sz w:val="20"/>
          <w:szCs w:val="20"/>
          <w:color w:val="auto"/>
        </w:rPr>
      </w:pPr>
      <w:r>
        <w:rPr>
          <w:rFonts w:ascii="Arial" w:cs="Arial" w:eastAsia="Arial" w:hAnsi="Arial"/>
          <w:sz w:val="21"/>
          <w:szCs w:val="21"/>
          <w:color w:val="auto"/>
        </w:rPr>
        <w:t>This Third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August 25, 2020, among Krypton Intermediate, LLC, a Delaware limited liability company, Krypton HoldCo, LLC, a Delaware limited liability company, Quintana Energy Services Inc., a Delaware corporation, Quintana Energy Services LLC, a Delaware limited liability company, Centerline Trucking, LLC, a Delaware limited liability company, Great White Well Control LLC, a Delaware limited liability company, Consolidated OWS Management, Inc., a Delaware corporation, Q Directional MGMT, Inc., a Delaware corporation, QES Directional Drilling, LLC, a Delaware limited liability company, QES Management LLC, a Delaware limited liability company, QES Pressure Control LLC, an Oklahoma limited liability company, QES Pressure Pumping, LLC, a Delaware limited liability company, QES Wireline LLC, a Texas limited liability company, Twister Drilling Tools, LLC, a Delaware limited liability company (the “</w:t>
      </w:r>
      <w:r>
        <w:rPr>
          <w:rFonts w:ascii="Arial" w:cs="Arial" w:eastAsia="Arial" w:hAnsi="Arial"/>
          <w:sz w:val="21"/>
          <w:szCs w:val="21"/>
          <w:i w:val="1"/>
          <w:iCs w:val="1"/>
          <w:color w:val="auto"/>
        </w:rPr>
        <w:t>Guaranteeing Subsidiaries</w:t>
      </w:r>
      <w:r>
        <w:rPr>
          <w:rFonts w:ascii="Arial" w:cs="Arial" w:eastAsia="Arial" w:hAnsi="Arial"/>
          <w:sz w:val="21"/>
          <w:szCs w:val="21"/>
          <w:color w:val="auto"/>
        </w:rPr>
        <w:t>”), subsidiaries of KLX Energy Services Holdings, Inc., a Delaware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Company and Wilmington Trust, National Association, as trustee (the “</w:t>
      </w:r>
      <w:r>
        <w:rPr>
          <w:rFonts w:ascii="Arial" w:cs="Arial" w:eastAsia="Arial" w:hAnsi="Arial"/>
          <w:sz w:val="21"/>
          <w:szCs w:val="21"/>
          <w:i w:val="1"/>
          <w:iCs w:val="1"/>
          <w:color w:val="auto"/>
        </w:rPr>
        <w:t>Trustee</w:t>
      </w:r>
      <w:r>
        <w:rPr>
          <w:rFonts w:ascii="Arial" w:cs="Arial" w:eastAsia="Arial" w:hAnsi="Arial"/>
          <w:sz w:val="21"/>
          <w:szCs w:val="21"/>
          <w:color w:val="auto"/>
        </w:rPr>
        <w:t>”) and notes collateral agent (the “</w:t>
      </w:r>
      <w:r>
        <w:rPr>
          <w:rFonts w:ascii="Arial" w:cs="Arial" w:eastAsia="Arial" w:hAnsi="Arial"/>
          <w:sz w:val="21"/>
          <w:szCs w:val="21"/>
          <w:i w:val="1"/>
          <w:iCs w:val="1"/>
          <w:color w:val="auto"/>
        </w:rPr>
        <w:t>Collateral Agent</w:t>
      </w:r>
      <w:r>
        <w:rPr>
          <w:rFonts w:ascii="Arial" w:cs="Arial" w:eastAsia="Arial" w:hAnsi="Arial"/>
          <w:sz w:val="21"/>
          <w:szCs w:val="2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each of the Issuer and the Guarantors (as defined in the Indenture referred to below) has heretofore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executed and delivered to the Trustee an indenture, dated as of October 31, 2018 (as amended through the date hereof, the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Indenture</w:t>
      </w:r>
      <w:r>
        <w:rPr>
          <w:rFonts w:ascii="Arial" w:cs="Arial" w:eastAsia="Arial" w:hAnsi="Arial"/>
          <w:sz w:val="20"/>
          <w:szCs w:val="20"/>
          <w:color w:val="auto"/>
        </w:rPr>
        <w:t>”), providing for the issuance of an unlimited aggregate principal amount of 11.500% Senior Secured Notes due 2025</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209" w:lineRule="exact"/>
        <w:rPr>
          <w:sz w:val="20"/>
          <w:szCs w:val="20"/>
          <w:color w:val="auto"/>
        </w:rPr>
      </w:pPr>
    </w:p>
    <w:p>
      <w:pPr>
        <w:ind w:right="140" w:firstLine="1284"/>
        <w:spacing w:after="0" w:line="262" w:lineRule="auto"/>
        <w:rPr>
          <w:sz w:val="20"/>
          <w:szCs w:val="20"/>
          <w:color w:val="auto"/>
        </w:rPr>
      </w:pPr>
      <w:r>
        <w:rPr>
          <w:rFonts w:ascii="Arial" w:cs="Arial" w:eastAsia="Arial" w:hAnsi="Arial"/>
          <w:sz w:val="21"/>
          <w:szCs w:val="21"/>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and</w:t>
      </w:r>
    </w:p>
    <w:p>
      <w:pPr>
        <w:spacing w:after="0" w:line="176" w:lineRule="exact"/>
        <w:rPr>
          <w:sz w:val="20"/>
          <w:szCs w:val="20"/>
          <w:color w:val="auto"/>
        </w:rPr>
      </w:pPr>
    </w:p>
    <w:p>
      <w:pPr>
        <w:ind w:firstLine="1284"/>
        <w:spacing w:after="0" w:line="283" w:lineRule="auto"/>
        <w:rPr>
          <w:sz w:val="20"/>
          <w:szCs w:val="20"/>
          <w:color w:val="auto"/>
        </w:rPr>
      </w:pPr>
      <w:r>
        <w:rPr>
          <w:rFonts w:ascii="Arial" w:cs="Arial" w:eastAsia="Arial" w:hAnsi="Arial"/>
          <w:sz w:val="21"/>
          <w:szCs w:val="21"/>
          <w:color w:val="auto"/>
        </w:rPr>
        <w:t>WHEREAS, pursuant to Section 9.1 of the Indenture, the Trustee and the Collateral Agent are authorized to execute and deliver this Supplemental Indenture.</w:t>
      </w:r>
    </w:p>
    <w:p>
      <w:pPr>
        <w:spacing w:after="0" w:line="153" w:lineRule="exact"/>
        <w:rPr>
          <w:sz w:val="20"/>
          <w:szCs w:val="20"/>
          <w:color w:val="auto"/>
        </w:rPr>
      </w:pPr>
    </w:p>
    <w:p>
      <w:pPr>
        <w:jc w:val="both"/>
        <w:ind w:right="20" w:firstLine="1284"/>
        <w:spacing w:after="0" w:line="338"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07" w:lineRule="exact"/>
        <w:rPr>
          <w:sz w:val="20"/>
          <w:szCs w:val="20"/>
          <w:color w:val="auto"/>
        </w:rPr>
      </w:pPr>
    </w:p>
    <w:p>
      <w:pPr>
        <w:ind w:left="1940" w:hanging="649"/>
        <w:spacing w:after="0"/>
        <w:tabs>
          <w:tab w:leader="none" w:pos="19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herein without definition shall have the meanings assigned to</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them in the Indenture.</w:t>
      </w:r>
    </w:p>
    <w:p>
      <w:pPr>
        <w:spacing w:after="0" w:line="208" w:lineRule="exact"/>
        <w:rPr>
          <w:rFonts w:ascii="Arial" w:cs="Arial" w:eastAsia="Arial" w:hAnsi="Arial"/>
          <w:sz w:val="20"/>
          <w:szCs w:val="20"/>
          <w:color w:val="auto"/>
        </w:rPr>
      </w:pPr>
    </w:p>
    <w:p>
      <w:pPr>
        <w:ind w:firstLine="1291"/>
        <w:spacing w:after="0" w:line="283" w:lineRule="auto"/>
        <w:tabs>
          <w:tab w:leader="none" w:pos="1926"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Guarantor</w:t>
      </w:r>
      <w:r>
        <w:rPr>
          <w:rFonts w:ascii="Arial" w:cs="Arial" w:eastAsia="Arial" w:hAnsi="Arial"/>
          <w:sz w:val="21"/>
          <w:szCs w:val="21"/>
          <w:color w:val="auto"/>
        </w:rPr>
        <w:t>. The Guaranteeing Subsidiaries hereby agree to be Guarantors under the Indenture and to be bound by the terms of the Indenture applicable to Guarantors, including Article XI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US 8052572v.1 TEM001/13080</w:t>
      </w:r>
    </w:p>
    <w:p>
      <w:pPr>
        <w:sectPr>
          <w:pgSz w:w="11900" w:h="16838" w:orient="portrait"/>
          <w:cols w:equalWidth="0" w:num="1">
            <w:col w:w="11240"/>
          </w:cols>
          <w:pgMar w:left="320" w:top="125" w:right="339" w:bottom="1440" w:gutter="0" w:footer="0" w:header="0"/>
        </w:sectPr>
      </w:pPr>
    </w:p>
    <w:bookmarkStart w:id="37" w:name="page38"/>
    <w:bookmarkEnd w:id="37"/>
    <w:p>
      <w:pPr>
        <w:ind w:firstLine="1291"/>
        <w:spacing w:after="0" w:line="283" w:lineRule="auto"/>
        <w:tabs>
          <w:tab w:leader="none" w:pos="192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SUPPLEMENTAL INDENTURE WILL BE GOVERNED BY, AND CONSTRUED IN ACCORDANCE WITH, THE LAWS OF THE STATE OF NEW YORK.</w:t>
      </w:r>
    </w:p>
    <w:p>
      <w:pPr>
        <w:spacing w:after="0" w:line="152" w:lineRule="exact"/>
        <w:rPr>
          <w:rFonts w:ascii="Arial" w:cs="Arial" w:eastAsia="Arial" w:hAnsi="Arial"/>
          <w:sz w:val="21"/>
          <w:szCs w:val="21"/>
          <w:color w:val="auto"/>
        </w:rPr>
      </w:pPr>
    </w:p>
    <w:p>
      <w:pPr>
        <w:jc w:val="both"/>
        <w:ind w:firstLine="1291"/>
        <w:spacing w:after="0" w:line="260" w:lineRule="auto"/>
        <w:tabs>
          <w:tab w:leader="none" w:pos="192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GUARANTEEING SUBSIDIARIES AND THE TRUSTEE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w:t>
      </w:r>
    </w:p>
    <w:p>
      <w:pPr>
        <w:spacing w:after="0" w:line="176" w:lineRule="exact"/>
        <w:rPr>
          <w:rFonts w:ascii="Arial" w:cs="Arial" w:eastAsia="Arial" w:hAnsi="Arial"/>
          <w:sz w:val="21"/>
          <w:szCs w:val="21"/>
          <w:color w:val="auto"/>
        </w:rPr>
      </w:pPr>
    </w:p>
    <w:p>
      <w:pPr>
        <w:ind w:right="20" w:firstLine="1291"/>
        <w:spacing w:after="0" w:line="283" w:lineRule="auto"/>
        <w:tabs>
          <w:tab w:leader="none" w:pos="192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may sign any number of copies of this Supplemental Indenture. Each signed copy shall be an original, but all of them together represent the same agreement.</w:t>
      </w:r>
    </w:p>
    <w:p>
      <w:pPr>
        <w:spacing w:after="0" w:line="152" w:lineRule="exact"/>
        <w:rPr>
          <w:rFonts w:ascii="Arial" w:cs="Arial" w:eastAsia="Arial" w:hAnsi="Arial"/>
          <w:sz w:val="21"/>
          <w:szCs w:val="21"/>
          <w:color w:val="auto"/>
        </w:rPr>
      </w:pPr>
    </w:p>
    <w:p>
      <w:pPr>
        <w:jc w:val="both"/>
        <w:ind w:firstLine="1291"/>
        <w:spacing w:after="0" w:line="268" w:lineRule="auto"/>
        <w:tabs>
          <w:tab w:leader="none" w:pos="192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ectPr>
          <w:pgSz w:w="11900" w:h="16838" w:orient="portrait"/>
          <w:cols w:equalWidth="0" w:num="1">
            <w:col w:w="11240"/>
          </w:cols>
          <w:pgMar w:left="320" w:top="1415" w:right="339" w:bottom="1440" w:gutter="0" w:footer="0" w:header="0"/>
        </w:sectPr>
      </w:pPr>
    </w:p>
    <w:bookmarkStart w:id="38" w:name="page39"/>
    <w:bookmarkEnd w:id="38"/>
    <w:p>
      <w:pPr>
        <w:ind w:firstLine="1284"/>
        <w:spacing w:after="0" w:line="283"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all as of the date first above written.</w:t>
      </w:r>
    </w:p>
    <w:p>
      <w:pPr>
        <w:spacing w:after="0" w:line="15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KRYPTON INTERMEDIATE, LLC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QUINTANA ENERGY SERVICES INC.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QUINTANA ENERGY SERVICES LLC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CENTERLINE TRUCKING, LLC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GREAT WHITE WELL CONTROL LLC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CONSOLIDATED OWS MANAGEMENT, INC.</w:t>
      </w:r>
    </w:p>
    <w:p>
      <w:pPr>
        <w:spacing w:after="0" w:line="253"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-11430</wp:posOffset>
            </wp:positionV>
            <wp:extent cx="10864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4080"/>
        <w:spacing w:after="0"/>
        <w:tabs>
          <w:tab w:leader="none" w:pos="48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4060"/>
        <w:spacing w:after="0"/>
        <w:tabs>
          <w:tab w:leader="none" w:pos="47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11220"/>
          </w:cols>
          <w:pgMar w:left="320" w:top="14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[Signature Page to Third Supplemental Indenture]</w:t>
      </w:r>
    </w:p>
    <w:p>
      <w:pPr>
        <w:sectPr>
          <w:pgSz w:w="11900" w:h="16838" w:orient="portrait"/>
          <w:cols w:equalWidth="0" w:num="1">
            <w:col w:w="11220"/>
          </w:cols>
          <w:pgMar w:left="320" w:top="1415" w:right="359" w:bottom="1440" w:gutter="0" w:footer="0" w:header="0"/>
          <w:type w:val="continuous"/>
        </w:sectPr>
      </w:pPr>
    </w:p>
    <w:bookmarkStart w:id="39" w:name="page40"/>
    <w:bookmarkEnd w:id="39"/>
    <w:p>
      <w:pPr>
        <w:ind w:left="3640"/>
        <w:spacing w:after="0"/>
        <w:rPr>
          <w:sz w:val="20"/>
          <w:szCs w:val="20"/>
          <w:color w:val="auto"/>
        </w:rPr>
      </w:pPr>
      <w:r>
        <w:rPr>
          <w:rFonts w:ascii="Arial" w:cs="Arial" w:eastAsia="Arial" w:hAnsi="Arial"/>
          <w:sz w:val="21"/>
          <w:szCs w:val="21"/>
          <w:color w:val="auto"/>
        </w:rPr>
        <w:t>Q DIRECTIONAL MGMT, INC.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QES DIRECTIONAL DRILLING,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QES MANAGEMENT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QES PRESSURE CONTROL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QES PRESSURE PUMPING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QES WIRELINE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35"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TWISTER DRILLING TOOLS,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Third Supplemental Indenture]</w:t>
      </w:r>
    </w:p>
    <w:p>
      <w:pPr>
        <w:sectPr>
          <w:pgSz w:w="11900" w:h="16838" w:orient="portrait"/>
          <w:cols w:equalWidth="0" w:num="1">
            <w:col w:w="9919"/>
          </w:cols>
          <w:pgMar w:left="540" w:top="1415" w:right="1440" w:bottom="1440" w:gutter="0" w:footer="0" w:header="0"/>
        </w:sectPr>
      </w:pPr>
    </w:p>
    <w:bookmarkStart w:id="40" w:name="page41"/>
    <w:bookmarkEnd w:id="40"/>
    <w:p>
      <w:pPr>
        <w:ind w:left="3640"/>
        <w:spacing w:after="0"/>
        <w:rPr>
          <w:sz w:val="20"/>
          <w:szCs w:val="20"/>
          <w:color w:val="auto"/>
        </w:rPr>
      </w:pPr>
      <w:r>
        <w:rPr>
          <w:rFonts w:ascii="Arial" w:cs="Arial" w:eastAsia="Arial" w:hAnsi="Arial"/>
          <w:sz w:val="21"/>
          <w:szCs w:val="21"/>
          <w:color w:val="auto"/>
        </w:rPr>
        <w:t>KRYPTON HOLDCO, LLC</w:t>
      </w:r>
    </w:p>
    <w:p>
      <w:pPr>
        <w:spacing w:after="0" w:line="253"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KLX ENERGY SERVICES HOLDINGS, INC., as</w:t>
      </w:r>
    </w:p>
    <w:p>
      <w:pPr>
        <w:spacing w:after="0" w:line="42"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Issuer</w:t>
      </w:r>
    </w:p>
    <w:p>
      <w:pPr>
        <w:spacing w:after="0" w:line="235"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Keefer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0864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Keefer Lehner</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Third Supplemental Indenture]</w:t>
      </w:r>
    </w:p>
    <w:p>
      <w:pPr>
        <w:sectPr>
          <w:pgSz w:w="11900" w:h="16838" w:orient="portrait"/>
          <w:cols w:equalWidth="0" w:num="1">
            <w:col w:w="9919"/>
          </w:cols>
          <w:pgMar w:left="540" w:top="1415" w:right="1440" w:bottom="1440" w:gutter="0" w:footer="0" w:header="0"/>
        </w:sectPr>
      </w:pPr>
    </w:p>
    <w:bookmarkStart w:id="41" w:name="page42"/>
    <w:bookmarkEnd w:id="41"/>
    <w:p>
      <w:pPr>
        <w:ind w:left="3640"/>
        <w:spacing w:after="0"/>
        <w:rPr>
          <w:sz w:val="20"/>
          <w:szCs w:val="20"/>
          <w:color w:val="auto"/>
        </w:rPr>
      </w:pPr>
      <w:r>
        <w:rPr>
          <w:rFonts w:ascii="Arial" w:cs="Arial" w:eastAsia="Arial" w:hAnsi="Arial"/>
          <w:sz w:val="21"/>
          <w:szCs w:val="21"/>
          <w:color w:val="auto"/>
        </w:rPr>
        <w:t>WILMINGTON TRUST, NATIONAL</w:t>
      </w:r>
    </w:p>
    <w:p>
      <w:pPr>
        <w:spacing w:after="0" w:line="31"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ASSOCIATION, as Trustee and Collateral Agent</w:t>
      </w:r>
    </w:p>
    <w:p>
      <w:pPr>
        <w:spacing w:after="0" w:line="258" w:lineRule="exact"/>
        <w:rPr>
          <w:sz w:val="20"/>
          <w:szCs w:val="20"/>
          <w:color w:val="auto"/>
        </w:rPr>
      </w:pPr>
    </w:p>
    <w:p>
      <w:pPr>
        <w:ind w:left="3640"/>
        <w:spacing w:after="0"/>
        <w:tabs>
          <w:tab w:leader="none" w:pos="4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Barry D.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-11430</wp:posOffset>
            </wp:positionV>
            <wp:extent cx="1298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6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Barry D. Somrock</w:t>
      </w:r>
    </w:p>
    <w:p>
      <w:pPr>
        <w:spacing w:after="0" w:line="13" w:lineRule="exact"/>
        <w:rPr>
          <w:sz w:val="20"/>
          <w:szCs w:val="20"/>
          <w:color w:val="auto"/>
        </w:rPr>
      </w:pPr>
    </w:p>
    <w:p>
      <w:pPr>
        <w:ind w:left="3840"/>
        <w:spacing w:after="0"/>
        <w:tabs>
          <w:tab w:leader="none" w:pos="4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Third Supplemental Indenture]</w:t>
      </w:r>
    </w:p>
    <w:p>
      <w:pPr>
        <w:sectPr>
          <w:pgSz w:w="11900" w:h="16838" w:orient="portrait"/>
          <w:cols w:equalWidth="0" w:num="1">
            <w:col w:w="9919"/>
          </w:cols>
          <w:pgMar w:left="540" w:top="1415"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1" w:lineRule="exact"/>
        <w:rPr>
          <w:sz w:val="20"/>
          <w:szCs w:val="20"/>
          <w:color w:val="auto"/>
        </w:rPr>
      </w:pPr>
    </w:p>
    <w:p>
      <w:pPr>
        <w:ind w:left="680" w:right="40" w:hanging="655"/>
        <w:spacing w:after="0" w:line="23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April 30, 2021 of KLX Energy Services Holdings, Inc. (the “registrant”);</w:t>
      </w:r>
    </w:p>
    <w:p>
      <w:pPr>
        <w:spacing w:after="0" w:line="108" w:lineRule="exact"/>
        <w:rPr>
          <w:rFonts w:ascii="Arial" w:cs="Arial" w:eastAsia="Arial" w:hAnsi="Arial"/>
          <w:sz w:val="18"/>
          <w:szCs w:val="18"/>
          <w:color w:val="auto"/>
        </w:rPr>
      </w:pPr>
    </w:p>
    <w:p>
      <w:pPr>
        <w:jc w:val="both"/>
        <w:ind w:left="680" w:right="60" w:hanging="655"/>
        <w:spacing w:after="0" w:line="22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13335</wp:posOffset>
            </wp:positionV>
            <wp:extent cx="3074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1" w:lineRule="exact"/>
        <w:rPr>
          <w:sz w:val="20"/>
          <w:szCs w:val="20"/>
          <w:color w:val="auto"/>
        </w:rPr>
      </w:pPr>
    </w:p>
    <w:p>
      <w:pPr>
        <w:ind w:left="680" w:right="40" w:hanging="655"/>
        <w:spacing w:after="0" w:line="23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April 30, 2021 of KLX Energy Services Holdings, Inc. (the “registrant”);</w:t>
      </w:r>
    </w:p>
    <w:p>
      <w:pPr>
        <w:spacing w:after="0" w:line="108" w:lineRule="exact"/>
        <w:rPr>
          <w:rFonts w:ascii="Arial" w:cs="Arial" w:eastAsia="Arial" w:hAnsi="Arial"/>
          <w:sz w:val="18"/>
          <w:szCs w:val="18"/>
          <w:color w:val="auto"/>
        </w:rPr>
      </w:pPr>
    </w:p>
    <w:p>
      <w:pPr>
        <w:jc w:val="both"/>
        <w:ind w:left="680" w:right="60" w:hanging="655"/>
        <w:spacing w:after="0" w:line="22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13335</wp:posOffset>
            </wp:positionV>
            <wp:extent cx="3023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April 30, 2021, as filed with the Securities and Exchange Commission on the date hereof (the “Periodic Report”), I, Christopher J. Baker, as Chief Executive Officer, President and Director of the Company, hereby certify that:</w:t>
      </w:r>
    </w:p>
    <w:p>
      <w:pPr>
        <w:spacing w:after="0" w:line="56" w:lineRule="exact"/>
        <w:rPr>
          <w:sz w:val="20"/>
          <w:szCs w:val="20"/>
          <w:color w:val="auto"/>
        </w:rPr>
      </w:pPr>
    </w:p>
    <w:p>
      <w:pPr>
        <w:ind w:left="560" w:hanging="312"/>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Date: June 10, 2021</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8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April 30, 2021, as filed with the Securities and Exchange Commission on the date hereof (the “Periodic Report”), I, Keefer M. Lehner, as Executive Vice President and Chief Financial Officer of the Company, hereby certify that:</w:t>
      </w:r>
    </w:p>
    <w:p>
      <w:pPr>
        <w:spacing w:after="0" w:line="56" w:lineRule="exact"/>
        <w:rPr>
          <w:sz w:val="20"/>
          <w:szCs w:val="20"/>
          <w:color w:val="auto"/>
        </w:rPr>
      </w:pPr>
    </w:p>
    <w:p>
      <w:pPr>
        <w:ind w:left="560" w:hanging="312"/>
        <w:spacing w:after="0"/>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Date: June 10, 2021</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
      <w:numFmt w:val="bullet"/>
      <w:start w:val="1"/>
    </w:lvl>
    <w:lvl w:ilvl="1">
      <w:lvlJc w:val="left"/>
      <w:lvlText w:val="%2"/>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33" Type="http://schemas.openxmlformats.org/officeDocument/2006/relationships/hyperlink" Target="http://www.sec.gov/ix?doc=/Archives/edgar/data/1688476/000168847620000017/a201910-kxdoc.htm" TargetMode="External"/><Relationship Id="rId53" Type="http://schemas.openxmlformats.org/officeDocument/2006/relationships/hyperlink" Target="http://www.sec.gov/Archives/edgar/data/1738827/000173882720000004/klxenergy-archarter2020.htm" TargetMode="External"/><Relationship Id="rId54" Type="http://schemas.openxmlformats.org/officeDocument/2006/relationships/hyperlink" Target="http://www.sec.gov/Archives/edgar/data/1738827/000110465920133169/tm2037989d1_ex3-1.htm" TargetMode="External"/><Relationship Id="rId55" Type="http://schemas.openxmlformats.org/officeDocument/2006/relationships/hyperlink" Target="https://www.sec.gov/Archives/edgar/data/1738827/000110465921023897/tm21626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2021-06-11T05:13:07Z</dcterms:created>
  <dcterms:modified xsi:type="dcterms:W3CDTF">2021-06-11T05:13:07Z</dcterms:modified>
</cp:coreProperties>
</file>