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16,407,421 shares were outstanding as of August 3, 2023.</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6"/>
        <w:gridCol w:w="536"/>
        <w:gridCol w:w="2716"/>
        <w:gridCol w:w="2703"/>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b2f326f29f44f6580f91412fc96fec4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0">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31">
              <w:r>
                <w:rPr>
                  <w:rStyle w:val="InternetLink"/>
                  <w:color w:val="0000FF"/>
                  <w:u w:val="single"/>
                </w:rPr>
                <w:t> </w:t>
              </w:r>
            </w:hyperlink>
            <w:hyperlink w:anchor="i0b2f326f29f44f6580f91412fc96fec4_31">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3">
              <w:r>
                <w:rPr>
                  <w:rStyle w:val="InternetLink"/>
                  <w:rFonts w:ascii="Arial;sans-serif" w:hAnsi="Arial;sans-serif"/>
                  <w:b w:val="false"/>
                  <w:color w:val="000080"/>
                  <w:sz w:val="20"/>
                  <w:u w:val="single"/>
                </w:rPr>
                <w:t xml:space="preserve">Balance Sheets as of </w:t>
              </w:r>
            </w:hyperlink>
            <w:hyperlink w:anchor="i0b2f326f29f44f6580f91412fc96fec4_13">
              <w:r>
                <w:rPr>
                  <w:rStyle w:val="InternetLink"/>
                  <w:rFonts w:ascii="Arial;sans-serif" w:hAnsi="Arial;sans-serif"/>
                  <w:b w:val="false"/>
                  <w:color w:val="000080"/>
                  <w:sz w:val="20"/>
                  <w:u w:val="single"/>
                </w:rPr>
                <w:t>June 30</w:t>
              </w:r>
            </w:hyperlink>
            <w:hyperlink w:anchor="i0b2f326f29f44f6580f91412fc96fec4_13">
              <w:r>
                <w:rPr>
                  <w:rStyle w:val="InternetLink"/>
                  <w:rFonts w:ascii="Arial;sans-serif" w:hAnsi="Arial;sans-serif"/>
                  <w:b w:val="false"/>
                  <w:color w:val="000080"/>
                  <w:sz w:val="20"/>
                  <w:u w:val="single"/>
                </w:rPr>
                <w:t>, 2023 and December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9">
              <w:r>
                <w:rPr>
                  <w:rStyle w:val="InternetLink"/>
                  <w:rFonts w:ascii="Arial;sans-serif" w:hAnsi="Arial;sans-serif"/>
                  <w:b w:val="false"/>
                  <w:color w:val="0000FF"/>
                  <w:sz w:val="20"/>
                  <w:u w:val="single"/>
                </w:rPr>
                <w:t>Statements of Operations for the Three and Six Months Ended June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9">
              <w:r>
                <w:rPr>
                  <w:rStyle w:val="InternetLink"/>
                  <w:rFonts w:ascii="Arial;sans-serif" w:hAnsi="Arial;sans-serif"/>
                  <w:b w:val="false"/>
                  <w:color w:val="0000FF"/>
                  <w:sz w:val="20"/>
                  <w:u w:val="single"/>
                </w:rPr>
                <w:t>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25">
              <w:r>
                <w:rPr>
                  <w:rStyle w:val="InternetLink"/>
                  <w:rFonts w:ascii="Arial;sans-serif" w:hAnsi="Arial;sans-serif"/>
                  <w:b w:val="false"/>
                  <w:color w:val="0000FF"/>
                  <w:sz w:val="20"/>
                  <w:u w:val="single"/>
                </w:rPr>
                <w:t>Statements of Stockholders' Equity (Deficit) for the Six Months Ended June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25">
              <w:r>
                <w:rPr>
                  <w:rStyle w:val="InternetLink"/>
                  <w:rFonts w:ascii="Arial;sans-serif" w:hAnsi="Arial;sans-serif"/>
                  <w:b w:val="false"/>
                  <w:color w:val="0000FF"/>
                  <w:sz w:val="20"/>
                  <w:u w:val="single"/>
                </w:rPr>
                <w:t>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28">
              <w:r>
                <w:rPr>
                  <w:rStyle w:val="InternetLink"/>
                  <w:rFonts w:ascii="Arial;sans-serif" w:hAnsi="Arial;sans-serif"/>
                  <w:b w:val="false"/>
                  <w:color w:val="0000FF"/>
                  <w:sz w:val="20"/>
                  <w:u w:val="single"/>
                </w:rPr>
                <w:t>Statements of Cash Flows for the Six Months Ended June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28">
              <w:r>
                <w:rPr>
                  <w:rStyle w:val="InternetLink"/>
                  <w:rFonts w:ascii="Arial;sans-serif" w:hAnsi="Arial;sans-serif"/>
                  <w:b w:val="false"/>
                  <w:color w:val="0000FF"/>
                  <w:sz w:val="20"/>
                  <w:u w:val="single"/>
                </w:rPr>
                <w:t>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31">
              <w:r>
                <w:rPr>
                  <w:rStyle w:val="InternetLink"/>
                  <w:rFonts w:ascii="Arial;sans-serif" w:hAnsi="Arial;sans-serif"/>
                  <w:b w:val="false"/>
                  <w:color w:val="0000FF"/>
                  <w:sz w:val="20"/>
                  <w:u w:val="single"/>
                </w:rPr>
                <w:t>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73">
              <w:r>
                <w:rPr>
                  <w:rStyle w:val="InternetLink"/>
                  <w:rFonts w:ascii="Arial;sans-serif" w:hAnsi="Arial;sans-serif"/>
                  <w:b w:val="false"/>
                  <w:color w:val="0000FF"/>
                  <w:sz w:val="20"/>
                  <w:u w:val="single"/>
                </w:rPr>
                <w:t>19</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85">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85">
              <w:r>
                <w:rPr>
                  <w:rStyle w:val="InternetLink"/>
                  <w:rFonts w:ascii="Arial;sans-serif" w:hAnsi="Arial;sans-serif"/>
                  <w:b w:val="false"/>
                  <w:color w:val="0000FF"/>
                  <w:sz w:val="20"/>
                  <w:u w:val="single"/>
                </w:rPr>
                <w:t>32</w:t>
              </w:r>
            </w:hyperlink>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88">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88">
              <w:r>
                <w:rPr>
                  <w:rStyle w:val="InternetLink"/>
                  <w:rFonts w:ascii="Arial;sans-serif" w:hAnsi="Arial;sans-serif"/>
                  <w:b w:val="false"/>
                  <w:color w:val="0000FF"/>
                  <w:sz w:val="20"/>
                  <w:u w:val="single"/>
                </w:rPr>
                <w:t>33</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91">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91">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94">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94">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97">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97">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00">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00">
              <w:r>
                <w:rPr>
                  <w:rStyle w:val="InternetLink"/>
                  <w:rFonts w:ascii="Arial;sans-serif" w:hAnsi="Arial;sans-serif"/>
                  <w:b w:val="false"/>
                  <w:color w:val="0000FF"/>
                  <w:sz w:val="20"/>
                  <w:u w:val="single"/>
                </w:rPr>
                <w:t>34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03">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03">
              <w:r>
                <w:rPr>
                  <w:rStyle w:val="InternetLink"/>
                  <w:rFonts w:ascii="Arial;sans-serif" w:hAnsi="Arial;sans-serif"/>
                  <w:b w:val="false"/>
                  <w:color w:val="0000FF"/>
                  <w:sz w:val="20"/>
                  <w:u w:val="single"/>
                </w:rPr>
                <w:t>34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06">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06">
              <w:r>
                <w:rPr>
                  <w:rStyle w:val="InternetLink"/>
                  <w:rFonts w:ascii="Arial;sans-serif" w:hAnsi="Arial;sans-serif"/>
                  <w:b w:val="false"/>
                  <w:color w:val="0000FF"/>
                  <w:sz w:val="20"/>
                  <w:u w:val="single"/>
                </w:rPr>
                <w:t>34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09">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12">
              <w:r>
                <w:rPr>
                  <w:rStyle w:val="InternetLink"/>
                  <w:rFonts w:ascii="Arial;sans-serif" w:hAnsi="Arial;sans-serif"/>
                  <w:b w:val="false"/>
                  <w:color w:val="0000FF"/>
                  <w:sz w:val="20"/>
                  <w:u w:val="single"/>
                </w:rPr>
                <w:t>35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2f326f29f44f6580f91412fc96fec4_112">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12">
              <w:r>
                <w:rPr>
                  <w:rStyle w:val="InternetLink"/>
                  <w:rFonts w:ascii="Arial;sans-serif" w:hAnsi="Arial;sans-serif"/>
                  <w:b w:val="false"/>
                  <w:color w:val="0000FF"/>
                  <w:sz w:val="20"/>
                  <w:u w:val="single"/>
                </w:rPr>
                <w:t>35</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b2f326f29f44f6580f91412fc96fec4_115">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2f326f29f44f6580f91412fc96fec4_115">
              <w:r>
                <w:rPr>
                  <w:rStyle w:val="InternetLink"/>
                  <w:rFonts w:ascii="Arial;sans-serif" w:hAnsi="Arial;sans-serif"/>
                  <w:b w:val="false"/>
                  <w:color w:val="0000FF"/>
                  <w:sz w:val="20"/>
                  <w:u w:val="singl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9610" w:type="dxa"/>
        <w:jc w:val="center"/>
        <w:tblInd w:w="0" w:type="dxa"/>
        <w:tblLayout w:type="fixed"/>
        <w:tblCellMar>
          <w:top w:w="28" w:type="dxa"/>
          <w:left w:w="28" w:type="dxa"/>
          <w:bottom w:w="28" w:type="dxa"/>
          <w:right w:w="28" w:type="dxa"/>
        </w:tblCellMar>
      </w:tblPr>
      <w:tblGrid>
        <w:gridCol w:w="2235"/>
        <w:gridCol w:w="1963"/>
        <w:gridCol w:w="1981"/>
        <w:gridCol w:w="291"/>
        <w:gridCol w:w="849"/>
        <w:gridCol w:w="150"/>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$6.1 and $5.7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 (DEFICIT)</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16.8 and 14.3 issued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0.4 shares and 0.4 shares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757" w:type="dxa"/>
        <w:jc w:val="left"/>
        <w:tblInd w:w="0" w:type="dxa"/>
        <w:tblLayout w:type="fixed"/>
        <w:tblCellMar>
          <w:top w:w="28" w:type="dxa"/>
          <w:left w:w="28" w:type="dxa"/>
          <w:bottom w:w="28" w:type="dxa"/>
          <w:right w:w="28" w:type="dxa"/>
        </w:tblCellMar>
      </w:tblPr>
      <w:tblGrid>
        <w:gridCol w:w="1136"/>
        <w:gridCol w:w="996"/>
        <w:gridCol w:w="1003"/>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(benefit)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share-diluted</w:t>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 2023 and 2022</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90"/>
        <w:gridCol w:w="500"/>
        <w:gridCol w:w="502"/>
        <w:gridCol w:w="211"/>
        <w:gridCol w:w="511"/>
        <w:gridCol w:w="109"/>
        <w:gridCol w:w="109"/>
        <w:gridCol w:w="109"/>
        <w:gridCol w:w="109"/>
        <w:gridCol w:w="226"/>
        <w:gridCol w:w="436"/>
        <w:gridCol w:w="119"/>
        <w:gridCol w:w="109"/>
        <w:gridCol w:w="109"/>
        <w:gridCol w:w="109"/>
        <w:gridCol w:w="293"/>
        <w:gridCol w:w="858"/>
        <w:gridCol w:w="153"/>
        <w:gridCol w:w="109"/>
        <w:gridCol w:w="109"/>
        <w:gridCol w:w="109"/>
        <w:gridCol w:w="293"/>
        <w:gridCol w:w="585"/>
        <w:gridCol w:w="152"/>
        <w:gridCol w:w="109"/>
        <w:gridCol w:w="109"/>
        <w:gridCol w:w="109"/>
        <w:gridCol w:w="311"/>
        <w:gridCol w:w="933"/>
        <w:gridCol w:w="162"/>
        <w:gridCol w:w="109"/>
        <w:gridCol w:w="109"/>
        <w:gridCol w:w="109"/>
        <w:gridCol w:w="383"/>
        <w:gridCol w:w="955"/>
        <w:gridCol w:w="288"/>
      </w:tblGrid>
      <w:tr>
        <w:trPr/>
        <w:tc>
          <w:tcPr>
            <w:tcW w:w="5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Greene's acquisition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5"/>
        <w:gridCol w:w="639"/>
        <w:gridCol w:w="641"/>
        <w:gridCol w:w="260"/>
        <w:gridCol w:w="260"/>
        <w:gridCol w:w="261"/>
        <w:gridCol w:w="112"/>
        <w:gridCol w:w="112"/>
        <w:gridCol w:w="112"/>
        <w:gridCol w:w="225"/>
        <w:gridCol w:w="434"/>
        <w:gridCol w:w="122"/>
        <w:gridCol w:w="109"/>
        <w:gridCol w:w="109"/>
        <w:gridCol w:w="109"/>
        <w:gridCol w:w="265"/>
        <w:gridCol w:w="776"/>
        <w:gridCol w:w="138"/>
        <w:gridCol w:w="109"/>
        <w:gridCol w:w="109"/>
        <w:gridCol w:w="109"/>
        <w:gridCol w:w="252"/>
        <w:gridCol w:w="503"/>
        <w:gridCol w:w="131"/>
        <w:gridCol w:w="109"/>
        <w:gridCol w:w="109"/>
        <w:gridCol w:w="109"/>
        <w:gridCol w:w="276"/>
        <w:gridCol w:w="826"/>
        <w:gridCol w:w="144"/>
        <w:gridCol w:w="109"/>
        <w:gridCol w:w="109"/>
        <w:gridCol w:w="109"/>
        <w:gridCol w:w="366"/>
        <w:gridCol w:w="916"/>
        <w:gridCol w:w="191"/>
        <w:gridCol w:w="160"/>
      </w:tblGrid>
      <w:tr>
        <w:trPr/>
        <w:tc>
          <w:tcPr>
            <w:tcW w:w="77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Deficit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beginning period Retained Earnings as a result of Topic 326 adoption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2022</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121" w:type="dxa"/>
        <w:jc w:val="left"/>
        <w:tblInd w:w="0" w:type="dxa"/>
        <w:tblLayout w:type="fixed"/>
        <w:tblCellMar>
          <w:top w:w="28" w:type="dxa"/>
          <w:left w:w="28" w:type="dxa"/>
          <w:bottom w:w="28" w:type="dxa"/>
          <w:right w:w="28" w:type="dxa"/>
        </w:tblCellMar>
      </w:tblPr>
      <w:tblGrid>
        <w:gridCol w:w="2595"/>
        <w:gridCol w:w="2280"/>
        <w:gridCol w:w="2295"/>
        <w:gridCol w:w="327"/>
        <w:gridCol w:w="793"/>
        <w:gridCol w:w="169"/>
        <w:gridCol w:w="109"/>
        <w:gridCol w:w="109"/>
        <w:gridCol w:w="109"/>
        <w:gridCol w:w="296"/>
        <w:gridCol w:w="823"/>
        <w:gridCol w:w="216"/>
      </w:tblGrid>
      <w:tr>
        <w:trPr/>
        <w:tc>
          <w:tcPr>
            <w:tcW w:w="259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flows used in operating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gain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provided by (used in) operating activities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acquisition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investing activities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ABL Facility</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finance lease refinancing</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provided by financing activities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deposits on capital expenditures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capital expenditures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including $1.7 in cash, in an all-stock transaction. Greene’s is a leading provider of wellhead protection, flowback and well testing services. The acquisition of Greene’s, which is expected to be accretive to KLX in 2023, augments the KLX frac rental and flowback offering, providing KLX with a broader presence in the Permian and Eagle Ford basins. See Note 2 -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2023 or for any future period. The information included in these condensed consolidated financial statements should be read in conjunction with the condensed consolidated financial statements and accompanying notes included in the Company’s 2022 Annual Report on Form 10-K filed with the SEC on March 9,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8, 2023, KLXE acquired all of the equity interests of Greene’s, including $1.7 in cash, in an all-stock transaction. The total consideration for the acquisition consisted of the issuance of approximately 2.4 million shares of KLXE common stock, par value $0.01 per share (the “Common Stock”), subject to customary post-closing adjustments, with an implied enterprise value of approximately $30.3 based on a 30-day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weighted average price as of March 7, 2023 and less acquired cash. Following the closing of the transaction, former shareholders of Greene’s hold approximately 14.7% of the fully diluted Common Stock of the Company, as of March 8, 2023. As of the date of this filing, the integration is substantially complete, and the Company expects $2.0 to $3.0 in cost synergies.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Financial Accounting Standards Board Accounting Standards Codification Topic 805, Business Combinations (“ASC 805”). The results of operations for the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statements of operations for the three and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first quarter of 2024. The following table summarizes the fair values of assets acquired and liabilities assumed in the acquisition in accordance with ASC 805:</w:t>
      </w:r>
    </w:p>
    <w:tbl>
      <w:tblPr>
        <w:tblW w:w="4231" w:type="dxa"/>
        <w:jc w:val="left"/>
        <w:tblInd w:w="0" w:type="dxa"/>
        <w:tblLayout w:type="fixed"/>
        <w:tblCellMar>
          <w:top w:w="28" w:type="dxa"/>
          <w:left w:w="28" w:type="dxa"/>
          <w:bottom w:w="28" w:type="dxa"/>
          <w:right w:w="28" w:type="dxa"/>
        </w:tblCellMar>
      </w:tblPr>
      <w:tblGrid>
        <w:gridCol w:w="1190"/>
        <w:gridCol w:w="1047"/>
        <w:gridCol w:w="1063"/>
        <w:gridCol w:w="224"/>
        <w:gridCol w:w="543"/>
        <w:gridCol w:w="16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Greene's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w:t>
            </w:r>
            <w:r>
              <w:rPr>
                <w:rFonts w:ascii="Arial;sans-serif" w:hAnsi="Arial;sans-serif"/>
                <w:b w:val="false"/>
                <w:color w:val="000000"/>
                <w:sz w:val="12"/>
              </w:rPr>
              <w:t>(1)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Total purchase price</w:t>
            </w:r>
            <w:r>
              <w:rPr>
                <w:rFonts w:ascii="Arial;sans-serif" w:hAnsi="Arial;sans-serif"/>
                <w:b w:val="false"/>
                <w:color w:val="000000"/>
                <w:sz w:val="12"/>
              </w:rPr>
              <w:t>(1)</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Arial;sans-serif" w:hAnsi="Arial;sans-serif"/>
          <w:b w:val="false"/>
          <w:color w:val="000000"/>
          <w:sz w:val="10"/>
        </w:rPr>
        <w:t>(1)</w:t>
      </w:r>
      <w:r>
        <w:rPr>
          <w:rFonts w:ascii="Arial;sans-serif" w:hAnsi="Arial;sans-serif"/>
          <w:b w:val="false"/>
          <w:color w:val="000000"/>
          <w:sz w:val="16"/>
        </w:rPr>
        <w:t>Net of working capital adjustment of $0.6</w:t>
      </w:r>
      <w:r>
        <w:rPr>
          <w:color w:val="000000"/>
        </w:rPr>
        <w:t xml:space="preserve"> </w:t>
      </w:r>
    </w:p>
    <w:p>
      <w:pPr>
        <w:pStyle w:val="TextBody"/>
        <w:bidi w:val="0"/>
        <w:spacing w:lineRule="auto" w:line="288" w:before="100" w:after="283"/>
        <w:ind w:left="0" w:right="0" w:hanging="270"/>
        <w:jc w:val="both"/>
        <w:rPr/>
      </w:pPr>
      <w:r>
        <w:rPr>
          <w:rFonts w:ascii="Arial;sans-serif" w:hAnsi="Arial;sans-serif"/>
          <w:b w:val="false"/>
          <w:color w:val="000000"/>
          <w:sz w:val="10"/>
        </w:rPr>
        <w:t>(2)</w:t>
      </w:r>
      <w:r>
        <w:rPr>
          <w:rFonts w:ascii="Arial;sans-serif" w:hAnsi="Arial;sans-serif"/>
          <w:b w:val="false"/>
          <w:color w:val="000000"/>
          <w:sz w:val="16"/>
        </w:rPr>
        <w:t>The total consideration of the acquisition was approximately $34.0, which was comprised of 2.4 million shares of the Company's Common Stock.</w:t>
      </w:r>
    </w:p>
    <w:p>
      <w:pPr>
        <w:pStyle w:val="TextBody"/>
        <w:bidi w:val="0"/>
        <w:spacing w:before="100" w:after="283"/>
        <w:ind w:left="0" w:right="0" w:hanging="27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acquisition, as if it occurred on January 1, 2022, revenues and net income (loss) for the three and six months ended June 30, 2023 and 2022 would have been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7729" w:type="dxa"/>
        <w:jc w:val="center"/>
        <w:tblInd w:w="0" w:type="dxa"/>
        <w:tblLayout w:type="fixed"/>
        <w:tblCellMar>
          <w:top w:w="28" w:type="dxa"/>
          <w:left w:w="28" w:type="dxa"/>
          <w:bottom w:w="28" w:type="dxa"/>
          <w:right w:w="28" w:type="dxa"/>
        </w:tblCellMar>
      </w:tblPr>
      <w:tblGrid>
        <w:gridCol w:w="558"/>
        <w:gridCol w:w="491"/>
        <w:gridCol w:w="495"/>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768"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327"/>
        <w:gridCol w:w="793"/>
        <w:gridCol w:w="169"/>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fluid ends) used to perform services for customers. The Company values inventories at the lower of cost or net realizable value. Inventories are reported net of inventory reserve of $4.1 and $4.4 as of June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496"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291"/>
        <w:gridCol w:w="849"/>
        <w:gridCol w:w="150"/>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$14.1 and $12.4 for the three months ended June 30, 2023 and 2022, respectively, and $27.5 and $24.5 for the six months ended June 30, 2023 and 2022, respectively. Finance lease amortization expense was $3.4 and $1.6 for the three months ended June 30, 2023 and 2022, respectively, and $6.5 and $3.1 for the six months ended June 30, 2023 and 2022,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June 30, 2023,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equipment. These assets were being actively marketed for sale as of June 30, 2023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Long-Term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tbl>
      <w:tblPr>
        <w:tblW w:w="6731" w:type="dxa"/>
        <w:jc w:val="left"/>
        <w:tblInd w:w="0" w:type="dxa"/>
        <w:tblLayout w:type="fixed"/>
        <w:tblCellMar>
          <w:top w:w="28" w:type="dxa"/>
          <w:left w:w="28" w:type="dxa"/>
          <w:bottom w:w="28" w:type="dxa"/>
          <w:right w:w="28" w:type="dxa"/>
        </w:tblCellMar>
      </w:tblPr>
      <w:tblGrid>
        <w:gridCol w:w="1196"/>
        <w:gridCol w:w="1050"/>
        <w:gridCol w:w="1054"/>
        <w:gridCol w:w="291"/>
        <w:gridCol w:w="849"/>
        <w:gridCol w:w="150"/>
        <w:gridCol w:w="109"/>
        <w:gridCol w:w="109"/>
        <w:gridCol w:w="109"/>
        <w:gridCol w:w="390"/>
        <w:gridCol w:w="1138"/>
        <w:gridCol w:w="28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2023,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June 30, 2023 was $233.8. The Senior Secured Notes bear interest at an annual rate of 11.5%, payable semi-annually in arrears on May 1 and November 1. Accrued interest related to the Senior Secured Notes was $4.5 as of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from September 15, 2024 to the earlier of (A) September 15, 2025 or (B) August 1, 2025, if the Company's Senior Secured Notes are still outstanding as of such date (the earlier of the foregoing item (A) or item (B), the “ABL Maturity Date”) and (ii) increases the revolving credit commitment from $100.0 to $120.0.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2023, the Company had a $120.0 asset-based revolving credit facility pursuant to a senior secured credit agreement dated August 10, 2018, as amended by the ABL Amendment (as defined below) and other amendments (the “ABL Facility”). The ABL Facility matures on the ABL Maturity Date (as defined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fixed charge coverage ratio (“FCCR”) to be at least 1.0 to 1.0 if availability falls below the greater of $15.0 or 20.0% of the line cap. At all times during the three months ended June 30, 2023, availability exceeded this threshold, and the Company was not subject to this financial covenant. As of June 30, 2023, the FCCR was above 1.0 to 1.0, and the Company was in full compliance with its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$50.0 as of June 30, 2023 and bear interest at a rate equal to SOFR plus the applicable margin (as defined in the ABL Facility). The effective interest rate under the ABL Facility was approximately 7.7% on June 30, 2023. Total letters of credit outstanding under the ABL Facility were $5.6 both at June 30, 2023 and at December 31, 2022. Accrued interest under the ABL Facility was $0.1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funds available under the ABL Facility of $61.6 on the June 30, 2023 borrowing base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$50.0 debt outstanding under the ABL Facility as of June 30, 2023. The fair value of the ABL Facility approximates its carrying value as of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June 30, 2023 and December 31, 2022:</w:t>
      </w:r>
    </w:p>
    <w:p>
      <w:pPr>
        <w:pStyle w:val="TextBody"/>
        <w:bidi w:val="0"/>
        <w:spacing w:before="0" w:after="0"/>
        <w:jc w:val="both"/>
        <w:rPr/>
      </w:pPr>
      <w:r>
        <w:rPr/>
      </w:r>
    </w:p>
    <w:tbl>
      <w:tblPr>
        <w:tblW w:w="9820" w:type="dxa"/>
        <w:jc w:val="left"/>
        <w:tblInd w:w="0" w:type="dxa"/>
        <w:tblLayout w:type="fixed"/>
        <w:tblCellMar>
          <w:top w:w="28" w:type="dxa"/>
          <w:left w:w="28" w:type="dxa"/>
          <w:bottom w:w="28" w:type="dxa"/>
          <w:right w:w="28" w:type="dxa"/>
        </w:tblCellMar>
      </w:tblPr>
      <w:tblGrid>
        <w:gridCol w:w="1414"/>
        <w:gridCol w:w="1241"/>
        <w:gridCol w:w="1245"/>
        <w:gridCol w:w="291"/>
        <w:gridCol w:w="849"/>
        <w:gridCol w:w="150"/>
        <w:gridCol w:w="109"/>
        <w:gridCol w:w="109"/>
        <w:gridCol w:w="109"/>
        <w:gridCol w:w="294"/>
        <w:gridCol w:w="566"/>
        <w:gridCol w:w="152"/>
        <w:gridCol w:w="152"/>
        <w:gridCol w:w="152"/>
        <w:gridCol w:w="152"/>
        <w:gridCol w:w="294"/>
        <w:gridCol w:w="859"/>
        <w:gridCol w:w="152"/>
        <w:gridCol w:w="152"/>
        <w:gridCol w:w="152"/>
        <w:gridCol w:w="152"/>
        <w:gridCol w:w="294"/>
        <w:gridCol w:w="566"/>
        <w:gridCol w:w="21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based on sales contracts and comparative price quotes, as of June 30, 2023 and December 31, 2022:</w:t>
      </w:r>
    </w:p>
    <w:p>
      <w:pPr>
        <w:pStyle w:val="TextBody"/>
        <w:bidi w:val="0"/>
        <w:spacing w:before="0" w:after="0"/>
        <w:jc w:val="both"/>
        <w:rPr/>
      </w:pPr>
      <w:r>
        <w:rPr/>
      </w:r>
    </w:p>
    <w:tbl>
      <w:tblPr>
        <w:tblW w:w="8136" w:type="dxa"/>
        <w:jc w:val="left"/>
        <w:tblInd w:w="0" w:type="dxa"/>
        <w:tblLayout w:type="fixed"/>
        <w:tblCellMar>
          <w:top w:w="28" w:type="dxa"/>
          <w:left w:w="28" w:type="dxa"/>
          <w:bottom w:w="28" w:type="dxa"/>
          <w:right w:w="28" w:type="dxa"/>
        </w:tblCellMar>
      </w:tblPr>
      <w:tblGrid>
        <w:gridCol w:w="803"/>
        <w:gridCol w:w="705"/>
        <w:gridCol w:w="712"/>
        <w:gridCol w:w="375"/>
        <w:gridCol w:w="721"/>
        <w:gridCol w:w="193"/>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there was no before-tax loss (gain) related to Assets Held for Sale. During the three and six months ended June 30, 2022, the before-tax loss (gain) related to Assets Held for Sale was both $(0.4).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Stockholders' Equity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 Company did not sell any shares of Common Stock and incurred legal and administrative fees of $—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2022, the Company sold 889,271 and 1,584,648 shares of Common Stock, respectively, in exchange for gross proceeds of approximately $4.7 and $8.4,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Compensation cost recognized during the three and six months ended June 30, 2023 and June 30, 2022 was related to grants of restricted stock as approved by the Compensation Committee.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was $0.8 and $0.8 for the three months ended June 30, 2023 and 2022, respectively, and $1.5 and $1.5 for the six months ended June 30, 2023 and 2022, respectively. Unrecognized compensation cost related to restricted stock awards made by the Company was $5.0 at June 30, 2023 and $4.2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benefit was $0.3 and $0.1 for the three and six months ended June 30, 2023, respectively, and was comprised primarily of state and local taxes, offset by a deferred tax benefit recognized from a reduction in the valuation allowance related to the Greene's acquisition. Comparatively, income tax expense was $0.2 and $0.3 for the three and six months ended June 30, 2022, respectively, and was comprised primarily of state and local taxes. The Company continues to have a valuation allowance against its deferred tax balances and, as a result, it was unable to recognize any tax expense on its year-to-date income.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As a result, the Company has three reportable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revenues and operating income (loss) by reportable segment:</w:t>
      </w:r>
    </w:p>
    <w:tbl>
      <w:tblPr>
        <w:tblW w:w="9665" w:type="dxa"/>
        <w:jc w:val="left"/>
        <w:tblInd w:w="0" w:type="dxa"/>
        <w:tblLayout w:type="fixed"/>
        <w:tblCellMar>
          <w:top w:w="28" w:type="dxa"/>
          <w:left w:w="28" w:type="dxa"/>
          <w:bottom w:w="28" w:type="dxa"/>
          <w:right w:w="28" w:type="dxa"/>
        </w:tblCellMar>
      </w:tblPr>
      <w:tblGrid>
        <w:gridCol w:w="1102"/>
        <w:gridCol w:w="968"/>
        <w:gridCol w:w="975"/>
        <w:gridCol w:w="327"/>
        <w:gridCol w:w="793"/>
        <w:gridCol w:w="169"/>
        <w:gridCol w:w="109"/>
        <w:gridCol w:w="109"/>
        <w:gridCol w:w="109"/>
        <w:gridCol w:w="327"/>
        <w:gridCol w:w="793"/>
        <w:gridCol w:w="169"/>
        <w:gridCol w:w="109"/>
        <w:gridCol w:w="109"/>
        <w:gridCol w:w="109"/>
        <w:gridCol w:w="291"/>
        <w:gridCol w:w="849"/>
        <w:gridCol w:w="150"/>
        <w:gridCol w:w="109"/>
        <w:gridCol w:w="109"/>
        <w:gridCol w:w="109"/>
        <w:gridCol w:w="300"/>
        <w:gridCol w:w="835"/>
        <w:gridCol w:w="155"/>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 (loss)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bidi w:val="0"/>
        <w:spacing w:before="0" w:after="0"/>
        <w:jc w:val="both"/>
        <w:rPr/>
      </w:pPr>
      <w:r>
        <w:rPr/>
      </w:r>
    </w:p>
    <w:tbl>
      <w:tblPr>
        <w:tblW w:w="10933" w:type="dxa"/>
        <w:jc w:val="left"/>
        <w:tblInd w:w="0" w:type="dxa"/>
        <w:tblLayout w:type="fixed"/>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003" w:type="dxa"/>
        <w:jc w:val="left"/>
        <w:tblInd w:w="0" w:type="dxa"/>
        <w:tblLayout w:type="fixed"/>
        <w:tblCellMar>
          <w:top w:w="28" w:type="dxa"/>
          <w:left w:w="28" w:type="dxa"/>
          <w:bottom w:w="28" w:type="dxa"/>
          <w:right w:w="28" w:type="dxa"/>
        </w:tblCellMar>
      </w:tblPr>
      <w:tblGrid>
        <w:gridCol w:w="390"/>
        <w:gridCol w:w="343"/>
        <w:gridCol w:w="348"/>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44"/>
        <w:gridCol w:w="590"/>
        <w:gridCol w:w="127"/>
        <w:gridCol w:w="109"/>
        <w:gridCol w:w="109"/>
        <w:gridCol w:w="109"/>
        <w:gridCol w:w="216"/>
        <w:gridCol w:w="632"/>
        <w:gridCol w:w="113"/>
        <w:gridCol w:w="109"/>
        <w:gridCol w:w="109"/>
        <w:gridCol w:w="109"/>
        <w:gridCol w:w="211"/>
        <w:gridCol w:w="616"/>
        <w:gridCol w:w="10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9346" w:type="dxa"/>
        <w:jc w:val="left"/>
        <w:tblInd w:w="0" w:type="dxa"/>
        <w:tblLayout w:type="fixed"/>
        <w:tblCellMar>
          <w:top w:w="28" w:type="dxa"/>
          <w:left w:w="28" w:type="dxa"/>
          <w:bottom w:w="28" w:type="dxa"/>
          <w:right w:w="28" w:type="dxa"/>
        </w:tblCellMar>
      </w:tblPr>
      <w:tblGrid>
        <w:gridCol w:w="868"/>
        <w:gridCol w:w="765"/>
        <w:gridCol w:w="767"/>
        <w:gridCol w:w="346"/>
        <w:gridCol w:w="840"/>
        <w:gridCol w:w="179"/>
        <w:gridCol w:w="118"/>
        <w:gridCol w:w="118"/>
        <w:gridCol w:w="118"/>
        <w:gridCol w:w="396"/>
        <w:gridCol w:w="763"/>
        <w:gridCol w:w="205"/>
        <w:gridCol w:w="109"/>
        <w:gridCol w:w="109"/>
        <w:gridCol w:w="109"/>
        <w:gridCol w:w="346"/>
        <w:gridCol w:w="839"/>
        <w:gridCol w:w="179"/>
        <w:gridCol w:w="109"/>
        <w:gridCol w:w="109"/>
        <w:gridCol w:w="109"/>
        <w:gridCol w:w="346"/>
        <w:gridCol w:w="839"/>
        <w:gridCol w:w="17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351" w:type="dxa"/>
        <w:jc w:val="left"/>
        <w:tblInd w:w="0" w:type="dxa"/>
        <w:tblLayout w:type="fixed"/>
        <w:tblCellMar>
          <w:top w:w="28" w:type="dxa"/>
          <w:left w:w="28" w:type="dxa"/>
          <w:bottom w:w="28" w:type="dxa"/>
          <w:right w:w="28" w:type="dxa"/>
        </w:tblCellMar>
      </w:tblPr>
      <w:tblGrid>
        <w:gridCol w:w="640"/>
        <w:gridCol w:w="564"/>
        <w:gridCol w:w="566"/>
        <w:gridCol w:w="307"/>
        <w:gridCol w:w="898"/>
        <w:gridCol w:w="159"/>
        <w:gridCol w:w="109"/>
        <w:gridCol w:w="109"/>
        <w:gridCol w:w="109"/>
        <w:gridCol w:w="405"/>
        <w:gridCol w:w="1186"/>
        <w:gridCol w:w="299"/>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Net Income (Loss)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income (loss) per common share is computed using the weighted average common shares outstanding during the period. Diluted net income (loss) per common share is computed by using the weighted average common shares outstanding, including the dilutive effect of restricted shares based on an average share price during the period. For the three months ended June 30, 2023 and 2022, 0.4 and 0.4 million shares of the Company’s Common Stock, respectively, and for the six months ended June 30, 2023 and 2022, 0.0 and 0.4 million shares of the Company’s Common Stock, respectively, were excluded from the determination of diluted net income (loss) per common share because their effect would have been anti-dilutive. The computations of basic and diluted net income (loss) per share for the three and six months ended June 30, 2023 and 2022 are as follows:</w:t>
      </w:r>
    </w:p>
    <w:tbl>
      <w:tblPr>
        <w:tblW w:w="10205" w:type="dxa"/>
        <w:jc w:val="left"/>
        <w:tblInd w:w="0" w:type="dxa"/>
        <w:tblLayout w:type="fixed"/>
        <w:tblCellMar>
          <w:top w:w="28" w:type="dxa"/>
          <w:left w:w="28" w:type="dxa"/>
          <w:bottom w:w="28" w:type="dxa"/>
          <w:right w:w="28" w:type="dxa"/>
        </w:tblCellMar>
      </w:tblPr>
      <w:tblGrid>
        <w:gridCol w:w="1329"/>
        <w:gridCol w:w="1159"/>
        <w:gridCol w:w="1170"/>
        <w:gridCol w:w="322"/>
        <w:gridCol w:w="781"/>
        <w:gridCol w:w="166"/>
        <w:gridCol w:w="109"/>
        <w:gridCol w:w="109"/>
        <w:gridCol w:w="109"/>
        <w:gridCol w:w="296"/>
        <w:gridCol w:w="822"/>
        <w:gridCol w:w="153"/>
        <w:gridCol w:w="109"/>
        <w:gridCol w:w="109"/>
        <w:gridCol w:w="109"/>
        <w:gridCol w:w="322"/>
        <w:gridCol w:w="781"/>
        <w:gridCol w:w="166"/>
        <w:gridCol w:w="109"/>
        <w:gridCol w:w="109"/>
        <w:gridCol w:w="109"/>
        <w:gridCol w:w="296"/>
        <w:gridCol w:w="822"/>
        <w:gridCol w:w="153"/>
        <w:gridCol w:w="109"/>
        <w:gridCol w:w="109"/>
        <w:gridCol w:w="109"/>
        <w:gridCol w:w="159"/>
      </w:tblGrid>
      <w:tr>
        <w:trPr/>
        <w:tc>
          <w:tcPr>
            <w:tcW w:w="132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(loss) per common share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(loss) per common share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forward-looking statements are subject to a number of risks, uncertainties, assumptions and other factors that could cause our actual results, performance and prospects to differ materially from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2022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including increases in interest rates, or a prolonged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the novel coronavirus (“COVID-19”) pandemic and subsequent variants, including the global supply chain disruptions and the government interventions into the financial market and economy, among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costs and other changes in supply, demand and costs of equipment;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tariffs or trade or other economic sanctions, political instability or armed conflict, including the ongoing conflict in Ukraine;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international conflicts,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2022</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discussion and analysis addresses the results of our operations for the three and six months ended June 30, 2023, as compared to our results of operations for the three and six months ended June 30, 2022. In addition, the discussion and analysis addresses our liquidity, financial condition and other matters for these periods.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people and assets across all the geographic regions where we maintain a presence. In November 2018, we expanded our completion and intervention service offerings through the acquisition of Motley Services, LLC (“Motley”), a premier provider of large diameter coiled tubing services in the Permian Basin,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Quintana Energy Services (“QES”) during the second quarter of 2020 and, by doing so, helped establish KLXE as an industry leading provider of diversified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“Merger”)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 closing the Merger, the Company integrated personnel, facilities, processes and systems across all functional areas of the organization. Additional synergies may be realized as management continues to rationalize operational facilities and align common roles, processes and systems throughout each function and region. The Merger also enhanced the Company’s ability to effect further industry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including $1.7 in cash, in an all-stock transaction. See Note 2 -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35 patents and 6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Over the last year, market demand for our services has been experiencing a recovery from the lows of the last three years that were heavily impacted by COVID-19. The ongoing conflict in Ukraine has contributed to a growing price resurgence for crude oil and was a major factor behind the increased demand for drilling, completion and production activities in 2022 and early 2023. However, recent inflation has put pressure on and is expected to continue to negatively impact global demand.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West Texas Intermediate (“WTI”) prices have decreased by 11.9% from January 1 to June 30, and commodity prices have retreated from the highest prices in 2022, although they are still at significantly higher levels than the lowest prices of the last three years. Subsequent to June 30, as of July 31, 2023, WTI price has increased by 15.8%. As an initial response to the rising oil prices in 2022 and as a response to the energy crisis resulting from the ongoing conflict in Ukraine, the United States has continued to increase drilling and completion activity levels, although the United States has moderated the pace of increase in the first half of 2023, following the decrease in prices noted above. As of June 30, 2023, U.S. rig count was 674, a decrease of 13.0% since December 31, 2022, according to a report from Baker Hughes.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noted above, commodity prices have recently declined slightly from the highs experienced in the prior year and the demand for commodities could decline further due to, among other things, uncertainty and volatility arising from the ongoing conflict in Ukraine, release of sanctions on Russia, increasing inflation and government efforts to reduce inflation, speculation as to future actions by OPEC+, higher gas prices, or possible changes in the overall health of the global economy, including a prolonged recession. Although current forward strip for commodity prices indicate expectations of relatively high commodity prices over the next twelve months or longer, the current commodity price environment remains uncertain and the extent to which commodity prices and our operating and financial results of future periods will be impacted by the above-mentioned factors will depend largely on future developments, which are highly uncertain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significant inflation across the cost of goods and services in 2023. During the quarter ended June 30, 2023, the Producer Price Index as measured by the Bureau of Labor Statistics decreased by 0.2%. In spite of this minimal decrease in the second quarter of 2023, we have continued to experience higher costs for goods used in providing services to our customers. In addition, we face increased competition for labor, as turnover in the industry is still fairly high. We are spending more to attract and retain employees in the field, especially as we plan for continued growth for the remainder of this fiscal year. At the same time, we have seen increased demand for our services, which has allowed us to implement price increases with our customers across all regions to offset these higher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The required investment in our business includes both working capital (principally for accounts receivable, inventory and accounts payable growth tied to increasing activity and revenues)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June 30, 2023 Compared to Three Months Ended June 30,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6953"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70"/>
        <w:gridCol w:w="27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2023, revenues were $234.0, an increase of $49.6, or 26.9%, as compared with the prior year period. The overall increase in revenues reflects the recovery in economic activity during the year, leading to increased demand for our services and a positive pricing environment. Increased weighted average price contributed to approximately 83% of the $49.6 increase, and increased weighted average volume contributed to the remaining approximately 17%. On a segment basis, Rocky Mountains segment revenue increased by $13.3 or 25.0%. Increased weighted average price contributed to approximately 80% of the dollar increase, and increased weighted average volume contributed to the remaining approximately 20%. Southwest segment revenue increased by $26.3 or 43.8%. Increased weighted average price contributed to approximately 52% of the dollar increase, and increased weighted average volume contributed to the remaining approximately 48%. Northeast/Mid-Con segment revenue increased by $10.0 or 14.0%. Increased weighted average price contributed to approximately 83% of the dollar increase, and increased weighted average volume contributed to the remaining approximately 17%.</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June 30, 2023, cost of sales were $173.3, or 74.1% of sales, as compared to the three months ended June 30, 2022 of $150.9, or 81.8% of sales. Cost of sales as a percentage of revenues decreased primarily due to improvement in pricing that outpaced the increasing cost of labor during the quarter. The two largest components of cost of sales are labor and repair &amp; maintenance. Although cost of sales as a percentage of revenues decreased, labor costs per employee increased by 12.3% as compared with the three months ended June 30, 2022. Repair &amp; maintenance costs as a percentage of revenues decreased by 2.1% as compared to the three months ended June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June 30, 2023, SG&amp;A expenses were $22.0, or 9.4% of revenues, as compared with $18.0, or 9.8% of revenues, in the prior year period. The increase in percentage of revenues and dollar amount is due to professional and administrative fees, increased headcount as well as other costs related to the Greene's acquisition along with general market inflation in the three months ended June 30, 2023 as compared to the three months ended June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784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334"/>
        <w:gridCol w:w="858"/>
        <w:gridCol w:w="172"/>
        <w:gridCol w:w="109"/>
        <w:gridCol w:w="109"/>
        <w:gridCol w:w="109"/>
        <w:gridCol w:w="381"/>
        <w:gridCol w:w="787"/>
        <w:gridCol w:w="196"/>
        <w:gridCol w:w="109"/>
        <w:gridCol w:w="109"/>
        <w:gridCol w:w="109"/>
        <w:gridCol w:w="375"/>
        <w:gridCol w:w="376"/>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2023, operating income was $19.6 compared to $1.4 in the prior year period, due to improvements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operating segment's operating results improved significantly compared to the prior year period. Rocky Mountains segment operating income was $11.9, Southwest segment operating income was $8.1, and Northeast/Mid-Con segment operating income was $12.6 for the three months ended June 30, 2023. The driving factor for the improvement in each case was higher pricing and activity during the period. Note that operating loss for Corporate and other increased due to non-recurring costs related to the Greene's acquisition.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expense</w:t>
      </w:r>
      <w:r>
        <w:rPr>
          <w:rFonts w:ascii="Arial;sans-serif" w:hAnsi="Arial;sans-serif"/>
          <w:b w:val="false"/>
          <w:color w:val="000000"/>
          <w:sz w:val="20"/>
        </w:rPr>
        <w:t>. For the quarter ended June 30, 2023, income tax benefit was $0.3, as compared to income tax expense of $0.2 in the prior year period, with the change primarily due to a deferred tax benefit recognized from the reduction in the valuation allowance, offset by an increase in state and local taxes. The Company did not recognize tax expense on its year-to-date income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 (loss)</w:t>
      </w:r>
      <w:r>
        <w:rPr>
          <w:rFonts w:ascii="Arial;sans-serif" w:hAnsi="Arial;sans-serif"/>
          <w:b w:val="false"/>
          <w:color w:val="000000"/>
          <w:sz w:val="20"/>
        </w:rPr>
        <w:t>. For the quarter ended June 30, 2023, net income was $11.4, as compared to net loss of $7.5 in the prior year period, increasing primarily as a result of improving operating income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Six Months Ended June 30, 2023 Compared to Six Months Ended June 30,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6953"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70"/>
        <w:gridCol w:w="27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2023, revenues were $473.6, an increase of $136.9, or 40.7%, as compared with the prior year period. The overall increase in revenues reflects the recovery in economic activity during the year, leading to increased demand for our services and a positive pricing environment. Increased weighted average price contributed to approximately 67% of the $136.9 increase, and increased weighted average volume contributed to the remaining approximately 33%. On a segment basis, Rocky Mountains segment revenue increased by $37.9 or 39.3%. Increased weighted average price contributed to approximately 70% of the dollar increase, and increased weighted average volume contributed to the remaining approximately 30%. Southwest segment revenue increased by $47.8 or 42.7%. Increased weighted average price contributed to approximately 55% of the dollar increase, and increased weighted average volume contributed to the remaining approximately 45%. Northeast/Mid-Con segment revenue increased by $51.2 or 39.9%. Increased weighted average price contributed to approximately 67% of the dollar increase, and increased weighted average volume contributed to the remaining approximately 33%.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six months ended June 30, 2023, cost of sales were $354.2, or 74.8% of sales, as compared to the six months ended June 30, 2022 of $285.9, or 84.9% of sales. Cost of sales as a percentage of revenues decreased primarily due to improvement in pricing that outpaced the increasing cost of labor during the period. The two largest components of cost of sales are labor and repair &amp; maintenance. Although cost of sales as a percentage of revenues decreased, labor costs per employee increased by 13.8% as compared with the six months ended June 30, 2022. Repair &amp; maintenance costs as a percentage of revenues decreased by 5.9% as compared to the six months ended June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six months ended June 30, 2023, SG&amp;A expenses were $48.2, or 10.2% of revenues, as compared with $33.0, or 9.8% of revenues, in the prior year period. The increase in percentage of revenues and dollar amount is due to professional and administrative fees, increased headcount as well as other costs related to the Greene's acquisition along with general market inflation in the six months ended June 30, 2023 as compared to the six months ended June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7964"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334"/>
        <w:gridCol w:w="858"/>
        <w:gridCol w:w="172"/>
        <w:gridCol w:w="109"/>
        <w:gridCol w:w="109"/>
        <w:gridCol w:w="109"/>
        <w:gridCol w:w="312"/>
        <w:gridCol w:w="891"/>
        <w:gridCol w:w="161"/>
        <w:gridCol w:w="109"/>
        <w:gridCol w:w="109"/>
        <w:gridCol w:w="109"/>
        <w:gridCol w:w="323"/>
        <w:gridCol w:w="323"/>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578.1 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706.3 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481.2 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2023, operating income was $38.5 compared to operating loss of $10.1 in the prior year period, due to improvements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operating segment's operating results improved significantly compared to the prior year period. Rocky Mountains segment operating income was $21.7, Southwest segment operating income was $12.9, and Northeast/Mid-Con segment operating income was $31.3 for the six months ended June 30, 2023. The driving factor for the improvement in each case was higher pricing and activity during the period. Note that operating loss for Corporate and other increased due to non-recurring costs related to the Greene's acquisition.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(benefit) expense</w:t>
      </w:r>
      <w:r>
        <w:rPr>
          <w:rFonts w:ascii="Arial;sans-serif" w:hAnsi="Arial;sans-serif"/>
          <w:b w:val="false"/>
          <w:color w:val="000000"/>
          <w:sz w:val="20"/>
        </w:rPr>
        <w:t>. For the six months ended June 30, 2023, income tax benefit was $0.1, as compared to income tax expense of $0.3 in the prior year period, and was comprised primarily of a deferred tax benefit recognized from the reduction in the valuation allowance, offset by an increase in state and local taxes. The Company did not recognize tax expense on its year-to-date income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 (loss)</w:t>
      </w:r>
      <w:r>
        <w:rPr>
          <w:rFonts w:ascii="Arial;sans-serif" w:hAnsi="Arial;sans-serif"/>
          <w:b w:val="false"/>
          <w:color w:val="000000"/>
          <w:sz w:val="20"/>
        </w:rPr>
        <w:t>. For the six months ended June 30, 2023, net income was $20.8, as compared to net loss of $27.4 in the prior year period, increasing primarily as a result of improving operating income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asset-based revolving credit facility, as amended by the ABL Amendment (as defined below) and other amendments (the “ABL Facility”) and cash flows from operations. At June 30, 2023, we had $82.1 of cash and cash equivalents and $61.6 available on the June 2023 ABL Facility Borrowing Base Certificate, which resulted in an available liquidity position of $143.7.</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 Senior Secured Notes” for information regarding scheduled maturities of our long-term debt. See “Note 8 - Leases” of Item 8 in our 2022 Annual Report on Form 10-K filed with the SEC on March 9, 2023 for information regarding scheduled maturities of our operating and financing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closing our Florida legacy headquarters and relocating all key functions to Houston, eliminating redundancies and duplicative functions throughout our operations following the merger with QES, issuing equity under our ATM Offering, executing debt for equity exchanges that have reduced our interest burden and monetizing non-core and obsolete assets. We actively manage our capital spending and are focused primarily on required maintenance spending. Additionally, despite ongoing volatility in commodity prices and increased inflation, continued higher oil prices over 2022 and 2023 relative to those over 2020 and 2021 have resulted in an increase in demand for our services and an improvement in our operating cash flows in the six months ended June 30, 2023 as compared to the six months ended June 30, 2022.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substantial indebtedness. As of June 30, 2023, we had total outstanding long-term indebtedness of $283.8 under our ABL Facility and Senior Secured Notes as described in greater detail under “— ABL Facility” and “—Senior Secured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and other financial and business factors, many of which are beyond our control.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ABL Facility matures on the ABL Maturity Date in 2025 (as defined below) and our Senior Secured Notes (as defined below) mature in 2025.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market conditions, our contractual restrictions and other factors, we have and may continue to explore various alternatives to recapitalize, refinance or otherwise restructure our capital structure. We may accomplish this through open market or privately negotiated transactions or otherwise, which may include, among other things, a mix of refinancings, private or public equity or debt raises and rights offerings, retirement or repurchases of our outstanding Senior Secured Notes, debt-for-debt or debt-for-equity exchanges or conversions that if successful could result in the dilution of ownership by existing stockholders. Some of these alternatives may require the consent of current lenders, stockholders or noteholders and the amounts involved may be 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ABL Facility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prior to the effectiveness of the ABL Amendment (as defined below), was scheduled to mature in September 2024. Borrowings under the ABL Facility bear interest at a rate equal to Term SOFR (as defined in the ABL Facility) plus the Applicable Margin (as defined in the ABL Facility). The ABL Facility is tied to a borrowing base formula and the ABL Facility has no maintenance financial covenants as long as the minimum level of borrowing availability is maintained. The ABL Facility is secured by, among other things, a first priority lien on our accounts receivable and inventory and contains customary conditions precedent to borrowing and affirmative and negative covenants. $50.0 was outstanding under the ABL Facility as of June 30, 2023. The effective interest rate under the ABL Facility was approximately 7.7% on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from September 15, 2024 to the earlier of (A) September 15, 2025 or (B) August 1, 2025, if the Company's Senior Secured Notes are still outstanding as of such date (the earlier of the foregoing item (A) or item (B), the “ABL Maturity Date”) and (ii) increases the revolving credit commitment from $100.0 to $120.0.</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FCCR to be at least 1.0 to 1.0 if availability falls below the greater of $15.0 or 20.0% of the borrowing base. At all times during the six months ended June 30, 2023, availability exceeded this threshold, and the Company was not subject to this financial covenant. As of June 30, 2023, the FCCR was above 1.0 to 1.0, and the Company was in full compliance with the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Senior Secured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June 30, 2023 was $233.8. The Senior Secured Notes bear interest at an annual rate of 11.5%, payable semi-annually in arrears on May 1 and November 1 and mature in 2025. Accrued interest related to the Senior Secured Notes was $4.5 as of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$26.5 during the six months ended June 30, 2023, compared to $13.6 in the six months ended June 30, 2022. Based on current industry conditions and our significant investments in capital expenditures over the past several years, we expect to incur between $45.0 and $55.0 in total capital expenditures for the year ending December 31, 2023, out of which $35.0 to $40.0 will be attributable to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16, 2022, the Company entered into Amendment No. 1 to the Equity Distribution Agreement (the “EDA Amendment”) with the Agent. Among other things, the EDA Amendment allows for debt-for-equity exchanges in accordance with Section 3(a)(9) of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Common Stock offered and sold in the ATM Offering may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 Company did not sell any shares of Common Stock and incurred legal and administrative fees of $—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2022, the Company sold 889,271 and 1,584,648 shares of Common Stock, respectively, in exchange for gross proceeds of approximately $4.7 and $8.4,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provided by operating activities for the six months ended June 30, 2023 were approximately $51.4 as compared to approximately $14.6 used in operating activities for the six months ended June 30, 2022.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June 30, 2023, we had $82.1 of cash and cash equivalents. Cash on hand at June 30, 2023 increased by $24.7 for the six months then ended, as a result of $51.4 of cash flows provided by operating activities, $16.9 of cash flows used in investing activities and $9.8 of cash flows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9143" w:type="dxa"/>
        <w:jc w:val="left"/>
        <w:tblInd w:w="0" w:type="dxa"/>
        <w:tblLayout w:type="fixed"/>
        <w:tblCellMar>
          <w:top w:w="28" w:type="dxa"/>
          <w:left w:w="28" w:type="dxa"/>
          <w:bottom w:w="28" w:type="dxa"/>
          <w:right w:w="28" w:type="dxa"/>
        </w:tblCellMar>
      </w:tblPr>
      <w:tblGrid>
        <w:gridCol w:w="1910"/>
        <w:gridCol w:w="1682"/>
        <w:gridCol w:w="1688"/>
        <w:gridCol w:w="109"/>
        <w:gridCol w:w="109"/>
        <w:gridCol w:w="109"/>
        <w:gridCol w:w="334"/>
        <w:gridCol w:w="858"/>
        <w:gridCol w:w="172"/>
        <w:gridCol w:w="109"/>
        <w:gridCol w:w="109"/>
        <w:gridCol w:w="109"/>
        <w:gridCol w:w="312"/>
        <w:gridCol w:w="891"/>
        <w:gridCol w:w="161"/>
        <w:gridCol w:w="109"/>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(used in)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$51.4 for the six months ended June 30, 2023, as compared to net cash used in operating activities of $14.6 for the six months ended June 30, 2022. The increase in operating cash flows was attributable to increased profitability and management of working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$16.9 for the six months ended June 30, 2023, as compared to net cash used in investing activities of $7.1 for the six months ended June 30, 2022. The cash flows used in investing activities were primarily driven by maintenance capital spending tied to the operation of our existing asset base offset by sales of trucks and other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provided by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$9.8 for the six months ended June 30, 2023, compared to net cash provided by financing activities of $25.2 for the six months ended June 30, 2022. During the six months ended June 30, 2023, $6.4 was paid on finance lease obligations, $2.3 was paid on financed payables, $0.3 was paid for debt issuance costs, $0.1 was paid in legal and administrative fees related to our ATM Offering and $0.7 was paid for treasury shares in connection with the settlement of income tax and related benefit withholding obligations arising from vesting of restricted stock grants under the Company’s long-term incentive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2022 Annual Report on Form 10-K filed with the SEC on March 9,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completed our acquisition of Greene’s on March 8, 2023. Greene’s results of operations have been included in our financial results for the period subsequent to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June 30, 2023,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June 30, 2023.</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Except as described below, there have been no changes in our internal control over financial reporting during the period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2023, the Company implemented a new enterprise resource planning (“ERP”) system. In connection with this ERP system, we have updated our internal controls over financial reporting to accommodate modifications to our business processes and accounting procedures. We are planning for this ERP system and the related internal controls over financial reporting to be subject to testing for effectiveness. We do not believe that the transition to this ERP system will have an adverse effect on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4" w:type="dxa"/>
        <w:jc w:val="center"/>
        <w:tblInd w:w="0" w:type="dxa"/>
        <w:tblLayout w:type="fixed"/>
        <w:tblCellMar>
          <w:top w:w="28" w:type="dxa"/>
          <w:left w:w="28" w:type="dxa"/>
          <w:bottom w:w="28" w:type="dxa"/>
          <w:right w:w="28" w:type="dxa"/>
        </w:tblCellMar>
      </w:tblPr>
      <w:tblGrid>
        <w:gridCol w:w="298"/>
        <w:gridCol w:w="262"/>
        <w:gridCol w:w="265"/>
        <w:gridCol w:w="676"/>
        <w:gridCol w:w="676"/>
        <w:gridCol w:w="9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June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9"/>
        <w:gridCol w:w="341"/>
        <w:gridCol w:w="343"/>
        <w:gridCol w:w="509"/>
        <w:gridCol w:w="509"/>
        <w:gridCol w:w="510"/>
        <w:gridCol w:w="109"/>
        <w:gridCol w:w="109"/>
        <w:gridCol w:w="109"/>
        <w:gridCol w:w="299"/>
        <w:gridCol w:w="875"/>
        <w:gridCol w:w="154"/>
        <w:gridCol w:w="109"/>
        <w:gridCol w:w="109"/>
        <w:gridCol w:w="109"/>
        <w:gridCol w:w="807"/>
        <w:gridCol w:w="807"/>
        <w:gridCol w:w="810"/>
        <w:gridCol w:w="109"/>
        <w:gridCol w:w="109"/>
        <w:gridCol w:w="109"/>
        <w:gridCol w:w="417"/>
        <w:gridCol w:w="2140"/>
        <w:gridCol w:w="314"/>
      </w:tblGrid>
      <w:tr>
        <w:trPr/>
        <w:tc>
          <w:tcPr>
            <w:tcW w:w="3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2023 - April 30, 2023</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2023 - May 31, 2023</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2023 - June 30, 2023</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b2f326f29f44f6580f91412fc96fec4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38"/>
        <w:gridCol w:w="189"/>
        <w:gridCol w:w="194"/>
        <w:gridCol w:w="2951"/>
        <w:gridCol w:w="2739"/>
        <w:gridCol w:w="3894"/>
      </w:tblGrid>
      <w:tr>
        <w:trPr/>
        <w:tc>
          <w:tcPr>
            <w:tcW w:w="2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20"/>
                  <w:u w:val="single"/>
                </w:rPr>
                <w:t>Fourth Amendment, dated as of June 20, 2023, to Credit Agreement, dated as of August 10, 2018, by and among KLX Energy Services Holdings, Inc., the Subsidiary Guarantors party thereto, the several Lenders and JPMorgan Chase Bank, N.A. as Administrative Agent and Collateral Agent (incorporated by reference to Exhibit 10.1 of KLX Energy Services Holdings, Inc.'s Current Report on Form 8-K, filed on June 20, 2023, File No. 001-38609).</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20"/>
                  <w:u w:val="single"/>
                </w:rPr>
                <w:t>Second Amended and Restated KLX Energy Services Holdings, Inc. Long-Term Incentive Plan (Amended and Restated as of March 8, 2023) (incorporated by reference to Exhibit 10.1 of KLX Energy Services Holdings, Inc.'s Current Report on Form 8-K, filed on May 15, 2023, File No. 001-38609).</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3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3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3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3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shd w:fill="FFFFFF" w:val="clear"/>
        </w:rPr>
        <w:t>Certain schedules and exhibits to this agreement have been omitted in accordance with Item 601(a)(5) of Regulation S-K. A copy of any omitted schedule and/or exhibit will be furnished to the SEC on request.</w:t>
      </w:r>
    </w:p>
    <w:p>
      <w:pPr>
        <w:pStyle w:val="TextBody"/>
        <w:bidi w:val="0"/>
        <w:spacing w:lineRule="auto" w:line="288" w:before="0" w:after="0"/>
        <w:jc w:val="left"/>
        <w:rPr>
          <w:color w:val="000000"/>
          <w:shd w:fill="FFFFFF" w:val="clear"/>
        </w:rPr>
      </w:pPr>
      <w:r>
        <w:rPr>
          <w:color w:val="000000"/>
          <w:shd w:fill="FFFFFF" w:val="clear"/>
        </w:rPr>
        <w:t>†    </w:t>
      </w:r>
      <w:r>
        <w:rPr>
          <w:rFonts w:ascii="Arial;sans-serif" w:hAnsi="Arial;sans-serif"/>
          <w:b w:val="false"/>
          <w:color w:val="000000"/>
          <w:sz w:val="20"/>
          <w:shd w:fill="FFFFFF" w:val="clear"/>
        </w:rPr>
        <w:t>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600"/>
        <w:jc w:val="left"/>
        <w:rPr/>
      </w:pPr>
      <w:hyperlink w:anchor="i0b2f326f29f44f6580f91412fc96fec4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10,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10,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10, 2023</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June 30,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794"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June 30,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8024" w:type="dxa"/>
        <w:jc w:val="left"/>
        <w:tblInd w:w="0" w:type="dxa"/>
        <w:tblLayout w:type="fixed"/>
        <w:tblCellMar>
          <w:top w:w="28" w:type="dxa"/>
          <w:left w:w="28" w:type="dxa"/>
          <w:bottom w:w="28" w:type="dxa"/>
          <w:right w:w="28" w:type="dxa"/>
        </w:tblCellMar>
      </w:tblPr>
      <w:tblGrid>
        <w:gridCol w:w="707"/>
        <w:gridCol w:w="620"/>
        <w:gridCol w:w="623"/>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2023,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794" w:type="dxa"/>
        <w:jc w:val="left"/>
        <w:tblInd w:w="0" w:type="dxa"/>
        <w:tblLayout w:type="fixed"/>
        <w:tblCellMar>
          <w:top w:w="28" w:type="dxa"/>
          <w:left w:w="28" w:type="dxa"/>
          <w:bottom w:w="28" w:type="dxa"/>
          <w:right w:w="28" w:type="dxa"/>
        </w:tblCellMar>
      </w:tblPr>
      <w:tblGrid>
        <w:gridCol w:w="707"/>
        <w:gridCol w:w="620"/>
        <w:gridCol w:w="623"/>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2023,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8024" w:type="dxa"/>
        <w:jc w:val="left"/>
        <w:tblInd w:w="0" w:type="dxa"/>
        <w:tblLayout w:type="fixed"/>
        <w:tblCellMar>
          <w:top w:w="28" w:type="dxa"/>
          <w:left w:w="28" w:type="dxa"/>
          <w:bottom w:w="28" w:type="dxa"/>
          <w:right w:w="28" w:type="dxa"/>
        </w:tblCellMar>
      </w:tblPr>
      <w:tblGrid>
        <w:gridCol w:w="707"/>
        <w:gridCol w:w="620"/>
        <w:gridCol w:w="623"/>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hyperlink" Target="https://www.sec.gov/Archives/edgar/data/1738827/000173882723000043/exhibit101fourthamendmentt.htm" TargetMode="External"/><Relationship Id="rId5" Type="http://schemas.openxmlformats.org/officeDocument/2006/relationships/hyperlink" Target="https://www.sec.gov/Archives/edgar/data/1738827/000173882723000034/klxe-annualmeeting8xkexsec.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17439</Words>
  <Characters>95316</Characters>
  <CharactersWithSpaces>111872</CharactersWithSpaces>
  <Paragraphs>1853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