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jc w:val="center"/>
        <w:ind w:left="340"/>
        <w:spacing w:after="0"/>
        <w:rPr>
          <w:sz w:val="20"/>
          <w:szCs w:val="20"/>
          <w:color w:val="auto"/>
        </w:rPr>
      </w:pPr>
      <w:r>
        <w:rPr>
          <w:rFonts w:ascii="Arial" w:cs="Arial" w:eastAsia="Arial" w:hAnsi="Arial"/>
          <w:sz w:val="10"/>
          <w:szCs w:val="10"/>
          <w:color w:val="auto"/>
        </w:rPr>
        <w:t>Check this box if no longer subject to</w:t>
      </w:r>
    </w:p>
    <w:p>
      <w:pPr>
        <w:spacing w:after="0" w:line="14" w:lineRule="exact"/>
        <w:rPr>
          <w:sz w:val="24"/>
          <w:szCs w:val="24"/>
          <w:color w:val="auto"/>
        </w:rPr>
      </w:pPr>
    </w:p>
    <w:p>
      <w:pPr>
        <w:jc w:val="both"/>
        <w:ind w:left="340" w:right="360" w:hanging="259"/>
        <w:spacing w:after="0" w:line="180" w:lineRule="auto"/>
        <w:tabs>
          <w:tab w:leader="none" w:pos="340" w:val="left"/>
        </w:tabs>
        <w:numPr>
          <w:ilvl w:val="0"/>
          <w:numId w:val="1"/>
        </w:numPr>
        <w:rPr>
          <w:rFonts w:ascii="Arial" w:cs="Arial" w:eastAsia="Arial" w:hAnsi="Arial"/>
          <w:sz w:val="26"/>
          <w:szCs w:val="26"/>
          <w:color w:val="0000FF"/>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-250190</wp:posOffset>
            </wp:positionV>
            <wp:extent cx="114935" cy="163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 cy="1638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-589915</wp:posOffset>
            </wp:positionV>
            <wp:extent cx="1270635"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6578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-1610360</wp:posOffset>
            </wp:positionH>
            <wp:positionV relativeFrom="paragraph">
              <wp:posOffset>28575</wp:posOffset>
            </wp:positionV>
            <wp:extent cx="6967855" cy="1614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61480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00"/>
            <w:col w:w="854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Duckworth Rocky 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1415 LOUISIANA STREET, SUITE 2900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Quintana Energy Services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"QES"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07/28/2020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7" w:lineRule="exact"/>
        <w:rPr>
          <w:sz w:val="24"/>
          <w:szCs w:val="24"/>
          <w:color w:val="auto"/>
        </w:rPr>
      </w:pPr>
    </w:p>
    <w:p>
      <w:pPr>
        <w:sectPr>
          <w:pgSz w:w="11900" w:h="16838" w:orient="portrait"/>
          <w:cols w:equalWidth="0" w:num="3">
            <w:col w:w="3180" w:space="720"/>
            <w:col w:w="3260" w:space="563"/>
            <w:col w:w="3357"/>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77002</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200660</wp:posOffset>
            </wp:positionV>
            <wp:extent cx="6967855" cy="130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303655"/>
                    </a:xfrm>
                    <a:prstGeom prst="rect">
                      <a:avLst/>
                    </a:prstGeom>
                    <a:noFill/>
                  </pic:spPr>
                </pic:pic>
              </a:graphicData>
            </a:graphic>
          </wp:anchor>
        </w:drawing>
      </w:r>
    </w:p>
    <w:p>
      <w:pPr>
        <w:spacing w:after="0" w:line="376"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07/28/2020</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(3)</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92"/>
              </w:rPr>
              <w:t>38,462</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ind w:right="20"/>
              <w:spacing w:after="0"/>
              <w:rPr>
                <w:sz w:val="20"/>
                <w:szCs w:val="20"/>
                <w:color w:val="auto"/>
              </w:rPr>
            </w:pPr>
            <w:r>
              <w:rPr>
                <w:rFonts w:ascii="Arial" w:cs="Arial" w:eastAsia="Arial" w:hAnsi="Arial"/>
                <w:sz w:val="11"/>
                <w:szCs w:val="11"/>
                <w:color w:val="008000"/>
              </w:rPr>
              <w:t>(3)</w:t>
            </w:r>
          </w:p>
        </w:tc>
        <w:tc>
          <w:tcPr>
            <w:tcW w:w="134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73,365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07/28/2020</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24"/>
              <w:spacing w:after="0"/>
              <w:rPr>
                <w:sz w:val="20"/>
                <w:szCs w:val="20"/>
                <w:color w:val="auto"/>
              </w:rPr>
            </w:pPr>
            <w:r>
              <w:rPr>
                <w:rFonts w:ascii="Arial" w:cs="Arial" w:eastAsia="Arial" w:hAnsi="Arial"/>
                <w:sz w:val="25"/>
                <w:szCs w:val="25"/>
                <w:color w:val="0000FF"/>
                <w:w w:val="86"/>
                <w:vertAlign w:val="subscript"/>
              </w:rPr>
              <w:t>D</w:t>
            </w:r>
            <w:r>
              <w:rPr>
                <w:rFonts w:ascii="Arial" w:cs="Arial" w:eastAsia="Arial" w:hAnsi="Arial"/>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92"/>
              </w:rPr>
              <w:t>73,365</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1"/>
                <w:szCs w:val="11"/>
                <w:color w:val="008000"/>
              </w:rPr>
              <w:t>(1)(2)</w:t>
            </w:r>
          </w:p>
        </w:tc>
        <w:tc>
          <w:tcPr>
            <w:tcW w:w="7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07/28/2020</w:t>
            </w:r>
          </w:p>
        </w:tc>
        <w:tc>
          <w:tcPr>
            <w:tcW w:w="114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920" w:type="dxa"/>
            <w:vAlign w:val="bottom"/>
          </w:tcPr>
          <w:p>
            <w:pPr>
              <w:ind w:left="460"/>
              <w:spacing w:after="0"/>
              <w:rPr>
                <w:sz w:val="20"/>
                <w:szCs w:val="20"/>
                <w:color w:val="auto"/>
              </w:rPr>
            </w:pPr>
            <w:r>
              <w:rPr>
                <w:rFonts w:ascii="Arial" w:cs="Arial" w:eastAsia="Arial" w:hAnsi="Arial"/>
                <w:sz w:val="13"/>
                <w:szCs w:val="13"/>
                <w:color w:val="0000FF"/>
              </w:rPr>
              <w:t>38,462</w:t>
            </w:r>
          </w:p>
        </w:tc>
        <w:tc>
          <w:tcPr>
            <w:tcW w:w="760" w:type="dxa"/>
            <w:vAlign w:val="bottom"/>
            <w:gridSpan w:val="2"/>
          </w:tcPr>
          <w:p>
            <w:pPr>
              <w:jc w:val="center"/>
              <w:ind w:right="4"/>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Arial" w:cs="Arial" w:eastAsia="Arial" w:hAnsi="Arial"/>
                <w:sz w:val="11"/>
                <w:szCs w:val="11"/>
                <w:color w:val="008000"/>
              </w:rPr>
              <w:t>(3)</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38,462</w:t>
            </w: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560" w:type="dxa"/>
            <w:vAlign w:val="bottom"/>
          </w:tcPr>
          <w:p>
            <w:pPr>
              <w:ind w:left="3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 Unit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-1906270</wp:posOffset>
            </wp:positionV>
            <wp:extent cx="7033895" cy="1918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1918335"/>
                    </a:xfrm>
                    <a:prstGeom prst="rect">
                      <a:avLst/>
                    </a:prstGeom>
                    <a:noFill/>
                  </pic:spPr>
                </pic:pic>
              </a:graphicData>
            </a:graphic>
          </wp:anchor>
        </w:drawing>
      </w:r>
    </w:p>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jc w:val="both"/>
        <w:ind w:left="40" w:right="280" w:firstLine="2"/>
        <w:spacing w:after="0" w:line="23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On July 28, 2020, pursuant to the Agreement and Plan of Merger, dated May 3, 2020 (the "Merger Agreement"), by and among Quintana Energy Services Inc. ("QES"), KLX Energy Services Holdings, Inc. ("KLXE"), Krypton Intermediate LLC, and Kypton Merger Sub Inc. ("Merger Sub"), Merger Sub merged with and into QES (the "Merger"), with QES surviving the Merger as the wholly owned subsidiary of KLXE.</w:t>
      </w:r>
    </w:p>
    <w:p>
      <w:pPr>
        <w:spacing w:after="0" w:line="31" w:lineRule="exact"/>
        <w:rPr>
          <w:rFonts w:ascii="Arial" w:cs="Arial" w:eastAsia="Arial" w:hAnsi="Arial"/>
          <w:sz w:val="13"/>
          <w:szCs w:val="13"/>
          <w:color w:val="008000"/>
        </w:rPr>
      </w:pPr>
    </w:p>
    <w:p>
      <w:pPr>
        <w:ind w:left="40" w:right="140" w:firstLine="2"/>
        <w:spacing w:after="0" w:line="23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of the Merger, each share of QES's common stock issued and outstanding immediately prior to the effective time of the Merger, was converted into, and became exchangeable for, 0.0969 shares of KLXE common stock. On July 27, 2020 (the last trading day prior to consummation of the Merger and KLXE's 1-for-5 reverse stock split), the closing price of one share of KLXE common stock was $2.00 and the closing price of one share of QES common stock was $0.93.</w:t>
      </w:r>
    </w:p>
    <w:p>
      <w:pPr>
        <w:spacing w:after="0" w:line="31" w:lineRule="exact"/>
        <w:rPr>
          <w:rFonts w:ascii="Arial" w:cs="Arial" w:eastAsia="Arial" w:hAnsi="Arial"/>
          <w:sz w:val="13"/>
          <w:szCs w:val="13"/>
          <w:color w:val="008000"/>
        </w:rPr>
      </w:pPr>
    </w:p>
    <w:p>
      <w:pPr>
        <w:ind w:left="40" w:right="660" w:firstLine="2"/>
        <w:spacing w:after="0" w:line="249" w:lineRule="auto"/>
        <w:tabs>
          <w:tab w:leader="none" w:pos="16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of the Merger, each outstanding restricted stock unit held by any director of the Company became fully vested and was cancelled, and became exchangeable for 0.0969 shares of KLXE common stock.</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Max L. Bouthillette,</w:t>
            </w:r>
          </w:p>
        </w:tc>
        <w:tc>
          <w:tcPr>
            <w:tcW w:w="6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07/28/2020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61024" TargetMode="External"/><Relationship Id="rId14" Type="http://schemas.openxmlformats.org/officeDocument/2006/relationships/hyperlink" Target="http://www.sec.gov/cgi-bin/browse-edgar?action=getcompany&amp;CIK=0001704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2020-07-30T17:19:52Z</dcterms:created>
  <dcterms:modified xsi:type="dcterms:W3CDTF">2020-07-30T17:19:52Z</dcterms:modified>
</cp:coreProperties>
</file>