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tbl>
      <w:tblPr>
        <w:tblW w:w="2333" w:type="dxa"/>
        <w:jc w:val="center"/>
        <w:tblInd w:w="0" w:type="dxa"/>
        <w:tblLayout w:type="fixed"/>
        <w:tblCellMar>
          <w:top w:w="28" w:type="dxa"/>
          <w:left w:w="28" w:type="dxa"/>
          <w:bottom w:w="28" w:type="dxa"/>
          <w:right w:w="28" w:type="dxa"/>
        </w:tblCellMar>
      </w:tblPr>
      <w:tblGrid>
        <w:gridCol w:w="124"/>
        <w:gridCol w:w="109"/>
        <w:gridCol w:w="109"/>
        <w:gridCol w:w="539"/>
        <w:gridCol w:w="539"/>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2"/>
        </w:rPr>
        <w:t xml:space="preserve">Date of Report (Date of earliest event reported): </w:t>
      </w:r>
      <w:r>
        <w:rPr>
          <w:rFonts w:ascii="Arial;sans-serif" w:hAnsi="Arial;sans-serif"/>
          <w:b/>
          <w:color w:val="000000"/>
          <w:sz w:val="18"/>
        </w:rPr>
        <w:t>September 18,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KLX ENERGY SERVICES HOLDINGS,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tbl>
      <w:tblPr>
        <w:tblW w:w="9764" w:type="dxa"/>
        <w:jc w:val="center"/>
        <w:tblInd w:w="0" w:type="dxa"/>
        <w:tblLayout w:type="fixed"/>
        <w:tblCellMar>
          <w:top w:w="28" w:type="dxa"/>
          <w:left w:w="28" w:type="dxa"/>
          <w:bottom w:w="28" w:type="dxa"/>
          <w:right w:w="28" w:type="dxa"/>
        </w:tblCellMar>
      </w:tblPr>
      <w:tblGrid>
        <w:gridCol w:w="1212"/>
        <w:gridCol w:w="1062"/>
        <w:gridCol w:w="1071"/>
        <w:gridCol w:w="1295"/>
        <w:gridCol w:w="1295"/>
        <w:gridCol w:w="1310"/>
        <w:gridCol w:w="733"/>
        <w:gridCol w:w="733"/>
        <w:gridCol w:w="1053"/>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Delaware</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001-38609</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36-4904146</w:t>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(State or Other Jurisdiction of Incorporation)</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(Commission File Number)</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(IRS Employer Identification No.)</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3040 Post Oak Boulevard, 15th Floor</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Houston, Texas 77056</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(832) 844-1015</w:t>
            </w:r>
          </w:p>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(Registrant’s Telephone Number, Including Area Code)</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w:t>
      </w:r>
    </w:p>
    <w:tbl>
      <w:tblPr>
        <w:tblW w:w="8651" w:type="dxa"/>
        <w:jc w:val="left"/>
        <w:tblInd w:w="0" w:type="dxa"/>
        <w:tblLayout w:type="fixed"/>
        <w:tblCellMar>
          <w:top w:w="28" w:type="dxa"/>
          <w:left w:w="28" w:type="dxa"/>
          <w:bottom w:w="28" w:type="dxa"/>
          <w:right w:w="28" w:type="dxa"/>
        </w:tblCellMar>
      </w:tblPr>
      <w:tblGrid>
        <w:gridCol w:w="124"/>
        <w:gridCol w:w="109"/>
        <w:gridCol w:w="109"/>
        <w:gridCol w:w="2431"/>
        <w:gridCol w:w="2431"/>
        <w:gridCol w:w="3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bl>
    <w:p>
      <w:pPr>
        <w:pStyle w:val="TextBody"/>
        <w:bidi w:val="0"/>
        <w:spacing w:before="0" w:after="0"/>
        <w:ind w:left="0" w:right="0" w:hanging="64"/>
        <w:jc w:val="left"/>
        <w:rPr/>
      </w:pPr>
      <w:r>
        <w:rPr/>
      </w:r>
    </w:p>
    <w:tbl>
      <w:tblPr>
        <w:tblW w:w="10205" w:type="dxa"/>
        <w:jc w:val="center"/>
        <w:tblInd w:w="0" w:type="dxa"/>
        <w:tblLayout w:type="fixed"/>
        <w:tblCellMar>
          <w:top w:w="28" w:type="dxa"/>
          <w:left w:w="28" w:type="dxa"/>
          <w:bottom w:w="28" w:type="dxa"/>
          <w:right w:w="28" w:type="dxa"/>
        </w:tblCellMar>
      </w:tblPr>
      <w:tblGrid>
        <w:gridCol w:w="2188"/>
        <w:gridCol w:w="1897"/>
        <w:gridCol w:w="1915"/>
        <w:gridCol w:w="109"/>
        <w:gridCol w:w="109"/>
        <w:gridCol w:w="109"/>
        <w:gridCol w:w="243"/>
        <w:gridCol w:w="243"/>
        <w:gridCol w:w="246"/>
        <w:gridCol w:w="109"/>
        <w:gridCol w:w="109"/>
        <w:gridCol w:w="109"/>
        <w:gridCol w:w="828"/>
        <w:gridCol w:w="824"/>
        <w:gridCol w:w="1167"/>
      </w:tblGrid>
      <w:tr>
        <w:trPr/>
        <w:tc>
          <w:tcPr>
            <w:tcW w:w="2188"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Name of each exchange</w:t>
            </w:r>
          </w:p>
        </w:tc>
      </w:tr>
      <w:tr>
        <w:trPr/>
        <w:tc>
          <w:tcPr>
            <w:tcW w:w="6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on which registered</w:t>
            </w:r>
          </w:p>
        </w:tc>
      </w:tr>
      <w:tr>
        <w:trPr/>
        <w:tc>
          <w:tcPr>
            <w:tcW w:w="6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Nasdaq Global Select Market</w:t>
            </w:r>
          </w:p>
        </w:tc>
      </w:tr>
      <w:tr>
        <w:trPr/>
        <w:tc>
          <w:tcPr>
            <w:tcW w:w="6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Subscription rights to purchase shares of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KLXER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2441" w:type="dxa"/>
        <w:jc w:val="left"/>
        <w:tblInd w:w="0" w:type="dxa"/>
        <w:tblLayout w:type="fixed"/>
        <w:tblCellMar>
          <w:top w:w="28" w:type="dxa"/>
          <w:left w:w="28" w:type="dxa"/>
          <w:bottom w:w="28" w:type="dxa"/>
          <w:right w:w="28" w:type="dxa"/>
        </w:tblCellMar>
      </w:tblPr>
      <w:tblGrid>
        <w:gridCol w:w="124"/>
        <w:gridCol w:w="109"/>
        <w:gridCol w:w="109"/>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r>
    </w:tbl>
    <w:p>
      <w:pPr>
        <w:pStyle w:val="TextBody"/>
        <w:bidi w:val="0"/>
        <w:spacing w:lineRule="auto" w:line="314"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7" w:before="0" w:after="0"/>
        <w:jc w:val="left"/>
        <w:rPr>
          <w:rFonts w:ascii="Arial;sans-serif" w:hAnsi="Arial;sans-serif"/>
          <w:b/>
          <w:color w:val="000000"/>
          <w:sz w:val="18"/>
        </w:rPr>
      </w:pPr>
      <w:r>
        <w:rPr>
          <w:rFonts w:ascii="Arial;sans-serif" w:hAnsi="Arial;sans-serif"/>
          <w:b/>
          <w:color w:val="000000"/>
          <w:sz w:val="18"/>
        </w:rPr>
        <w:t>Item 8.01 Other Events.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September 18, 2026, </w:t>
      </w:r>
      <w:r>
        <w:rPr>
          <w:rFonts w:ascii="Times New Roman;serif" w:hAnsi="Times New Roman;serif"/>
          <w:b w:val="false"/>
          <w:color w:val="000000"/>
          <w:sz w:val="20"/>
          <w:shd w:fill="FFFFFF" w:val="clear"/>
        </w:rPr>
        <w:t xml:space="preserve">KLX Energy Services Holdings, Inc. issued a press release announcing that it is nearing the previously announced expiration date for its subscription rights offering of 5:00 p.m., </w:t>
      </w:r>
      <w:r>
        <w:rPr>
          <w:rFonts w:ascii="Times New Roman;serif" w:hAnsi="Times New Roman;serif"/>
          <w:b w:val="false"/>
          <w:color w:val="000000"/>
          <w:sz w:val="20"/>
        </w:rPr>
        <w:t>New York City time</w:t>
      </w:r>
      <w:r>
        <w:rPr>
          <w:rFonts w:ascii="Times New Roman;serif" w:hAnsi="Times New Roman;serif"/>
          <w:b w:val="false"/>
          <w:color w:val="000000"/>
          <w:sz w:val="20"/>
          <w:shd w:fill="FFFFFF" w:val="clear"/>
        </w:rPr>
        <w:t>, on September 23, 2026 (the “Expiration Date”). Subscription rights will expire and have no value if they are not exercised prior to the Expiration Date. The press release is attached hereto as Exhibit 99.1 and is hereby incorporated by reference into this Item 8.01.</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before="0" w:after="0"/>
        <w:jc w:val="both"/>
        <w:rPr/>
      </w:pPr>
      <w:r>
        <w:rPr/>
      </w:r>
    </w:p>
    <w:tbl>
      <w:tblPr>
        <w:tblW w:w="731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39"/>
        <w:gridCol w:w="1839"/>
        <w:gridCol w:w="260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klx-noticeofexpirationpres.htm">
              <w:r>
                <w:rPr>
                  <w:rStyle w:val="InternetLink"/>
                  <w:rFonts w:ascii="Arial;sans-serif" w:hAnsi="Arial;sans-serif"/>
                  <w:b w:val="false"/>
                  <w:color w:val="0000FF"/>
                  <w:sz w:val="18"/>
                  <w:u w:val="single"/>
                </w:rPr>
                <w:t>Press Release dated September 18,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326"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7592"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1706"/>
        <w:gridCol w:w="1706"/>
        <w:gridCol w:w="24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KLX Energy Services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Max L. Bouthillette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Max L. Bouthillette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5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Executive Vice President, General Counsel, Chief Compliance Officer </w:t>
              <w:br/>
              <w:t>and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5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September 18,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705100" cy="428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05100" cy="428625"/>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8"/>
        </w:rPr>
        <w:t>Contacts:    </w:t>
      </w:r>
      <w:r>
        <w:rPr>
          <w:rFonts w:ascii="Times New Roman;serif" w:hAnsi="Times New Roman;serif"/>
          <w:b w:val="false"/>
          <w:color w:val="000000"/>
          <w:sz w:val="18"/>
          <w:u w:val="single"/>
        </w:rPr>
        <w:t>KLX Energy Services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Geoffrey C. Stanford, SVP, CAO &amp; Interim CFO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(832) 930-8066</w:t>
      </w:r>
    </w:p>
    <w:p>
      <w:pPr>
        <w:pStyle w:val="TextBody"/>
        <w:bidi w:val="0"/>
        <w:spacing w:lineRule="auto" w:line="288" w:before="0" w:after="0"/>
        <w:jc w:val="left"/>
        <w:rPr/>
      </w:pPr>
      <w:r>
        <w:rPr>
          <w:color w:val="000000"/>
        </w:rPr>
        <w:t>            </w:t>
      </w:r>
      <w:r>
        <w:rPr>
          <w:rFonts w:ascii="Times New Roman;serif" w:hAnsi="Times New Roman;serif"/>
          <w:b w:val="false"/>
          <w:color w:val="0000FF"/>
          <w:sz w:val="18"/>
          <w:u w:val="single"/>
        </w:rPr>
        <w:t>IR@klx.com</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Dennard Lascar Investor Relations</w:t>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Ken Dennard / Natalie Hairston</w:t>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(713) 529-6600</w:t>
      </w:r>
    </w:p>
    <w:p>
      <w:pPr>
        <w:pStyle w:val="TextBody"/>
        <w:bidi w:val="0"/>
        <w:spacing w:lineRule="auto" w:line="288" w:before="0" w:after="0"/>
        <w:ind w:left="0" w:right="0" w:firstLine="72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KLXE@dennardlascar.com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KLX Energy Services Rights Offering Nearing Expiration Date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HOUSTON, TX – September 18, 2026 – KLX Energy Services Holdings, Inc.</w:t>
      </w:r>
      <w:r>
        <w:rPr>
          <w:color w:val="000000"/>
        </w:rPr>
        <w:t xml:space="preserve"> </w:t>
      </w:r>
      <w:r>
        <w:rPr>
          <w:rFonts w:ascii="Times New Roman;serif" w:hAnsi="Times New Roman;serif"/>
          <w:b w:val="false"/>
          <w:color w:val="000000"/>
          <w:sz w:val="22"/>
        </w:rPr>
        <w:t xml:space="preserve">(NASDAQ: KLXE) (“KLX” or the “Company”) announced today that it is nearing the previously announced expiration date for its $125 million backstopped rights offering (the “Rights Offering”) of 5:00 pm, New York City time, on September 23, 2026 (the “Expiration Date”). As a reminder, each subscription right entitles the holder to purchase 3.885 shares of common stock at a subscription price of $1.49 per share. No holder (other than the Backstop Parties described in the Prospectus) is entitled to exercise subscription rights to the extent that such exercise would result in such holder, together with its affiliates and any persons acting in concert with such holder, beneficially owning more than 9.995% of the Company’s outstanding common stock on a pro forma basis after giving effect to such exercise. The subscription rights will continue to trade on The Nasdaq Stock Market LLC under the symbol “KLXER” until the close of trading on the Expiration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Importantly, for holders whose shares of our common stock are held in a brokerage account or are otherwise not registered directly with the Company, the deadline to exercise their subscription rights with their respective brokerage firms may be earlier. Information regarding specific broker-related deadlines should be obtained directly from the broker. The subscription rights will expire and have no value if they are not exercised prior to the Expiration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Rights Offering was made pursuant to the Company’s existing effective shelf registration statement on Form S-3 (Reg. No. 333-295905) on file with the Securities and Exchange Commission (the “SEC”) and the prospectus supplement (and the accompanying base prospectus) filed with the SEC on August 24, 2026 (collectively, the “Prospectus”). The Company reserves the right to extend, amend or terminate the Rights Offering, subject to certain conditions, at any time. Additional information regarding the Rights Offering is set forth in the Prospectus.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Copies of the Prospectus, the subscription rights certificates and other related documents were mailed to all holders on or about August 24, 2026 and can also be accessed through the SEC’s website at www.sec.gov. Holders of shares of common stock in “street name” through a brokerage account, bank or other nominee must instruct their broker, bank or nominee whether to exercise subscription rights on their behalf. Additional information regarding the Rights Offering may be obtained from the information agent, InvestorCom, at (877) 972-0090 (toll free) or (203) 972-9300 (banks and brokers) or via email at </w:t>
      </w:r>
      <w:r>
        <w:rPr>
          <w:rFonts w:ascii="Times New Roman;serif" w:hAnsi="Times New Roman;serif"/>
          <w:b w:val="false"/>
          <w:color w:val="0000FF"/>
          <w:sz w:val="22"/>
          <w:u w:val="single"/>
        </w:rPr>
        <w:t>info@investor-com.com</w:t>
      </w:r>
      <w:r>
        <w:rPr>
          <w:rFonts w:ascii="Times New Roman;serif" w:hAnsi="Times New Roman;serif"/>
          <w:b w:val="false"/>
          <w:color w:val="000000"/>
          <w:sz w:val="22"/>
        </w:rPr>
        <w:t>. Before you invest, you should read the Prospectus and other documents the Company has filed or will file with the SEC for more complete information about the Company and the Rights Offering.</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does not constitute an offer to sell or the solicitation of an offer to buy any of the subscription rights, common stock or any other securities, nor will there be any sale of the subscription rights,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or any other securities in any state or other jurisdiction in which such offer, solicitation or sale would be unlawful prior to registration or qualification under the securities laws of any such state or other jurisdiction.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KLX Energy Services Holdings,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t>
      </w:r>
      <w:r>
        <w:rPr>
          <w:rFonts w:ascii="Times New Roman;serif" w:hAnsi="Times New Roman;serif"/>
          <w:b w:val="false"/>
          <w:color w:val="0000FF"/>
          <w:sz w:val="22"/>
          <w:u w:val="single"/>
        </w:rPr>
        <w:t>www.klx.com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Cautionary Statement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release and the documents to which the Company refers you to in this release,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transactions described herein, the businesses, strategies and plans of the Company and its expectations relating to its future financial condition and performance. Statements included in this release that are not historical facts are forward-looking statements, including, without limitation, statements about the Company’s beliefs and expectations regarding the Rights Offering, including the timing and use of proceeds therefrom.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forward-looking statements in this release and the information incorporated by reference in this release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prevailing market conditions, whether holders of record will exercise their rights to purchase common stock and the amount subscribed, and whether the Company will be able to successfully complete the Rights Offering, as well as, without limitation, those risks described under the heading “Risk Factors” in our most recent Annual Report on Form 10-K filed with the SEC, as supplemented by our Quarterly Reports on Form 10-Q or our Current Reports on Form 8-K, and discussed elsewhere in this release, and the information incorporated by reference in this release. Given these uncertainties, you should not place undue reliance on these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 subsequent written or oral forward-looking statements attributable to the Company or any person acting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w:t>
      </w:r>
    </w:p>
    <w:p>
      <w:pPr>
        <w:pStyle w:val="TextBody"/>
        <w:bidi w:val="0"/>
        <w:spacing w:before="0" w:after="0"/>
        <w:jc w:val="both"/>
        <w:rPr/>
      </w:pPr>
      <w:r>
        <w:rPr/>
      </w:r>
    </w:p>
    <w:p>
      <w:pPr>
        <w:pStyle w:val="TextBody"/>
        <w:bidi w:val="0"/>
        <w:spacing w:lineRule="auto" w:line="362"/>
        <w:jc w:val="center"/>
        <w:rPr>
          <w:rFonts w:ascii="TimesNewRomanPS;sans-serif" w:hAnsi="TimesNewRomanPS;sans-serif"/>
          <w:b w:val="false"/>
          <w:color w:val="000000"/>
          <w:sz w:val="22"/>
        </w:rPr>
      </w:pPr>
      <w:r>
        <w:rPr>
          <w:rFonts w:ascii="TimesNewRomanPS;sans-serif" w:hAnsi="TimesNewRomanPS;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TimesNewRomanP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1603</Words>
  <Characters>9134</Characters>
  <CharactersWithSpaces>10708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