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80645</wp:posOffset>
            </wp:positionV>
            <wp:extent cx="17240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402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2" w:lineRule="exact"/>
        <w:rPr>
          <w:sz w:val="24"/>
          <w:szCs w:val="24"/>
          <w:color w:val="auto"/>
        </w:rPr>
      </w:pPr>
    </w:p>
    <w:p>
      <w:pPr>
        <w:ind w:left="3940" w:right="2380" w:hanging="3391"/>
        <w:spacing w:after="0" w:line="359" w:lineRule="auto"/>
        <w:tabs>
          <w:tab w:leader="none" w:pos="79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2024</w:t>
      </w:r>
    </w:p>
    <w:p>
      <w:pPr>
        <w:spacing w:after="0" w:line="57" w:lineRule="exact"/>
        <w:rPr>
          <w:sz w:val="24"/>
          <w:szCs w:val="24"/>
          <w:color w:val="auto"/>
        </w:rPr>
      </w:pPr>
    </w:p>
    <w:p>
      <w:pPr>
        <w:ind w:left="800" w:hanging="251"/>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5" w:lineRule="exact"/>
        <w:rPr>
          <w:sz w:val="24"/>
          <w:szCs w:val="24"/>
          <w:color w:val="auto"/>
        </w:rPr>
      </w:pPr>
    </w:p>
    <w:p>
      <w:pPr>
        <w:ind w:left="4080"/>
        <w:spacing w:after="0"/>
        <w:tabs>
          <w:tab w:leader="none" w:pos="70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3932555</wp:posOffset>
            </wp:positionH>
            <wp:positionV relativeFrom="paragraph">
              <wp:posOffset>-4445</wp:posOffset>
            </wp:positionV>
            <wp:extent cx="509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36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Commission File No. 001-38609</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6"/>
          <w:szCs w:val="36"/>
          <w:b w:val="1"/>
          <w:bCs w:val="1"/>
          <w:color w:val="auto"/>
        </w:rPr>
        <w:t>KLX Energy Services Holdings, Inc.</w:t>
      </w:r>
    </w:p>
    <w:p>
      <w:pPr>
        <w:spacing w:after="0" w:line="4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ectPr>
          <w:pgSz w:w="11900" w:h="16838" w:orient="portrait"/>
          <w:cols w:equalWidth="0" w:num="1">
            <w:col w:w="11340"/>
          </w:cols>
          <w:pgMar w:left="320" w:top="757" w:right="239" w:bottom="1440" w:gutter="0" w:footer="0" w:header="0"/>
        </w:sectPr>
      </w:pPr>
    </w:p>
    <w:p>
      <w:pPr>
        <w:spacing w:after="0" w:line="139"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color w:val="auto"/>
        </w:rPr>
        <w:t>Delaware</w:t>
      </w:r>
    </w:p>
    <w:p>
      <w:pPr>
        <w:spacing w:after="0" w:line="3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6"/>
          <w:szCs w:val="16"/>
          <w:color w:val="auto"/>
        </w:rPr>
        <w:t>36-4904146</w:t>
      </w:r>
    </w:p>
    <w:p>
      <w:pPr>
        <w:spacing w:after="0" w:line="3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440" w:space="720"/>
            <w:col w:w="4180"/>
          </w:cols>
          <w:pgMar w:left="320" w:top="757" w:right="239" w:bottom="1440" w:gutter="0" w:footer="0" w:header="0"/>
          <w:type w:val="continuous"/>
        </w:sectPr>
      </w:pPr>
    </w:p>
    <w:p>
      <w:pPr>
        <w:spacing w:after="0" w:line="16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3040 Post Oak Boulevard, 15th Floor</w:t>
      </w:r>
    </w:p>
    <w:p>
      <w:pPr>
        <w:spacing w:after="0" w:line="2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Houston, TX 77056</w:t>
      </w:r>
    </w:p>
    <w:p>
      <w:pPr>
        <w:spacing w:after="0" w:line="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(832) 844-1015</w:t>
      </w:r>
    </w:p>
    <w:p>
      <w:pPr>
        <w:spacing w:after="0" w:line="23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principal executive offices of registrant)</w:t>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77"/>
        </w:trPr>
        <w:tc>
          <w:tcPr>
            <w:tcW w:w="36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5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5"/>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Stock, $0.01 Par Value</w:t>
            </w:r>
          </w:p>
        </w:tc>
        <w:tc>
          <w:tcPr>
            <w:tcW w:w="300" w:type="dxa"/>
            <w:vAlign w:val="bottom"/>
          </w:tcPr>
          <w:p>
            <w:pPr>
              <w:spacing w:after="0"/>
              <w:rPr>
                <w:sz w:val="17"/>
                <w:szCs w:val="17"/>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KLXE</w:t>
            </w:r>
          </w:p>
        </w:tc>
        <w:tc>
          <w:tcPr>
            <w:tcW w:w="300" w:type="dxa"/>
            <w:vAlign w:val="bottom"/>
          </w:tcPr>
          <w:p>
            <w:pPr>
              <w:spacing w:after="0"/>
              <w:rPr>
                <w:sz w:val="17"/>
                <w:szCs w:val="17"/>
                <w:color w:val="auto"/>
              </w:rPr>
            </w:pPr>
          </w:p>
        </w:tc>
        <w:tc>
          <w:tcPr>
            <w:tcW w:w="5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312" w:lineRule="exact"/>
        <w:rPr>
          <w:sz w:val="24"/>
          <w:szCs w:val="24"/>
          <w:color w:val="auto"/>
        </w:rPr>
      </w:pPr>
    </w:p>
    <w:p>
      <w:pPr>
        <w:jc w:val="both"/>
        <w:ind w:right="100"/>
        <w:spacing w:after="0" w:line="20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9" w:lineRule="exact"/>
        <w:rPr>
          <w:sz w:val="24"/>
          <w:szCs w:val="24"/>
          <w:color w:val="auto"/>
        </w:rPr>
      </w:pPr>
    </w:p>
    <w:p>
      <w:pPr>
        <w:ind w:right="60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4" w:lineRule="exact"/>
        <w:rPr>
          <w:sz w:val="24"/>
          <w:szCs w:val="24"/>
          <w:color w:val="auto"/>
        </w:rPr>
      </w:pPr>
    </w:p>
    <w:p>
      <w:pPr>
        <w:jc w:val="both"/>
        <w:ind w:right="10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60" w:type="dxa"/>
        <w:tblCellMar>
          <w:top w:w="0" w:type="dxa"/>
          <w:left w:w="0" w:type="dxa"/>
          <w:bottom w:w="0" w:type="dxa"/>
          <w:right w:w="0" w:type="dxa"/>
        </w:tblCellMar>
      </w:tblPr>
      <w:tr>
        <w:trPr>
          <w:trHeight w:val="250"/>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Accelerated filer</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7"/>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1"/>
        </w:trPr>
        <w:tc>
          <w:tcPr>
            <w:tcW w:w="254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46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00" w:lineRule="exact"/>
        <w:rPr>
          <w:sz w:val="24"/>
          <w:szCs w:val="24"/>
          <w:color w:val="auto"/>
        </w:rPr>
      </w:pPr>
    </w:p>
    <w:p>
      <w:pPr>
        <w:ind w:right="100" w:firstLine="241"/>
        <w:spacing w:after="0" w:line="21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7" w:lineRule="exact"/>
        <w:rPr>
          <w:sz w:val="24"/>
          <w:szCs w:val="24"/>
          <w:color w:val="auto"/>
        </w:rPr>
      </w:pPr>
    </w:p>
    <w:p>
      <w:pPr>
        <w:ind w:left="2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6"/>
          <w:szCs w:val="16"/>
          <w:color w:val="auto"/>
        </w:rPr>
        <w:t>The registrant has one class of common stock, $0.01 par value, of which 16,867,243 shares were outstanding as of April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533400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75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KLX Energy Services Holdings,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0960" w:type="dxa"/>
            <w:vAlign w:val="bottom"/>
            <w:gridSpan w:val="23"/>
          </w:tcPr>
          <w:p>
            <w:pPr>
              <w:spacing w:after="0"/>
              <w:rPr>
                <w:sz w:val="20"/>
                <w:szCs w:val="20"/>
                <w:color w:val="auto"/>
              </w:rPr>
            </w:pPr>
            <w:r>
              <w:rPr>
                <w:rFonts w:ascii="Arial" w:cs="Arial" w:eastAsia="Arial" w:hAnsi="Arial"/>
                <w:sz w:val="18"/>
                <w:szCs w:val="18"/>
                <w:b w:val="1"/>
                <w:bCs w:val="1"/>
                <w:color w:val="0000FF"/>
              </w:rPr>
              <w:t>PART I - FINANCIAL INFORMATION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ind w:left="60"/>
              <w:spacing w:after="0"/>
              <w:rPr>
                <w:sz w:val="20"/>
                <w:szCs w:val="20"/>
                <w:color w:val="auto"/>
              </w:rPr>
            </w:pPr>
            <w:r>
              <w:rPr>
                <w:rFonts w:ascii="Arial" w:cs="Arial" w:eastAsia="Arial" w:hAnsi="Arial"/>
                <w:sz w:val="18"/>
                <w:szCs w:val="18"/>
                <w:color w:val="0000FF"/>
              </w:rPr>
              <w:t>Item 1. Condensed Consolidated Financial Statements (Unaudited)</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rPr>
              <w:t>3</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51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Balance Sheets as of March 31, 2024 and December 31, 2023</w:t>
            </w:r>
          </w:p>
        </w:tc>
        <w:tc>
          <w:tcPr>
            <w:tcW w:w="5300" w:type="dxa"/>
            <w:vAlign w:val="bottom"/>
            <w:gridSpan w:val="6"/>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8"/>
              </w:rPr>
              <w:t>Statements of Operations for the Three Months Ended March 31, 2024 and 2023</w:t>
            </w:r>
          </w:p>
        </w:tc>
        <w:tc>
          <w:tcPr>
            <w:tcW w:w="402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8"/>
              </w:rPr>
              <w:t>Statements of Stockholders' Equity for the Three Months Ended March 31, 2024 and 2023</w:t>
            </w:r>
          </w:p>
        </w:tc>
        <w:tc>
          <w:tcPr>
            <w:tcW w:w="3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8"/>
              </w:rPr>
              <w:t>Statements of Cash Flows for the Three Months Ended March 31, 2024 and 2023</w:t>
            </w:r>
          </w:p>
        </w:tc>
        <w:tc>
          <w:tcPr>
            <w:tcW w:w="39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8"/>
              </w:rPr>
              <w:t>Notes to Condensed Consolidated Financial Statements</w:t>
            </w:r>
          </w:p>
        </w:tc>
        <w:tc>
          <w:tcPr>
            <w:tcW w:w="5960" w:type="dxa"/>
            <w:vAlign w:val="bottom"/>
            <w:gridSpan w:val="9"/>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2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8"/>
              </w:rPr>
              <w:t>Item 2. Management’s Discussion and Analysis of Financial Condition and Results of Operations</w:t>
            </w:r>
          </w:p>
        </w:tc>
        <w:tc>
          <w:tcPr>
            <w:tcW w:w="302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18</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29</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8"/>
              </w:rPr>
              <w:t>Item 4. Controls and Procedures</w:t>
            </w:r>
          </w:p>
        </w:tc>
        <w:tc>
          <w:tcPr>
            <w:tcW w:w="2680" w:type="dxa"/>
            <w:vAlign w:val="bottom"/>
            <w:tcBorders>
              <w:top w:val="single" w:sz="8" w:color="0000FF"/>
            </w:tcBorders>
            <w:gridSpan w:val="5"/>
          </w:tcPr>
          <w:p>
            <w:pPr>
              <w:spacing w:after="0"/>
              <w:rPr>
                <w:sz w:val="18"/>
                <w:szCs w:val="18"/>
                <w:color w:val="auto"/>
              </w:rPr>
            </w:pPr>
          </w:p>
        </w:tc>
        <w:tc>
          <w:tcPr>
            <w:tcW w:w="5380" w:type="dxa"/>
            <w:vAlign w:val="bottom"/>
            <w:gridSpan w:val="7"/>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r>
      <w:tr>
        <w:trPr>
          <w:trHeight w:val="207"/>
        </w:trPr>
        <w:tc>
          <w:tcPr>
            <w:tcW w:w="11000" w:type="dxa"/>
            <w:vAlign w:val="bottom"/>
            <w:gridSpan w:val="24"/>
          </w:tcPr>
          <w:p>
            <w:pPr>
              <w:spacing w:after="0"/>
              <w:rPr>
                <w:sz w:val="20"/>
                <w:szCs w:val="20"/>
                <w:color w:val="auto"/>
              </w:rPr>
            </w:pPr>
            <w:r>
              <w:rPr>
                <w:rFonts w:ascii="Arial" w:cs="Arial" w:eastAsia="Arial" w:hAnsi="Arial"/>
                <w:sz w:val="18"/>
                <w:szCs w:val="18"/>
                <w:b w:val="1"/>
                <w:bCs w:val="1"/>
                <w:color w:val="0000FF"/>
              </w:rPr>
              <w:t>PART II - OTHER INFORMATION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30</w:t>
            </w:r>
          </w:p>
        </w:tc>
      </w:tr>
      <w:tr>
        <w:trPr>
          <w:trHeight w:val="207"/>
        </w:trPr>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8"/>
              </w:rPr>
              <w:t>Item 1. Legal Proceedings</w:t>
            </w:r>
          </w:p>
        </w:tc>
        <w:tc>
          <w:tcPr>
            <w:tcW w:w="260" w:type="dxa"/>
            <w:vAlign w:val="bottom"/>
            <w:tcBorders>
              <w:top w:val="single" w:sz="8" w:color="0000FF"/>
            </w:tcBorders>
          </w:tcPr>
          <w:p>
            <w:pPr>
              <w:spacing w:after="0"/>
              <w:rPr>
                <w:sz w:val="18"/>
                <w:szCs w:val="18"/>
                <w:color w:val="auto"/>
              </w:rPr>
            </w:pPr>
          </w:p>
        </w:tc>
        <w:tc>
          <w:tcPr>
            <w:tcW w:w="8300" w:type="dxa"/>
            <w:vAlign w:val="bottom"/>
            <w:gridSpan w:val="14"/>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Item 1A. Risk Factors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30</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30</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Item 3.</w:t>
            </w:r>
          </w:p>
        </w:tc>
        <w:tc>
          <w:tcPr>
            <w:tcW w:w="4820" w:type="dxa"/>
            <w:vAlign w:val="bottom"/>
            <w:tcBorders>
              <w:top w:val="single" w:sz="8" w:color="0000FF"/>
            </w:tcBorders>
            <w:gridSpan w:val="15"/>
          </w:tcPr>
          <w:p>
            <w:pPr>
              <w:ind w:left="20"/>
              <w:spacing w:after="0"/>
              <w:rPr>
                <w:sz w:val="20"/>
                <w:szCs w:val="20"/>
                <w:color w:val="auto"/>
              </w:rPr>
            </w:pPr>
            <w:r>
              <w:rPr>
                <w:rFonts w:ascii="Arial" w:cs="Arial" w:eastAsia="Arial" w:hAnsi="Arial"/>
                <w:sz w:val="18"/>
                <w:szCs w:val="18"/>
                <w:color w:val="0000FF"/>
              </w:rPr>
              <w:t>Defaults Upon Senior Securities</w:t>
            </w:r>
          </w:p>
        </w:tc>
        <w:tc>
          <w:tcPr>
            <w:tcW w:w="5240" w:type="dxa"/>
            <w:vAlign w:val="bottom"/>
            <w:gridSpan w:val="5"/>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rPr>
              <w:t>Item 4.</w:t>
            </w:r>
          </w:p>
        </w:tc>
        <w:tc>
          <w:tcPr>
            <w:tcW w:w="1940" w:type="dxa"/>
            <w:vAlign w:val="bottom"/>
            <w:tcBorders>
              <w:top w:val="single" w:sz="8" w:color="0000FF"/>
              <w:bottom w:val="single" w:sz="8" w:color="0000FF"/>
            </w:tcBorders>
            <w:gridSpan w:val="7"/>
          </w:tcPr>
          <w:p>
            <w:pPr>
              <w:ind w:left="20"/>
              <w:spacing w:after="0"/>
              <w:rPr>
                <w:sz w:val="20"/>
                <w:szCs w:val="20"/>
                <w:color w:val="auto"/>
              </w:rPr>
            </w:pPr>
            <w:r>
              <w:rPr>
                <w:rFonts w:ascii="Arial" w:cs="Arial" w:eastAsia="Arial" w:hAnsi="Arial"/>
                <w:sz w:val="18"/>
                <w:szCs w:val="18"/>
                <w:color w:val="0000FF"/>
                <w:w w:val="98"/>
              </w:rPr>
              <w:t>Mine Safety Disclosures</w:t>
            </w:r>
          </w:p>
        </w:tc>
        <w:tc>
          <w:tcPr>
            <w:tcW w:w="600" w:type="dxa"/>
            <w:vAlign w:val="bottom"/>
            <w:tcBorders>
              <w:top w:val="single" w:sz="8" w:color="0000FF"/>
            </w:tcBorders>
            <w:gridSpan w:val="3"/>
          </w:tcPr>
          <w:p>
            <w:pPr>
              <w:spacing w:after="0"/>
              <w:rPr>
                <w:sz w:val="18"/>
                <w:szCs w:val="18"/>
                <w:color w:val="auto"/>
              </w:rPr>
            </w:pPr>
          </w:p>
        </w:tc>
        <w:tc>
          <w:tcPr>
            <w:tcW w:w="7520" w:type="dxa"/>
            <w:vAlign w:val="bottom"/>
            <w:gridSpan w:val="10"/>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rPr>
              <w:t>Item 5.</w:t>
            </w:r>
          </w:p>
        </w:tc>
        <w:tc>
          <w:tcPr>
            <w:tcW w:w="10060" w:type="dxa"/>
            <w:vAlign w:val="bottom"/>
            <w:gridSpan w:val="20"/>
          </w:tcPr>
          <w:p>
            <w:pPr>
              <w:ind w:left="20"/>
              <w:spacing w:after="0"/>
              <w:rPr>
                <w:sz w:val="20"/>
                <w:szCs w:val="20"/>
                <w:color w:val="auto"/>
              </w:rPr>
            </w:pPr>
            <w:r>
              <w:rPr>
                <w:rFonts w:ascii="Arial" w:cs="Arial" w:eastAsia="Arial" w:hAnsi="Arial"/>
                <w:sz w:val="18"/>
                <w:szCs w:val="18"/>
                <w:color w:val="0000FF"/>
              </w:rPr>
              <w:t>Other Information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31</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Item 6.</w:t>
            </w:r>
          </w:p>
        </w:tc>
        <w:tc>
          <w:tcPr>
            <w:tcW w:w="1400" w:type="dxa"/>
            <w:vAlign w:val="bottom"/>
            <w:tcBorders>
              <w:top w:val="single" w:sz="8" w:color="0000FF"/>
            </w:tcBorders>
            <w:gridSpan w:val="4"/>
          </w:tcPr>
          <w:p>
            <w:pPr>
              <w:ind w:left="20"/>
              <w:spacing w:after="0"/>
              <w:rPr>
                <w:sz w:val="20"/>
                <w:szCs w:val="20"/>
                <w:color w:val="auto"/>
              </w:rPr>
            </w:pPr>
            <w:r>
              <w:rPr>
                <w:rFonts w:ascii="Arial" w:cs="Arial" w:eastAsia="Arial" w:hAnsi="Arial"/>
                <w:sz w:val="18"/>
                <w:szCs w:val="18"/>
                <w:color w:val="0000FF"/>
              </w:rPr>
              <w:t>Exhibits</w:t>
            </w:r>
          </w:p>
        </w:tc>
        <w:tc>
          <w:tcPr>
            <w:tcW w:w="8660" w:type="dxa"/>
            <w:vAlign w:val="bottom"/>
            <w:gridSpan w:val="16"/>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20" w:type="dxa"/>
            <w:vAlign w:val="bottom"/>
            <w:gridSpan w:val="18"/>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10960" w:type="dxa"/>
            <w:vAlign w:val="bottom"/>
            <w:gridSpan w:val="23"/>
          </w:tcPr>
          <w:p>
            <w:pPr>
              <w:spacing w:after="0"/>
              <w:rPr>
                <w:sz w:val="20"/>
                <w:szCs w:val="20"/>
                <w:color w:val="auto"/>
              </w:rPr>
            </w:pPr>
            <w:r>
              <w:rPr>
                <w:rFonts w:ascii="Arial" w:cs="Arial" w:eastAsia="Arial" w:hAnsi="Arial"/>
                <w:sz w:val="18"/>
                <w:szCs w:val="18"/>
                <w:b w:val="1"/>
                <w:bCs w:val="1"/>
                <w:color w:val="0000FF"/>
              </w:rPr>
              <w:t>SIGNATURES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32</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 and shares, except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rPr>
              <w:t>March 31, 2024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December 31, 2023</w:t>
            </w:r>
          </w:p>
        </w:tc>
      </w:tr>
      <w:tr>
        <w:trPr>
          <w:trHeight w:val="207"/>
        </w:trPr>
        <w:tc>
          <w:tcPr>
            <w:tcW w:w="6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gridSpan w:val="2"/>
          </w:tcPr>
          <w:p>
            <w:pPr>
              <w:jc w:val="center"/>
              <w:ind w:right="520"/>
              <w:spacing w:after="0"/>
              <w:rPr>
                <w:sz w:val="20"/>
                <w:szCs w:val="20"/>
                <w:color w:val="auto"/>
              </w:rPr>
            </w:pPr>
            <w:r>
              <w:rPr>
                <w:rFonts w:ascii="Arial" w:cs="Arial" w:eastAsia="Arial" w:hAnsi="Arial"/>
                <w:sz w:val="16"/>
                <w:szCs w:val="16"/>
                <w:b w:val="1"/>
                <w:bCs w:val="1"/>
                <w:i w:val="1"/>
                <w:iCs w:val="1"/>
                <w:color w:val="auto"/>
              </w:rPr>
              <w:t>(Unaudited)</w:t>
            </w: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4"/>
        </w:trPr>
        <w:tc>
          <w:tcPr>
            <w:tcW w:w="6960" w:type="dxa"/>
            <w:vAlign w:val="bottom"/>
            <w:shd w:val="clear" w:color="auto" w:fill="CCEEFF"/>
          </w:tcPr>
          <w:p>
            <w:pPr>
              <w:ind w:left="5300"/>
              <w:spacing w:after="0"/>
              <w:rPr>
                <w:sz w:val="20"/>
                <w:szCs w:val="20"/>
                <w:color w:val="auto"/>
              </w:rPr>
            </w:pPr>
            <w:r>
              <w:rPr>
                <w:rFonts w:ascii="Arial" w:cs="Arial" w:eastAsia="Arial" w:hAnsi="Arial"/>
                <w:sz w:val="16"/>
                <w:szCs w:val="16"/>
                <w:b w:val="1"/>
                <w:bCs w:val="1"/>
                <w:color w:val="auto"/>
              </w:rPr>
              <w:t>ASSETS</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Accounts receivable–trade, net of allowance of $4.4 and $5.5</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127.0</w:t>
            </w: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13"/>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r>
      <w:tr>
        <w:trPr>
          <w:trHeight w:val="20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290.3</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217.2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220.6</w:t>
            </w:r>
          </w:p>
        </w:tc>
      </w:tr>
      <w:tr>
        <w:trPr>
          <w:trHeight w:val="215"/>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4"/>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696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539.8</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81"/>
        </w:trPr>
        <w:tc>
          <w:tcPr>
            <w:tcW w:w="7380" w:type="dxa"/>
            <w:vAlign w:val="bottom"/>
            <w:gridSpan w:val="2"/>
            <w:shd w:val="clear" w:color="auto" w:fill="CCEEFF"/>
          </w:tcPr>
          <w:p>
            <w:pPr>
              <w:ind w:left="3940"/>
              <w:spacing w:after="0" w:line="181" w:lineRule="exact"/>
              <w:rPr>
                <w:sz w:val="20"/>
                <w:szCs w:val="20"/>
                <w:color w:val="auto"/>
              </w:rPr>
            </w:pPr>
            <w:r>
              <w:rPr>
                <w:rFonts w:ascii="Arial" w:cs="Arial" w:eastAsia="Arial" w:hAnsi="Arial"/>
                <w:sz w:val="16"/>
                <w:szCs w:val="16"/>
                <w:b w:val="1"/>
                <w:bCs w:val="1"/>
                <w:color w:val="auto"/>
              </w:rPr>
              <w:t>LIABILITIES AND STOCKHOLDERS’ EQUITY</w:t>
            </w: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Current portion of operating lease obligations</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finance lease obligations</w:t>
            </w: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06"/>
        </w:trPr>
        <w:tc>
          <w:tcPr>
            <w:tcW w:w="696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4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147.3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164.1</w:t>
            </w:r>
          </w:p>
        </w:tc>
      </w:tr>
      <w:tr>
        <w:trPr>
          <w:trHeight w:val="215"/>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Long-term operating lease obligations</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5"/>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finance lease obligations</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5"/>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contingencies and off-balance sheet arrangements (Note 8)</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$0.01 par value; 110.0 authorized; 17.3 and 16.9 issued</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554.1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553.4</w:t>
            </w: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Treasury stock, at cost, 0.5 shares and 0.4 shares</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3"/>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deficit</w:t>
            </w:r>
          </w:p>
        </w:tc>
        <w:tc>
          <w:tcPr>
            <w:tcW w:w="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(509.4)</w:t>
            </w:r>
          </w:p>
        </w:tc>
      </w:tr>
      <w:tr>
        <w:trPr>
          <w:trHeight w:val="207"/>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stockholders’ equity</w:t>
            </w: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r>
      <w:tr>
        <w:trPr>
          <w:trHeight w:val="209"/>
        </w:trPr>
        <w:tc>
          <w:tcPr>
            <w:tcW w:w="6960" w:type="dxa"/>
            <w:vAlign w:val="bottom"/>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539.8</w:t>
            </w:r>
          </w:p>
        </w:tc>
      </w:tr>
      <w:tr>
        <w:trPr>
          <w:trHeight w:val="20"/>
        </w:trPr>
        <w:tc>
          <w:tcPr>
            <w:tcW w:w="6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KLX Energy Services Holdings, Inc.</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(In millions of U.S. dollars, except per share data)</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Three Months Ended</w:t>
            </w:r>
          </w:p>
        </w:tc>
        <w:tc>
          <w:tcPr>
            <w:tcW w:w="2200" w:type="dxa"/>
            <w:vAlign w:val="bottom"/>
            <w:tcBorders>
              <w:bottom w:val="single" w:sz="8" w:color="auto"/>
            </w:tcBorders>
          </w:tcPr>
          <w:p>
            <w:pPr>
              <w:spacing w:after="0"/>
              <w:rPr>
                <w:sz w:val="18"/>
                <w:szCs w:val="18"/>
                <w:color w:val="auto"/>
              </w:rPr>
            </w:pPr>
          </w:p>
        </w:tc>
      </w:tr>
      <w:tr>
        <w:trPr>
          <w:trHeight w:val="207"/>
        </w:trPr>
        <w:tc>
          <w:tcPr>
            <w:tcW w:w="4880" w:type="dxa"/>
            <w:vAlign w:val="bottom"/>
            <w:tcBorders>
              <w:bottom w:val="single" w:sz="8" w:color="CCEEFF"/>
            </w:tcBorders>
          </w:tcPr>
          <w:p>
            <w:pPr>
              <w:spacing w:after="0"/>
              <w:rPr>
                <w:sz w:val="18"/>
                <w:szCs w:val="18"/>
                <w:color w:val="auto"/>
              </w:rPr>
            </w:pPr>
          </w:p>
        </w:tc>
        <w:tc>
          <w:tcPr>
            <w:tcW w:w="2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March 31, 2024</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880"/>
              <w:spacing w:after="0"/>
              <w:rPr>
                <w:sz w:val="20"/>
                <w:szCs w:val="20"/>
                <w:color w:val="auto"/>
              </w:rPr>
            </w:pPr>
            <w:r>
              <w:rPr>
                <w:rFonts w:ascii="Arial" w:cs="Arial" w:eastAsia="Arial" w:hAnsi="Arial"/>
                <w:sz w:val="16"/>
                <w:szCs w:val="16"/>
                <w:b w:val="1"/>
                <w:bCs w:val="1"/>
                <w:color w:val="auto"/>
              </w:rPr>
              <w:t>March 31, 2023</w:t>
            </w:r>
          </w:p>
        </w:tc>
      </w:tr>
      <w:tr>
        <w:trPr>
          <w:trHeight w:val="207"/>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200" w:type="dxa"/>
            <w:vAlign w:val="bottom"/>
            <w:shd w:val="clear" w:color="auto" w:fill="CCEEFF"/>
          </w:tcPr>
          <w:p>
            <w:pPr>
              <w:jc w:val="right"/>
              <w:ind w:right="20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w:t>
            </w:r>
          </w:p>
        </w:tc>
      </w:tr>
      <w:tr>
        <w:trPr>
          <w:trHeight w:val="214"/>
        </w:trPr>
        <w:tc>
          <w:tcPr>
            <w:tcW w:w="488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4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Cost of sales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w:t>
            </w:r>
          </w:p>
        </w:tc>
      </w:tr>
      <w:tr>
        <w:trPr>
          <w:trHeight w:val="213"/>
        </w:trPr>
        <w:tc>
          <w:tcPr>
            <w:tcW w:w="488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2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15"/>
        </w:trPr>
        <w:tc>
          <w:tcPr>
            <w:tcW w:w="4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13"/>
        </w:trPr>
        <w:tc>
          <w:tcPr>
            <w:tcW w:w="4880" w:type="dxa"/>
            <w:vAlign w:val="bottom"/>
          </w:tcPr>
          <w:p>
            <w:pPr>
              <w:ind w:left="160"/>
              <w:spacing w:after="0"/>
              <w:rPr>
                <w:sz w:val="20"/>
                <w:szCs w:val="20"/>
                <w:color w:val="auto"/>
              </w:rPr>
            </w:pPr>
            <w:r>
              <w:rPr>
                <w:rFonts w:ascii="Arial" w:cs="Arial" w:eastAsia="Arial" w:hAnsi="Arial"/>
                <w:sz w:val="16"/>
                <w:szCs w:val="16"/>
                <w:color w:val="auto"/>
              </w:rPr>
              <w:t>Research and development costs</w:t>
            </w:r>
          </w:p>
        </w:tc>
        <w:tc>
          <w:tcPr>
            <w:tcW w:w="2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5"/>
        </w:trPr>
        <w:tc>
          <w:tcPr>
            <w:tcW w:w="4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Bargain purchase gain</w:t>
            </w:r>
          </w:p>
        </w:tc>
        <w:tc>
          <w:tcPr>
            <w:tcW w:w="2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6"/>
        </w:trPr>
        <w:tc>
          <w:tcPr>
            <w:tcW w:w="4880" w:type="dxa"/>
            <w:vAlign w:val="bottom"/>
          </w:tcPr>
          <w:p>
            <w:pPr>
              <w:ind w:left="20"/>
              <w:spacing w:after="0"/>
              <w:rPr>
                <w:sz w:val="20"/>
                <w:szCs w:val="20"/>
                <w:color w:val="auto"/>
              </w:rPr>
            </w:pPr>
            <w:r>
              <w:rPr>
                <w:rFonts w:ascii="Arial" w:cs="Arial" w:eastAsia="Arial" w:hAnsi="Arial"/>
                <w:sz w:val="16"/>
                <w:szCs w:val="16"/>
                <w:color w:val="auto"/>
              </w:rPr>
              <w:t>Operating (loss) income</w:t>
            </w:r>
          </w:p>
        </w:tc>
        <w:tc>
          <w:tcPr>
            <w:tcW w:w="2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w:t>
            </w:r>
          </w:p>
        </w:tc>
      </w:tr>
      <w:tr>
        <w:trPr>
          <w:trHeight w:val="215"/>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expense:</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13"/>
        </w:trPr>
        <w:tc>
          <w:tcPr>
            <w:tcW w:w="4880" w:type="dxa"/>
            <w:vAlign w:val="bottom"/>
          </w:tcPr>
          <w:p>
            <w:pPr>
              <w:ind w:left="160"/>
              <w:spacing w:after="0"/>
              <w:rPr>
                <w:sz w:val="20"/>
                <w:szCs w:val="20"/>
                <w:color w:val="auto"/>
              </w:rPr>
            </w:pPr>
            <w:r>
              <w:rPr>
                <w:rFonts w:ascii="Arial" w:cs="Arial" w:eastAsia="Arial" w:hAnsi="Arial"/>
                <w:sz w:val="16"/>
                <w:szCs w:val="16"/>
                <w:color w:val="auto"/>
              </w:rPr>
              <w:t>Interest income</w:t>
            </w:r>
          </w:p>
        </w:tc>
        <w:tc>
          <w:tcPr>
            <w:tcW w:w="2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expense</w:t>
            </w:r>
          </w:p>
        </w:tc>
        <w:tc>
          <w:tcPr>
            <w:tcW w:w="2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6"/>
        </w:trPr>
        <w:tc>
          <w:tcPr>
            <w:tcW w:w="4880" w:type="dxa"/>
            <w:vAlign w:val="bottom"/>
          </w:tcPr>
          <w:p>
            <w:pPr>
              <w:ind w:left="20"/>
              <w:spacing w:after="0"/>
              <w:rPr>
                <w:sz w:val="20"/>
                <w:szCs w:val="20"/>
                <w:color w:val="auto"/>
              </w:rPr>
            </w:pPr>
            <w:r>
              <w:rPr>
                <w:rFonts w:ascii="Arial" w:cs="Arial" w:eastAsia="Arial" w:hAnsi="Arial"/>
                <w:sz w:val="16"/>
                <w:szCs w:val="16"/>
                <w:color w:val="auto"/>
              </w:rPr>
              <w:t>Net (loss) income before income tax</w:t>
            </w:r>
          </w:p>
        </w:tc>
        <w:tc>
          <w:tcPr>
            <w:tcW w:w="2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4"/>
        </w:trPr>
        <w:tc>
          <w:tcPr>
            <w:tcW w:w="4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tax expense</w:t>
            </w:r>
          </w:p>
        </w:tc>
        <w:tc>
          <w:tcPr>
            <w:tcW w:w="2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488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2200" w:type="dxa"/>
            <w:vAlign w:val="bottom"/>
            <w:tcBorders>
              <w:bottom w:val="single" w:sz="8" w:color="auto"/>
            </w:tcBorders>
          </w:tcPr>
          <w:p>
            <w:pPr>
              <w:jc w:val="right"/>
              <w:ind w:right="20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221"/>
        </w:trPr>
        <w:tc>
          <w:tcPr>
            <w:tcW w:w="488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r>
      <w:tr>
        <w:trPr>
          <w:trHeight w:val="214"/>
        </w:trPr>
        <w:tc>
          <w:tcPr>
            <w:tcW w:w="4880" w:type="dxa"/>
            <w:vAlign w:val="bottom"/>
          </w:tcPr>
          <w:p>
            <w:pPr>
              <w:ind w:left="20"/>
              <w:spacing w:after="0"/>
              <w:rPr>
                <w:sz w:val="20"/>
                <w:szCs w:val="20"/>
                <w:color w:val="auto"/>
              </w:rPr>
            </w:pPr>
            <w:r>
              <w:rPr>
                <w:rFonts w:ascii="Arial" w:cs="Arial" w:eastAsia="Arial" w:hAnsi="Arial"/>
                <w:sz w:val="16"/>
                <w:szCs w:val="16"/>
                <w:color w:val="auto"/>
              </w:rPr>
              <w:t>Net (loss) income per share-basic</w:t>
            </w:r>
          </w:p>
        </w:tc>
        <w:tc>
          <w:tcPr>
            <w:tcW w:w="2200" w:type="dxa"/>
            <w:vAlign w:val="bottom"/>
            <w:tcBorders>
              <w:bottom w:val="single" w:sz="8" w:color="auto"/>
            </w:tcBorders>
          </w:tcPr>
          <w:p>
            <w:pPr>
              <w:jc w:val="right"/>
              <w:ind w:right="20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0.66</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232"/>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per share-diluted</w:t>
            </w:r>
          </w:p>
        </w:tc>
        <w:tc>
          <w:tcPr>
            <w:tcW w:w="2200" w:type="dxa"/>
            <w:vAlign w:val="bottom"/>
            <w:tcBorders>
              <w:bottom w:val="single" w:sz="8" w:color="auto"/>
            </w:tcBorders>
            <w:shd w:val="clear" w:color="auto" w:fill="CCEEFF"/>
          </w:tcPr>
          <w:p>
            <w:pPr>
              <w:jc w:val="right"/>
              <w:ind w:right="20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0.65</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80"/>
          </w:cols>
          <w:pgMar w:left="320" w:top="122"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KLX Energy Services Holdings, Inc.</w:t>
      </w:r>
    </w:p>
    <w:p>
      <w:pPr>
        <w:spacing w:after="0" w:line="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Three Months Ended March 31, 2024 and March 31, 2023</w:t>
      </w:r>
    </w:p>
    <w:p>
      <w:pPr>
        <w:spacing w:after="0" w:line="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millions of U.S. dollars and shares</w:t>
      </w:r>
      <w:r>
        <w:rPr>
          <w:rFonts w:ascii="Arial" w:cs="Arial" w:eastAsia="Arial" w:hAnsi="Arial"/>
          <w:sz w:val="18"/>
          <w:szCs w:val="18"/>
          <w:b w:val="1"/>
          <w:bCs w:val="1"/>
          <w:color w:val="auto"/>
        </w:rPr>
        <w:t>)</w:t>
      </w:r>
    </w:p>
    <w:p>
      <w:pPr>
        <w:spacing w:after="0" w:line="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2500" w:type="dxa"/>
            <w:vAlign w:val="bottom"/>
            <w:gridSpan w:val="5"/>
          </w:tcPr>
          <w:p>
            <w:pPr>
              <w:ind w:left="62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ind w:right="14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53"/>
        </w:trPr>
        <w:tc>
          <w:tcPr>
            <w:tcW w:w="37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2"/>
            <w:vMerge w:val="restart"/>
          </w:tcPr>
          <w:p>
            <w:pPr>
              <w:ind w:left="40"/>
              <w:spacing w:after="0" w:line="107" w:lineRule="exact"/>
              <w:rPr>
                <w:sz w:val="20"/>
                <w:szCs w:val="20"/>
                <w:color w:val="auto"/>
              </w:rPr>
            </w:pPr>
            <w:r>
              <w:rPr>
                <w:rFonts w:ascii="Arial" w:cs="Arial" w:eastAsia="Arial" w:hAnsi="Arial"/>
                <w:sz w:val="12"/>
                <w:szCs w:val="12"/>
                <w:b w:val="1"/>
                <w:bCs w:val="1"/>
                <w:color w:val="auto"/>
              </w:rPr>
              <w:t>Additional</w:t>
            </w:r>
          </w:p>
        </w:tc>
        <w:tc>
          <w:tcPr>
            <w:tcW w:w="180" w:type="dxa"/>
            <w:vAlign w:val="bottom"/>
          </w:tcPr>
          <w:p>
            <w:pPr>
              <w:spacing w:after="0"/>
              <w:rPr>
                <w:sz w:val="4"/>
                <w:szCs w:val="4"/>
                <w:color w:val="auto"/>
              </w:rPr>
            </w:pPr>
          </w:p>
        </w:tc>
        <w:tc>
          <w:tcPr>
            <w:tcW w:w="1080" w:type="dxa"/>
            <w:vAlign w:val="bottom"/>
            <w:gridSpan w:val="2"/>
            <w:vMerge w:val="restart"/>
          </w:tcPr>
          <w:p>
            <w:pPr>
              <w:jc w:val="center"/>
              <w:ind w:right="260"/>
              <w:spacing w:after="0" w:line="107" w:lineRule="exact"/>
              <w:rPr>
                <w:sz w:val="20"/>
                <w:szCs w:val="20"/>
                <w:color w:val="auto"/>
              </w:rPr>
            </w:pPr>
            <w:r>
              <w:rPr>
                <w:rFonts w:ascii="Arial" w:cs="Arial" w:eastAsia="Arial" w:hAnsi="Arial"/>
                <w:sz w:val="12"/>
                <w:szCs w:val="12"/>
                <w:b w:val="1"/>
                <w:bCs w:val="1"/>
                <w:color w:val="auto"/>
              </w:rPr>
              <w:t>Treasury</w:t>
            </w:r>
          </w:p>
        </w:tc>
        <w:tc>
          <w:tcPr>
            <w:tcW w:w="1300" w:type="dxa"/>
            <w:vAlign w:val="bottom"/>
            <w:gridSpan w:val="3"/>
            <w:vMerge w:val="restart"/>
          </w:tcPr>
          <w:p>
            <w:pPr>
              <w:jc w:val="center"/>
              <w:ind w:right="100"/>
              <w:spacing w:after="0" w:line="107" w:lineRule="exact"/>
              <w:rPr>
                <w:sz w:val="20"/>
                <w:szCs w:val="20"/>
                <w:color w:val="auto"/>
              </w:rPr>
            </w:pPr>
            <w:r>
              <w:rPr>
                <w:rFonts w:ascii="Arial" w:cs="Arial" w:eastAsia="Arial" w:hAnsi="Arial"/>
                <w:sz w:val="12"/>
                <w:szCs w:val="12"/>
                <w:b w:val="1"/>
                <w:bCs w:val="1"/>
                <w:color w:val="auto"/>
              </w:rPr>
              <w:t>Accumulated</w:t>
            </w:r>
          </w:p>
        </w:tc>
        <w:tc>
          <w:tcPr>
            <w:tcW w:w="1180" w:type="dxa"/>
            <w:vAlign w:val="bottom"/>
            <w:gridSpan w:val="2"/>
            <w:vMerge w:val="restart"/>
          </w:tcPr>
          <w:p>
            <w:pPr>
              <w:jc w:val="center"/>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2"/>
                <w:szCs w:val="2"/>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300" w:type="dxa"/>
            <w:vAlign w:val="bottom"/>
            <w:gridSpan w:val="3"/>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7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Paid-in Capital</w:t>
            </w: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Stock</w:t>
            </w:r>
          </w:p>
        </w:tc>
        <w:tc>
          <w:tcPr>
            <w:tcW w:w="2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Deficit</w:t>
            </w:r>
          </w:p>
        </w:tc>
        <w:tc>
          <w:tcPr>
            <w:tcW w:w="220" w:type="dxa"/>
            <w:vAlign w:val="bottom"/>
          </w:tcPr>
          <w:p>
            <w:pPr>
              <w:spacing w:after="0"/>
              <w:rPr>
                <w:sz w:val="18"/>
                <w:szCs w:val="18"/>
                <w:color w:val="auto"/>
              </w:rPr>
            </w:pPr>
          </w:p>
        </w:tc>
        <w:tc>
          <w:tcPr>
            <w:tcW w:w="960" w:type="dxa"/>
            <w:vAlign w:val="bottom"/>
          </w:tcPr>
          <w:p>
            <w:pPr>
              <w:jc w:val="center"/>
              <w:ind w:right="14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7"/>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3"/>
        </w:trPr>
        <w:tc>
          <w:tcPr>
            <w:tcW w:w="3720" w:type="dxa"/>
            <w:vAlign w:val="bottom"/>
          </w:tcPr>
          <w:p>
            <w:pPr>
              <w:ind w:left="140"/>
              <w:spacing w:after="0"/>
              <w:rPr>
                <w:sz w:val="20"/>
                <w:szCs w:val="20"/>
                <w:color w:val="auto"/>
              </w:rPr>
            </w:pPr>
            <w:r>
              <w:rPr>
                <w:rFonts w:ascii="Arial" w:cs="Arial" w:eastAsia="Arial" w:hAnsi="Arial"/>
                <w:sz w:val="16"/>
                <w:szCs w:val="16"/>
                <w:color w:val="auto"/>
              </w:rPr>
              <w:t>Restricted stock, net of forfeitures</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3720" w:type="dxa"/>
            <w:vAlign w:val="bottom"/>
          </w:tcPr>
          <w:p>
            <w:pPr>
              <w:ind w:left="140"/>
              <w:spacing w:after="0"/>
              <w:rPr>
                <w:sz w:val="20"/>
                <w:szCs w:val="20"/>
                <w:color w:val="auto"/>
              </w:rPr>
            </w:pPr>
            <w:r>
              <w:rPr>
                <w:rFonts w:ascii="Arial" w:cs="Arial" w:eastAsia="Arial" w:hAnsi="Arial"/>
                <w:sz w:val="16"/>
                <w:szCs w:val="16"/>
                <w:color w:val="auto"/>
              </w:rPr>
              <w:t>Issuance of common stock, net of cost</w:t>
            </w:r>
          </w:p>
        </w:tc>
        <w:tc>
          <w:tcPr>
            <w:tcW w:w="11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Arial" w:cs="Arial" w:eastAsia="Arial" w:hAnsi="Arial"/>
                <w:sz w:val="16"/>
                <w:szCs w:val="16"/>
                <w:color w:val="auto"/>
              </w:rPr>
              <w:t>Balance at March 31, 2024</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554.1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(531.6)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400" w:type="dxa"/>
            <w:vAlign w:val="bottom"/>
          </w:tcPr>
          <w:p>
            <w:pPr>
              <w:spacing w:after="0"/>
              <w:rPr>
                <w:sz w:val="18"/>
                <w:szCs w:val="18"/>
                <w:color w:val="auto"/>
              </w:rPr>
            </w:pPr>
          </w:p>
        </w:tc>
        <w:tc>
          <w:tcPr>
            <w:tcW w:w="23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Additional</w:t>
            </w:r>
          </w:p>
        </w:tc>
        <w:tc>
          <w:tcPr>
            <w:tcW w:w="180" w:type="dxa"/>
            <w:vAlign w:val="bottom"/>
          </w:tcPr>
          <w:p>
            <w:pPr>
              <w:spacing w:after="0"/>
              <w:rPr>
                <w:sz w:val="18"/>
                <w:szCs w:val="18"/>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Treasury</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9"/>
              </w:rPr>
              <w:t>Accumulated</w:t>
            </w:r>
          </w:p>
        </w:tc>
        <w:tc>
          <w:tcPr>
            <w:tcW w:w="360" w:type="dxa"/>
            <w:vAlign w:val="bottom"/>
          </w:tcPr>
          <w:p>
            <w:pPr>
              <w:spacing w:after="0"/>
              <w:rPr>
                <w:sz w:val="18"/>
                <w:szCs w:val="18"/>
                <w:color w:val="auto"/>
              </w:rPr>
            </w:pPr>
          </w:p>
        </w:tc>
        <w:tc>
          <w:tcPr>
            <w:tcW w:w="1240" w:type="dxa"/>
            <w:vAlign w:val="bottom"/>
            <w:vMerge w:val="restart"/>
          </w:tcPr>
          <w:p>
            <w:pPr>
              <w:jc w:val="right"/>
              <w:ind w:right="5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line="20" w:lineRule="exact"/>
              <w:rPr>
                <w:sz w:val="1"/>
                <w:szCs w:val="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4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80" w:type="dxa"/>
            <w:vAlign w:val="bottom"/>
          </w:tcPr>
          <w:p>
            <w:pPr>
              <w:spacing w:after="0"/>
              <w:rPr>
                <w:sz w:val="18"/>
                <w:szCs w:val="18"/>
                <w:color w:val="auto"/>
              </w:rPr>
            </w:pPr>
          </w:p>
        </w:tc>
        <w:tc>
          <w:tcPr>
            <w:tcW w:w="1060" w:type="dxa"/>
            <w:vAlign w:val="bottom"/>
            <w:gridSpan w:val="2"/>
          </w:tcPr>
          <w:p>
            <w:pPr>
              <w:ind w:left="180"/>
              <w:spacing w:after="0"/>
              <w:rPr>
                <w:sz w:val="20"/>
                <w:szCs w:val="20"/>
                <w:color w:val="auto"/>
              </w:rPr>
            </w:pPr>
            <w:r>
              <w:rPr>
                <w:rFonts w:ascii="Arial" w:cs="Arial" w:eastAsia="Arial" w:hAnsi="Arial"/>
                <w:sz w:val="16"/>
                <w:szCs w:val="16"/>
                <w:b w:val="1"/>
                <w:bCs w:val="1"/>
                <w:color w:val="auto"/>
              </w:rPr>
              <w:t>Stock</w:t>
            </w:r>
          </w:p>
        </w:tc>
        <w:tc>
          <w:tcPr>
            <w:tcW w:w="2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Deficit</w:t>
            </w: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Stockholders’Equity</w:t>
            </w:r>
          </w:p>
        </w:tc>
        <w:tc>
          <w:tcPr>
            <w:tcW w:w="0" w:type="dxa"/>
            <w:vAlign w:val="bottom"/>
          </w:tcPr>
          <w:p>
            <w:pPr>
              <w:spacing w:after="0"/>
              <w:rPr>
                <w:sz w:val="1"/>
                <w:szCs w:val="1"/>
                <w:color w:val="auto"/>
              </w:rPr>
            </w:pPr>
          </w:p>
        </w:tc>
      </w:tr>
      <w:tr>
        <w:trPr>
          <w:trHeight w:val="207"/>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(4.6)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Arial" w:cs="Arial" w:eastAsia="Arial" w:hAnsi="Arial"/>
                <w:sz w:val="16"/>
                <w:szCs w:val="16"/>
                <w:color w:val="auto"/>
              </w:rPr>
              <w:t>Restricted stock, net of forfeitures</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5"/>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Arial" w:cs="Arial" w:eastAsia="Arial" w:hAnsi="Arial"/>
                <w:sz w:val="16"/>
                <w:szCs w:val="16"/>
                <w:color w:val="auto"/>
              </w:rPr>
              <w:t>Greene's Acquisition</w:t>
            </w: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5"/>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net of cost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34"/>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jc w:val="right"/>
        <w:ind w:right="21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KLX Energy Services Holdings,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 millions of U.S. dollars)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4100" w:type="dxa"/>
            <w:vAlign w:val="bottom"/>
            <w:tcBorders>
              <w:bottom w:val="single" w:sz="8" w:color="auto"/>
            </w:tcBorders>
            <w:gridSpan w:val="5"/>
          </w:tcPr>
          <w:p>
            <w:pPr>
              <w:jc w:val="right"/>
              <w:ind w:right="1180"/>
              <w:spacing w:after="0"/>
              <w:rPr>
                <w:sz w:val="20"/>
                <w:szCs w:val="20"/>
                <w:color w:val="auto"/>
              </w:rPr>
            </w:pPr>
            <w:r>
              <w:rPr>
                <w:rFonts w:ascii="Arial" w:cs="Arial" w:eastAsia="Arial" w:hAnsi="Arial"/>
                <w:sz w:val="16"/>
                <w:szCs w:val="16"/>
                <w:b w:val="1"/>
                <w:bCs w:val="1"/>
                <w:color w:val="auto"/>
              </w:rPr>
              <w:t>Three Months Ended</w:t>
            </w:r>
          </w:p>
        </w:tc>
      </w:tr>
      <w:tr>
        <w:trPr>
          <w:trHeight w:val="207"/>
        </w:trPr>
        <w:tc>
          <w:tcPr>
            <w:tcW w:w="7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March 31, 2023</w:t>
            </w:r>
          </w:p>
        </w:tc>
      </w:tr>
      <w:tr>
        <w:trPr>
          <w:trHeight w:val="194"/>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1620" w:type="dxa"/>
            <w:vAlign w:val="bottom"/>
          </w:tcPr>
          <w:p>
            <w:pPr>
              <w:jc w:val="right"/>
              <w:ind w:right="14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5"/>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income to net cash flows used in operating activities</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15"/>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5"/>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inventory reserve</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Change in allowance for doubtful accounts</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5"/>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disposal of property, equipment and other</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Bargain purchase gain</w:t>
            </w:r>
          </w:p>
        </w:tc>
        <w:tc>
          <w:tcPr>
            <w:tcW w:w="16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5"/>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5"/>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13"/>
        </w:trPr>
        <w:tc>
          <w:tcPr>
            <w:tcW w:w="710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and non-current assets</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3"/>
        </w:trPr>
        <w:tc>
          <w:tcPr>
            <w:tcW w:w="710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5"/>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16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06"/>
        </w:trPr>
        <w:tc>
          <w:tcPr>
            <w:tcW w:w="7100" w:type="dxa"/>
            <w:vAlign w:val="bottom"/>
          </w:tcPr>
          <w:p>
            <w:pPr>
              <w:ind w:left="440"/>
              <w:spacing w:after="0"/>
              <w:rPr>
                <w:sz w:val="20"/>
                <w:szCs w:val="20"/>
                <w:color w:val="auto"/>
              </w:rPr>
            </w:pPr>
            <w:r>
              <w:rPr>
                <w:rFonts w:ascii="Arial" w:cs="Arial" w:eastAsia="Arial" w:hAnsi="Arial"/>
                <w:sz w:val="16"/>
                <w:szCs w:val="16"/>
                <w:color w:val="auto"/>
              </w:rPr>
              <w:t>Net cash flows used in operating activities</w:t>
            </w:r>
          </w:p>
        </w:tc>
        <w:tc>
          <w:tcPr>
            <w:tcW w:w="16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5"/>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Purchases of property and equipment</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5"/>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property and equipment</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Cash from acquisition</w:t>
            </w:r>
          </w:p>
        </w:tc>
        <w:tc>
          <w:tcPr>
            <w:tcW w:w="16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71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flows used in investing activities</w:t>
            </w:r>
          </w:p>
        </w:tc>
        <w:tc>
          <w:tcPr>
            <w:tcW w:w="16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194"/>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4"/>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treasury stock</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7100" w:type="dxa"/>
            <w:vAlign w:val="bottom"/>
          </w:tcPr>
          <w:p>
            <w:pPr>
              <w:ind w:left="220"/>
              <w:spacing w:after="0"/>
              <w:rPr>
                <w:sz w:val="20"/>
                <w:szCs w:val="20"/>
                <w:color w:val="auto"/>
              </w:rPr>
            </w:pPr>
            <w:r>
              <w:rPr>
                <w:rFonts w:ascii="Arial" w:cs="Arial" w:eastAsia="Arial" w:hAnsi="Arial"/>
                <w:sz w:val="16"/>
                <w:szCs w:val="16"/>
                <w:color w:val="auto"/>
              </w:rPr>
              <w:t>Proceeds from stock issuance, net of costs</w:t>
            </w:r>
          </w:p>
        </w:tc>
        <w:tc>
          <w:tcPr>
            <w:tcW w:w="16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on finance lease obligations</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financed payables</w:t>
            </w:r>
          </w:p>
        </w:tc>
        <w:tc>
          <w:tcPr>
            <w:tcW w:w="1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7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flows used in financing activities</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3"/>
        </w:trPr>
        <w:tc>
          <w:tcPr>
            <w:tcW w:w="7100" w:type="dxa"/>
            <w:vAlign w:val="bottom"/>
          </w:tcPr>
          <w:p>
            <w:pPr>
              <w:ind w:left="440"/>
              <w:spacing w:after="0"/>
              <w:rPr>
                <w:sz w:val="20"/>
                <w:szCs w:val="20"/>
                <w:color w:val="auto"/>
              </w:rPr>
            </w:pPr>
            <w:r>
              <w:rPr>
                <w:rFonts w:ascii="Arial" w:cs="Arial" w:eastAsia="Arial" w:hAnsi="Arial"/>
                <w:sz w:val="16"/>
                <w:szCs w:val="16"/>
                <w:color w:val="auto"/>
              </w:rPr>
              <w:t>Net change in cash and cash equivalents</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15"/>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6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w:t>
            </w:r>
          </w:p>
        </w:tc>
      </w:tr>
      <w:tr>
        <w:trPr>
          <w:trHeight w:val="206"/>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1620" w:type="dxa"/>
            <w:vAlign w:val="bottom"/>
            <w:tcBorders>
              <w:bottom w:val="single" w:sz="8" w:color="auto"/>
            </w:tcBorders>
          </w:tcPr>
          <w:p>
            <w:pPr>
              <w:jc w:val="right"/>
              <w:ind w:right="14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2"/>
        </w:trPr>
        <w:tc>
          <w:tcPr>
            <w:tcW w:w="7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4"/>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4"/>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period for:</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Income taxes paid, net of refunds</w:t>
            </w:r>
          </w:p>
        </w:tc>
        <w:tc>
          <w:tcPr>
            <w:tcW w:w="1620" w:type="dxa"/>
            <w:vAlign w:val="bottom"/>
          </w:tcPr>
          <w:p>
            <w:pPr>
              <w:jc w:val="right"/>
              <w:ind w:right="142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4"/>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Supplemental schedule of non-cash activities:</w:t>
            </w: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4"/>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deposits on capital expenditures</w:t>
            </w:r>
          </w:p>
        </w:tc>
        <w:tc>
          <w:tcPr>
            <w:tcW w:w="1620" w:type="dxa"/>
            <w:vAlign w:val="bottom"/>
            <w:shd w:val="clear" w:color="auto" w:fill="CCEEFF"/>
          </w:tcPr>
          <w:p>
            <w:pPr>
              <w:jc w:val="right"/>
              <w:ind w:right="14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1"/>
        </w:trPr>
        <w:tc>
          <w:tcPr>
            <w:tcW w:w="7100" w:type="dxa"/>
            <w:vAlign w:val="bottom"/>
          </w:tcPr>
          <w:p>
            <w:pPr>
              <w:ind w:left="140"/>
              <w:spacing w:after="0"/>
              <w:rPr>
                <w:sz w:val="20"/>
                <w:szCs w:val="20"/>
                <w:color w:val="auto"/>
              </w:rPr>
            </w:pPr>
            <w:r>
              <w:rPr>
                <w:rFonts w:ascii="Arial" w:cs="Arial" w:eastAsia="Arial" w:hAnsi="Arial"/>
                <w:sz w:val="16"/>
                <w:szCs w:val="16"/>
                <w:color w:val="auto"/>
              </w:rPr>
              <w:t>Change in accrued capital expenditures</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3.9</w:t>
            </w:r>
          </w:p>
        </w:tc>
      </w:tr>
    </w:tbl>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78740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U.S. dollars in millions, except per share data)</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KLX Energy Services Holdings, Inc. (the “Company”, “KLXE”, “KLX Energy Services”, “we”, “us” or “our”) is a growth-oriented provider of diversified oilfield services to leading onshore oil and natural gas exploration and production (“E&amp;P”) companies operating in both conventional and unconventional plays in major active basins throughout the United States. The Company delivers mission critical oilfield services focused on drilling, completion, production and intervention activities for technically demanding wells in over 50 service and support facilities located throughout the United States.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fishing, flowback, fluid pumping, hydraulic fracturing rentals, pressure control, pressure pumping, rig-assisted snubbing, special situation services, thru-tubing and wireline. KLXE’s primary rentals include accommodation units, blow out preventers, downhole tools, hydraulic fracturing stacks and tubulars. KLXE’s primary product offering includes a suite of proprietary dissolvable and composite plugs along with casing equipment, float equipment, inflatables, liner hangers and stage cementing tools.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8, 2023, KLXE acquired all of the equity interests of Greene’s Energy Group, LLC (“Greene’s”), in an all-stock transaction (the “Greene's Acquisition”), including $1.7 in cash, which was subsequently adjusted to $1.1 due to a $0.6 working capital adjustment. Greene’s is a leading provider of wellhead protection, flowback and well testing services. The Greene’s Acquisition augments the KLXE frac rental and flowback offering, providing KLXE with a broader presence in the Permian and Eagle Ford basins. See Note 3 - Business Combinations.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(the “SEC”).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year 2024 or for any future period. The information included in these condensed consolidated financial statements should be read in conjunction with the condensed consolidated financial statements and accompanying notes included in the Company’s 2023 Annual Report on Form 10-K filed with the SEC on March 8, 2024.</w:t>
      </w:r>
    </w:p>
    <w:p>
      <w:pPr>
        <w:spacing w:after="0" w:line="21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related disclosures.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2023, the Financial Accounting Standards Board (“FASB”) issued Accounting Standards Update (“ASU”) 2023-07, Segment Reporting (Topic 280). This ASU is intended to enhance reportable segment disclosures by adopting a number of provisions currently in Regulation S-X and Regulation S-K upon the provisions' removal from these regulations. The guidance is effective for the Company for the fiscal year beginning January 1, 2024 and is not expected to have a material impact on the Company’s consolidated financial statements.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2023, FASB issued ASU 2023-09, Income Taxes (Topic 740). This ASU includes specific requirements for the rate reconciliation, income taxes paid and other tax-related disclosures. The guidance is effective for the Company for the fiscal year beginning January 1, 2025 and is not expected to have a material impact on the Company’s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8, 2023, KLXE consummated the Greene's Acquisition. The total consideration for the acquisition consisted of the issuance of approximately 2.4 million shares of our common stock, par value $0.01 per share (“Common Stock”) subject to customary post-closing adjustments, with an implied enterprise value of approximately $30.3 based on a 30-day volume weighted average price as of March 7, 2023 less acquired cash. Following the closing of the transaction, former shareholders of Greene’s held approximately 14.7% of the fully diluted Common Stock of the Company, as of March 8, 2023. The integration was complete in the third quarter of 2023.</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transaction was accounted for as a purchase under FASB Accounting Standards Codification Topic 805, Business Combinations (“ASC 805”). The results of operations for the acquisition are included in the accompanying condensed consolidated statements of operations from the respective date of acquisition.</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acquisition method of accounting, we allocate the fair value of purchase consideration transferred to the tangible assets and intangible assets acquired, if any, and liabilities assumed based on their estimated fair values on the date of the acquisition. The fair values assigned, defined as the price that would be received to sell an asset or paid to transfer a liability in an orderly transaction between willing market participants, are based on estimates and assumptions determined by management. The estimated fair value of the assets acquired, net of liabilities assumed, exceeds the purchase consideration, resulting in a bargain purchase gain. This has been presented as a separate line item on the consolidated statements of operations for the three months ended March 31, 2024.</w:t>
      </w:r>
    </w:p>
    <w:p>
      <w:pPr>
        <w:spacing w:after="0" w:line="21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fair values assigned to certain assets acquired and liabilities assumed in relation to the Company’s acquisition have been prepared on a preliminary basis with information currently available and are subject to change. The Company has finalized its analysis in the first quarter of 2024. The following table summarizes the fair values of assets acquired and liabilities assumed in the acquisition in accordance with ASC 805:</w:t>
      </w:r>
    </w:p>
    <w:tbl>
      <w:tblPr>
        <w:tblLayout w:type="fixed"/>
        <w:tblInd w:w="0" w:type="dxa"/>
        <w:tblCellMar>
          <w:top w:w="0" w:type="dxa"/>
          <w:left w:w="0" w:type="dxa"/>
          <w:bottom w:w="0" w:type="dxa"/>
          <w:right w:w="0" w:type="dxa"/>
        </w:tblCellMar>
      </w:tblPr>
      <w:tr>
        <w:trPr>
          <w:trHeight w:val="215"/>
        </w:trPr>
        <w:tc>
          <w:tcPr>
            <w:tcW w:w="9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Greene's</w:t>
            </w:r>
          </w:p>
        </w:tc>
      </w:tr>
      <w:tr>
        <w:trPr>
          <w:trHeight w:val="207"/>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9320" w:type="dxa"/>
            <w:vAlign w:val="bottom"/>
          </w:tcPr>
          <w:p>
            <w:pPr>
              <w:ind w:left="20"/>
              <w:spacing w:after="0"/>
              <w:rPr>
                <w:sz w:val="20"/>
                <w:szCs w:val="20"/>
                <w:color w:val="auto"/>
              </w:rPr>
            </w:pPr>
            <w:r>
              <w:rPr>
                <w:rFonts w:ascii="Arial" w:cs="Arial" w:eastAsia="Arial" w:hAnsi="Arial"/>
                <w:sz w:val="16"/>
                <w:szCs w:val="16"/>
                <w:color w:val="auto"/>
              </w:rPr>
              <w:t>Accounts receivable-trade</w:t>
            </w:r>
          </w:p>
        </w:tc>
        <w:tc>
          <w:tcPr>
            <w:tcW w:w="3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15"/>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and non-current assets</w:t>
            </w: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932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3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5"/>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3"/>
        </w:trPr>
        <w:tc>
          <w:tcPr>
            <w:tcW w:w="932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3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and non-current liabilities</w:t>
            </w: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Bargain purchase, net of deferred taxes</w:t>
            </w:r>
          </w:p>
        </w:tc>
        <w:tc>
          <w:tcPr>
            <w:tcW w:w="3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34"/>
        </w:trPr>
        <w:tc>
          <w:tcPr>
            <w:tcW w:w="9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purchase price</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Supplemental Pro Forma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unaudited supplemental pro forma financial information has been provided for illustrative purposes only and does not purport to be indicative of the actual results that would have been achieved by combining the companies for the periods presented, or of the results that may be achieved by the combined companies in the future. Further, actual results may vary significantly from the results reflected in the following unaudited supplemental pro forma financial information because of future events and transactions, as well as other factors. The unaudited supplemental pro forma financial information does not include adjustments to reflect the impact of other cost savings or synergies that may result from the acquisition.</w:t>
      </w:r>
    </w:p>
    <w:p>
      <w:pPr>
        <w:spacing w:after="0" w:line="210"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On a pro forma basis to give effect to the acquisition, as if it occurred on January 1, 2023, revenues and net (loss) income for the three months ended March 31, 2024 and March 31, 2023 would have been as follows:</w:t>
      </w:r>
    </w:p>
    <w:tbl>
      <w:tblPr>
        <w:tblLayout w:type="fixed"/>
        <w:tblInd w:w="460" w:type="dxa"/>
        <w:tblCellMar>
          <w:top w:w="0" w:type="dxa"/>
          <w:left w:w="0" w:type="dxa"/>
          <w:bottom w:w="0" w:type="dxa"/>
          <w:right w:w="0" w:type="dxa"/>
        </w:tblCellMar>
      </w:tblPr>
      <w:tr>
        <w:trPr>
          <w:trHeight w:val="215"/>
        </w:trPr>
        <w:tc>
          <w:tcPr>
            <w:tcW w:w="6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4"/>
          </w:tcPr>
          <w:p>
            <w:pPr>
              <w:jc w:val="right"/>
              <w:ind w:right="1240"/>
              <w:spacing w:after="0"/>
              <w:rPr>
                <w:sz w:val="20"/>
                <w:szCs w:val="20"/>
                <w:color w:val="auto"/>
              </w:rPr>
            </w:pPr>
            <w:r>
              <w:rPr>
                <w:rFonts w:ascii="Arial" w:cs="Arial" w:eastAsia="Arial" w:hAnsi="Arial"/>
                <w:sz w:val="16"/>
                <w:szCs w:val="16"/>
                <w:b w:val="1"/>
                <w:bCs w:val="1"/>
                <w:color w:val="auto"/>
              </w:rPr>
              <w:t>Unaudited Pro Forma</w:t>
            </w:r>
          </w:p>
        </w:tc>
      </w:tr>
      <w:tr>
        <w:trPr>
          <w:trHeight w:val="207"/>
        </w:trPr>
        <w:tc>
          <w:tcPr>
            <w:tcW w:w="6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4"/>
          </w:tcPr>
          <w:p>
            <w:pPr>
              <w:jc w:val="right"/>
              <w:ind w:right="1260"/>
              <w:spacing w:after="0"/>
              <w:rPr>
                <w:sz w:val="20"/>
                <w:szCs w:val="20"/>
                <w:color w:val="auto"/>
              </w:rPr>
            </w:pPr>
            <w:r>
              <w:rPr>
                <w:rFonts w:ascii="Arial" w:cs="Arial" w:eastAsia="Arial" w:hAnsi="Arial"/>
                <w:sz w:val="16"/>
                <w:szCs w:val="16"/>
                <w:b w:val="1"/>
                <w:bCs w:val="1"/>
                <w:color w:val="auto"/>
              </w:rPr>
              <w:t>Three Months Ended</w:t>
            </w:r>
          </w:p>
        </w:tc>
      </w:tr>
      <w:tr>
        <w:trPr>
          <w:trHeight w:val="207"/>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2024</w:t>
            </w:r>
          </w:p>
        </w:tc>
        <w:tc>
          <w:tcPr>
            <w:tcW w:w="280" w:type="dxa"/>
            <w:vAlign w:val="bottom"/>
          </w:tcPr>
          <w:p>
            <w:pPr>
              <w:spacing w:after="0"/>
              <w:rPr>
                <w:sz w:val="18"/>
                <w:szCs w:val="18"/>
                <w:color w:val="auto"/>
              </w:rPr>
            </w:pPr>
          </w:p>
        </w:tc>
        <w:tc>
          <w:tcPr>
            <w:tcW w:w="1800" w:type="dxa"/>
            <w:vAlign w:val="bottom"/>
          </w:tcPr>
          <w:p>
            <w:pPr>
              <w:jc w:val="right"/>
              <w:ind w:right="400"/>
              <w:spacing w:after="0"/>
              <w:rPr>
                <w:sz w:val="20"/>
                <w:szCs w:val="20"/>
                <w:color w:val="auto"/>
              </w:rPr>
            </w:pPr>
            <w:r>
              <w:rPr>
                <w:rFonts w:ascii="Arial" w:cs="Arial" w:eastAsia="Arial" w:hAnsi="Arial"/>
                <w:sz w:val="16"/>
                <w:szCs w:val="16"/>
                <w:b w:val="1"/>
                <w:bCs w:val="1"/>
                <w:color w:val="auto"/>
              </w:rPr>
              <w:t>March 31, 2023</w:t>
            </w:r>
          </w:p>
        </w:tc>
      </w:tr>
      <w:tr>
        <w:trPr>
          <w:trHeight w:val="207"/>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251.9</w:t>
            </w:r>
          </w:p>
        </w:tc>
      </w:tr>
      <w:tr>
        <w:trPr>
          <w:trHeight w:val="211"/>
        </w:trPr>
        <w:tc>
          <w:tcPr>
            <w:tcW w:w="608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9.4</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2024</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December 31, 2023</w:t>
            </w:r>
          </w:p>
        </w:tc>
      </w:tr>
      <w:tr>
        <w:trPr>
          <w:trHeight w:val="20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Spare parts</w:t>
            </w:r>
          </w:p>
        </w:tc>
        <w:tc>
          <w:tcPr>
            <w:tcW w:w="1640" w:type="dxa"/>
            <w:vAlign w:val="bottom"/>
            <w:shd w:val="clear" w:color="auto" w:fill="CCEEFF"/>
          </w:tcPr>
          <w:p>
            <w:pPr>
              <w:jc w:val="right"/>
              <w:ind w:right="14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Plugs</w:t>
            </w:r>
          </w:p>
        </w:tc>
        <w:tc>
          <w:tcPr>
            <w:tcW w:w="1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5"/>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Consumables</w:t>
            </w:r>
          </w:p>
        </w:tc>
        <w:tc>
          <w:tcPr>
            <w:tcW w:w="16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09"/>
        </w:trPr>
        <w:tc>
          <w:tcPr>
            <w:tcW w:w="6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Subtotal</w:t>
            </w:r>
          </w:p>
        </w:tc>
        <w:tc>
          <w:tcPr>
            <w:tcW w:w="16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r>
      <w:tr>
        <w:trPr>
          <w:trHeight w:val="21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Inventory reserve</w:t>
            </w:r>
          </w:p>
        </w:tc>
        <w:tc>
          <w:tcPr>
            <w:tcW w:w="1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34"/>
        </w:trPr>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inventories, net</w:t>
            </w:r>
          </w:p>
        </w:tc>
        <w:tc>
          <w:tcPr>
            <w:tcW w:w="1640" w:type="dxa"/>
            <w:vAlign w:val="bottom"/>
            <w:tcBorders>
              <w:bottom w:val="single" w:sz="8" w:color="auto"/>
            </w:tcBorders>
            <w:shd w:val="clear" w:color="auto" w:fill="CCEEFF"/>
          </w:tcPr>
          <w:p>
            <w:pPr>
              <w:jc w:val="right"/>
              <w:ind w:right="14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are made up of spare parts, composite and dissolvable plugs, consumables (including thru-tubing accessory tools, chemicals and cement) and other (including coiled tubing strings and wireline spools) used to perform services for customers. The Company values inventories at the lower of cost or net realizable value. Inventories are reported net of inventory reserve of $5.0 and $4.5 as of March 31, 2024 and December 31, 2023,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and Equipment,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4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jc w:val="center"/>
              <w:ind w:right="80"/>
              <w:spacing w:after="0"/>
              <w:rPr>
                <w:sz w:val="20"/>
                <w:szCs w:val="20"/>
                <w:color w:val="auto"/>
              </w:rPr>
            </w:pPr>
            <w:r>
              <w:rPr>
                <w:rFonts w:ascii="Arial" w:cs="Arial" w:eastAsia="Arial" w:hAnsi="Arial"/>
                <w:sz w:val="16"/>
                <w:szCs w:val="16"/>
                <w:b w:val="1"/>
                <w:bCs w:val="1"/>
                <w:color w:val="auto"/>
                <w:w w:val="99"/>
              </w:rPr>
              <w:t>Useful Life (Years)</w:t>
            </w:r>
          </w:p>
        </w:tc>
        <w:tc>
          <w:tcPr>
            <w:tcW w:w="3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March 31, 2024</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December 31, 2023</w:t>
            </w:r>
          </w:p>
        </w:tc>
      </w:tr>
      <w:tr>
        <w:trPr>
          <w:trHeight w:val="206"/>
        </w:trPr>
        <w:tc>
          <w:tcPr>
            <w:tcW w:w="4940" w:type="dxa"/>
            <w:vAlign w:val="bottom"/>
          </w:tcPr>
          <w:p>
            <w:pPr>
              <w:ind w:left="20"/>
              <w:spacing w:after="0"/>
              <w:rPr>
                <w:sz w:val="20"/>
                <w:szCs w:val="20"/>
                <w:color w:val="auto"/>
              </w:rPr>
            </w:pPr>
            <w:r>
              <w:rPr>
                <w:rFonts w:ascii="Arial" w:cs="Arial" w:eastAsia="Arial" w:hAnsi="Arial"/>
                <w:sz w:val="16"/>
                <w:szCs w:val="16"/>
                <w:color w:val="auto"/>
              </w:rPr>
              <w:t>Land, buildings and improvements</w:t>
            </w:r>
          </w:p>
        </w:tc>
        <w:tc>
          <w:tcPr>
            <w:tcW w:w="68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Borders>
              <w:top w:val="single" w:sz="8" w:color="auto"/>
            </w:tcBorders>
          </w:tcPr>
          <w:p>
            <w:pPr>
              <w:jc w:val="right"/>
              <w:ind w:right="24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w:t>
            </w:r>
          </w:p>
        </w:tc>
      </w:tr>
      <w:tr>
        <w:trPr>
          <w:trHeight w:val="215"/>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w:t>
            </w:r>
          </w:p>
        </w:tc>
        <w:tc>
          <w:tcPr>
            <w:tcW w:w="6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w:t>
            </w: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Equipment and furniture</w:t>
            </w:r>
          </w:p>
        </w:tc>
        <w:tc>
          <w:tcPr>
            <w:tcW w:w="68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ind w:right="24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220.7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215.2</w:t>
            </w:r>
          </w:p>
        </w:tc>
      </w:tr>
      <w:tr>
        <w:trPr>
          <w:trHeight w:val="215"/>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 assets - finance leases</w:t>
            </w:r>
          </w:p>
        </w:tc>
        <w:tc>
          <w:tcPr>
            <w:tcW w:w="6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w:t>
            </w:r>
          </w:p>
        </w:tc>
      </w:tr>
      <w:tr>
        <w:trPr>
          <w:trHeight w:val="206"/>
        </w:trPr>
        <w:tc>
          <w:tcPr>
            <w:tcW w:w="4940" w:type="dxa"/>
            <w:vAlign w:val="bottom"/>
          </w:tcPr>
          <w:p>
            <w:pPr>
              <w:ind w:left="160"/>
              <w:spacing w:after="0"/>
              <w:rPr>
                <w:sz w:val="20"/>
                <w:szCs w:val="20"/>
                <w:color w:val="auto"/>
              </w:rPr>
            </w:pPr>
            <w:r>
              <w:rPr>
                <w:rFonts w:ascii="Arial" w:cs="Arial" w:eastAsia="Arial" w:hAnsi="Arial"/>
                <w:sz w:val="16"/>
                <w:szCs w:val="16"/>
                <w:color w:val="auto"/>
              </w:rPr>
              <w:t>Total property and equipment</w:t>
            </w: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613.5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594.8</w:t>
            </w:r>
          </w:p>
        </w:tc>
      </w:tr>
      <w:tr>
        <w:trPr>
          <w:trHeight w:val="215"/>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(382.2)</w:t>
            </w:r>
          </w:p>
        </w:tc>
      </w:tr>
      <w:tr>
        <w:trPr>
          <w:trHeight w:val="21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Construction in progress</w:t>
            </w:r>
          </w:p>
        </w:tc>
        <w:tc>
          <w:tcPr>
            <w:tcW w:w="6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34"/>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property and equipment, net</w:t>
            </w:r>
          </w:p>
        </w:tc>
        <w:tc>
          <w:tcPr>
            <w:tcW w:w="6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220.6</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78740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expense related to non-leased fixed assets was $15.9 and $13.4 for the three months ended March 31, 2024 and March 31, 2023, respectively. Finance lease amortization expense was $5.8 and $3.1, respectively, for the three months ended March 31, 2024 and March 31, 2023.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2024, the Company’s condensed consolidated balance sheet included assets classified as held for sale of $2.3. The assets held for sale are reported within prepaid expenses and other current assets on the condensed consolidated balance sheet and represent the value of one operational facility and select equipment. These assets were being actively marketed for sale as of March 31, 2024 and are recorded at the lower of their carrying value or fair value less costs to sell.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Outstanding long-term debt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2024</w:t>
            </w:r>
          </w:p>
        </w:tc>
        <w:tc>
          <w:tcPr>
            <w:tcW w:w="220" w:type="dxa"/>
            <w:vAlign w:val="bottom"/>
          </w:tcPr>
          <w:p>
            <w:pPr>
              <w:spacing w:after="0"/>
              <w:rPr>
                <w:sz w:val="18"/>
                <w:szCs w:val="18"/>
                <w:color w:val="auto"/>
              </w:rPr>
            </w:pPr>
          </w:p>
        </w:tc>
        <w:tc>
          <w:tcPr>
            <w:tcW w:w="1840" w:type="dxa"/>
            <w:vAlign w:val="bottom"/>
          </w:tcPr>
          <w:p>
            <w:pPr>
              <w:jc w:val="right"/>
              <w:ind w:right="220"/>
              <w:spacing w:after="0"/>
              <w:rPr>
                <w:sz w:val="20"/>
                <w:szCs w:val="20"/>
                <w:color w:val="auto"/>
              </w:rPr>
            </w:pPr>
            <w:r>
              <w:rPr>
                <w:rFonts w:ascii="Arial" w:cs="Arial" w:eastAsia="Arial" w:hAnsi="Arial"/>
                <w:sz w:val="16"/>
                <w:szCs w:val="16"/>
                <w:b w:val="1"/>
                <w:bCs w:val="1"/>
                <w:color w:val="auto"/>
              </w:rPr>
              <w:t>December 31, 2023</w:t>
            </w:r>
          </w:p>
        </w:tc>
      </w:tr>
      <w:tr>
        <w:trPr>
          <w:trHeight w:val="207"/>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Notes</w:t>
            </w: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237.3</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ABL Facility</w:t>
            </w: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r>
      <w:tr>
        <w:trPr>
          <w:trHeight w:val="20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principal outstanding</w:t>
            </w: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debt issuance costs</w:t>
            </w: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34"/>
        </w:trPr>
        <w:tc>
          <w:tcPr>
            <w:tcW w:w="7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debt</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March 31, 2024, long-term debt consisted of $237.3 principal amount of 11.5% senior secured notes due 2025 (the “Senior Secured Notes”) offered pursuant to Rule 144A under the Securities Act of 1933 (as amended, the “Securities Act”) and to certain non-U.S. persons outside the United States in compliance with Regulation S under the Securities Act. On a net basis, after taking into consideration unamortized debt issuance costs for the Senior Secured Notes, total debt related to the Senior Secured Notes as of March 31, 2024 was $234.6. The Senior Secured Notes bear interest at an annual rate of 11.5%, payable semi-annually in arrears on May 1 and November 1. Accrued interest related to the Senior Secured Notes was $11.4 as of March 31, 2024.</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2024, the Company also had a $120.0 asset-based revolving credit facility pursuant to a senior secured credit agreement dated August 10, 2018, as amended by the ABL Amendment (as defined below) and other amendments (the “ABL Facility”). The ABL Facility matures on the ABL Maturity Date (as defined below) in 2025.</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20, 2023, the Company entered into a Fourth Amendment to the ABL Facility, with certain of its subsidiaries party thereto, as guarantors, with JPMorgan Chase Bank, N.A., as administrative agent, collateral agent and an issuing lender, and the other lenders and issuing lenders party thereto from time to time (the “ABL Amendment”).</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ABL Amendment, among other things, (i) extended the maturity date of the ABL Facility from September 15, 2024 to the earlier of (A) September 15, 2025 or (B) August 1, 2025, if the Company's Senior Secured Notes are still outstanding as of such date (the earlier of the foregoing item (A) or item (B), the “ABL Maturity Date”) and (ii) increased the revolving credit commitment from $100.0 to $120.0.</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ABL Facility is tied to a borrowing base formula and has no maintenance financial covenants as long as the minimum level of borrowing availability is maintained. The ABL Facility is secured by, among other things, a first priority lien on the Company’s accounts receivable and inventory and contains customary conditions precedent to borrowing and affirmative and negative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ABL Facility includes a springing financial covenant which requires the Company’s consolidated fixed charge coverage ratio (“FCCR”) to be at least 1.0 to 1.0 if availability falls below the greater of $15.0 or 20.0% of the line cap. At all times during the three months ended March 31, 2024, availability exceeded this threshold, and the Company was not subject to this financial covenant. As of March 31, 2024, the FCCR was above 1.0 to 1.0, and the Company was in full compliance with its ABL Facility.</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outstanding under the ABL Facility were $50.0 as of March 31, 2024 and bear interest at a rate equal to Term SOFR (as defined in the ABL Facility) plus the Applicable Margin (as defined in the ABL Facility). The effective interest rate under the ABL Facility was approximately 8.2% on March 31, 2024. Total letters of credit outstanding under the ABL Facility were $6.4 at March 31, 2024 and $6.4 at December 31, 2023. Accrued interest under the ABL Facility was $0.0 as of March 31, 2024.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have funds available under the ABL Facility of $42.7 on the March 31, 2024 borrowing base certificate.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Information</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248" w:lineRule="exact"/>
        <w:rPr>
          <w:sz w:val="20"/>
          <w:szCs w:val="20"/>
          <w:color w:val="auto"/>
        </w:rPr>
      </w:pPr>
    </w:p>
    <w:p>
      <w:pPr>
        <w:ind w:left="640"/>
        <w:spacing w:after="0" w:line="280" w:lineRule="auto"/>
        <w:rPr>
          <w:sz w:val="20"/>
          <w:szCs w:val="20"/>
          <w:color w:val="auto"/>
        </w:rPr>
      </w:pPr>
      <w:r>
        <w:rPr>
          <w:rFonts w:ascii="Arial" w:cs="Arial" w:eastAsia="Arial" w:hAnsi="Arial"/>
          <w:sz w:val="18"/>
          <w:szCs w:val="18"/>
          <w:color w:val="auto"/>
        </w:rPr>
        <w:t>Level 2 – quoted prices for identical assets and liabilities in markets that are not active or observable inputs other than quoted prices in active markets for identical assets and liabilities.</w:t>
      </w:r>
    </w:p>
    <w:p>
      <w:pPr>
        <w:spacing w:after="0" w:line="186" w:lineRule="exact"/>
        <w:rPr>
          <w:sz w:val="20"/>
          <w:szCs w:val="20"/>
          <w:color w:val="auto"/>
        </w:rPr>
      </w:pPr>
    </w:p>
    <w:p>
      <w:pPr>
        <w:ind w:left="640"/>
        <w:spacing w:after="0" w:line="280" w:lineRule="auto"/>
        <w:rPr>
          <w:sz w:val="20"/>
          <w:szCs w:val="20"/>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carrying amounts of cash and cash equivalents, accounts receivable-trade and accounts payable represent their respective fair values due to their short-term nature. There was $50.0 debt outstanding under the ABL Facility as of March 31, 2024. The fair value of the ABL Facility approximates its carrying value as of March 31, 2024.</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following tables present the placement in the fair value hierarchy of the Senior Secured Notes, based on market prices for publicly traded debt, as of March 31, 2024 and December 31, 2023: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6"/>
                <w:szCs w:val="16"/>
                <w:b w:val="1"/>
                <w:bCs w:val="1"/>
                <w:color w:val="auto"/>
              </w:rPr>
              <w:t>Fair value measurements at reporting date using</w:t>
            </w:r>
          </w:p>
        </w:tc>
      </w:tr>
      <w:tr>
        <w:trPr>
          <w:trHeight w:val="207"/>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March 31, 2024</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ind w:left="220"/>
              <w:spacing w:after="0"/>
              <w:rPr>
                <w:sz w:val="20"/>
                <w:szCs w:val="20"/>
                <w:color w:val="auto"/>
              </w:rPr>
            </w:pPr>
            <w:r>
              <w:rPr>
                <w:rFonts w:ascii="Arial" w:cs="Arial" w:eastAsia="Arial" w:hAnsi="Arial"/>
                <w:sz w:val="16"/>
                <w:szCs w:val="16"/>
                <w:b w:val="1"/>
                <w:bCs w:val="1"/>
                <w:color w:val="auto"/>
              </w:rPr>
              <w:t>Level 3</w:t>
            </w:r>
          </w:p>
        </w:tc>
      </w:tr>
      <w:tr>
        <w:trPr>
          <w:trHeight w:val="207"/>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Senior Secured Notes, 11.5 Percent Due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236.4</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07"/>
        </w:trPr>
        <w:tc>
          <w:tcPr>
            <w:tcW w:w="4320" w:type="dxa"/>
            <w:vAlign w:val="bottom"/>
            <w:gridSpan w:val="2"/>
          </w:tcPr>
          <w:p>
            <w:pPr>
              <w:ind w:left="240"/>
              <w:spacing w:after="0"/>
              <w:rPr>
                <w:sz w:val="20"/>
                <w:szCs w:val="20"/>
                <w:color w:val="auto"/>
              </w:rPr>
            </w:pPr>
            <w:r>
              <w:rPr>
                <w:rFonts w:ascii="Arial" w:cs="Arial" w:eastAsia="Arial" w:hAnsi="Arial"/>
                <w:sz w:val="16"/>
                <w:szCs w:val="16"/>
                <w:color w:val="auto"/>
              </w:rPr>
              <w:t>Total Senior Secured Notes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r>
      <w:tr>
        <w:trPr>
          <w:trHeight w:val="20"/>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r>
      <w:tr>
        <w:trPr>
          <w:trHeight w:val="568"/>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9"/>
          </w:tcPr>
          <w:p>
            <w:pPr>
              <w:jc w:val="center"/>
              <w:ind w:right="280"/>
              <w:spacing w:after="0"/>
              <w:rPr>
                <w:sz w:val="20"/>
                <w:szCs w:val="20"/>
                <w:color w:val="auto"/>
              </w:rPr>
            </w:pPr>
            <w:r>
              <w:rPr>
                <w:rFonts w:ascii="Arial" w:cs="Arial" w:eastAsia="Arial" w:hAnsi="Arial"/>
                <w:sz w:val="16"/>
                <w:szCs w:val="16"/>
                <w:b w:val="1"/>
                <w:bCs w:val="1"/>
                <w:color w:val="auto"/>
              </w:rPr>
              <w:t>Fair value measurements at reporting date using</w:t>
            </w:r>
          </w:p>
        </w:tc>
      </w:tr>
      <w:tr>
        <w:trPr>
          <w:trHeight w:val="207"/>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9"/>
              </w:rPr>
              <w:t>December 31, 2023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9"/>
              </w:rPr>
              <w:t>Level 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7"/>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Notes, 11.5 Percent Due 2025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07"/>
        </w:trPr>
        <w:tc>
          <w:tcPr>
            <w:tcW w:w="4320" w:type="dxa"/>
            <w:vAlign w:val="bottom"/>
            <w:gridSpan w:val="2"/>
          </w:tcPr>
          <w:p>
            <w:pPr>
              <w:ind w:left="240"/>
              <w:spacing w:after="0"/>
              <w:rPr>
                <w:sz w:val="20"/>
                <w:szCs w:val="20"/>
                <w:color w:val="auto"/>
              </w:rPr>
            </w:pPr>
            <w:r>
              <w:rPr>
                <w:rFonts w:ascii="Arial" w:cs="Arial" w:eastAsia="Arial" w:hAnsi="Arial"/>
                <w:sz w:val="16"/>
                <w:szCs w:val="16"/>
                <w:color w:val="auto"/>
              </w:rPr>
              <w:t>Total Senior Secured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233.7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Pr>
          <w:p>
            <w:pPr>
              <w:ind w:left="1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233.7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ind w:left="1100"/>
              <w:spacing w:after="0"/>
              <w:rPr>
                <w:sz w:val="20"/>
                <w:szCs w:val="20"/>
                <w:color w:val="auto"/>
              </w:rPr>
            </w:pPr>
            <w:r>
              <w:rPr>
                <w:rFonts w:ascii="Arial" w:cs="Arial" w:eastAsia="Arial" w:hAnsi="Arial"/>
                <w:sz w:val="16"/>
                <w:szCs w:val="16"/>
                <w:color w:val="auto"/>
              </w:rPr>
              <w:t>—</w:t>
            </w:r>
          </w:p>
        </w:tc>
      </w:tr>
      <w:tr>
        <w:trPr>
          <w:trHeight w:val="20"/>
        </w:trPr>
        <w:tc>
          <w:tcPr>
            <w:tcW w:w="4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placement in the fair value hierarchy of Assets Held for Sale, as disclosed in Note 5 - Property and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Equipment, Net, based on sales contracts and comparative price quotes, as of March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6"/>
                <w:szCs w:val="16"/>
                <w:b w:val="1"/>
                <w:bCs w:val="1"/>
                <w:color w:val="auto"/>
              </w:rPr>
              <w:t>Fair value measurements at reporting date using</w:t>
            </w:r>
          </w:p>
        </w:tc>
      </w:tr>
      <w:tr>
        <w:trPr>
          <w:trHeight w:val="207"/>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March 31, 2024</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7"/>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Held for Sale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r>
      <w:tr>
        <w:trPr>
          <w:trHeight w:val="207"/>
        </w:trPr>
        <w:tc>
          <w:tcPr>
            <w:tcW w:w="4320" w:type="dxa"/>
            <w:vAlign w:val="bottom"/>
          </w:tcPr>
          <w:p>
            <w:pPr>
              <w:ind w:left="240"/>
              <w:spacing w:after="0"/>
              <w:rPr>
                <w:sz w:val="20"/>
                <w:szCs w:val="20"/>
                <w:color w:val="auto"/>
              </w:rPr>
            </w:pPr>
            <w:r>
              <w:rPr>
                <w:rFonts w:ascii="Arial" w:cs="Arial" w:eastAsia="Arial" w:hAnsi="Arial"/>
                <w:sz w:val="16"/>
                <w:szCs w:val="16"/>
                <w:color w:val="auto"/>
              </w:rPr>
              <w:t>Total Assets Held for Sale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r>
      <w:tr>
        <w:trPr>
          <w:trHeight w:val="568"/>
        </w:trPr>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6"/>
                <w:szCs w:val="16"/>
                <w:b w:val="1"/>
                <w:bCs w:val="1"/>
                <w:color w:val="auto"/>
              </w:rPr>
              <w:t>Fair value measurements at reporting date using</w:t>
            </w:r>
          </w:p>
        </w:tc>
      </w:tr>
      <w:tr>
        <w:trPr>
          <w:trHeight w:val="207"/>
        </w:trPr>
        <w:tc>
          <w:tcPr>
            <w:tcW w:w="4320" w:type="dxa"/>
            <w:vAlign w:val="bottom"/>
          </w:tcPr>
          <w:p>
            <w:pPr>
              <w:spacing w:after="0"/>
              <w:rPr>
                <w:sz w:val="18"/>
                <w:szCs w:val="18"/>
                <w:color w:val="auto"/>
              </w:rPr>
            </w:pPr>
          </w:p>
        </w:tc>
        <w:tc>
          <w:tcPr>
            <w:tcW w:w="16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December 31, 2023</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7"/>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Held for Sale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r>
      <w:tr>
        <w:trPr>
          <w:trHeight w:val="207"/>
        </w:trPr>
        <w:tc>
          <w:tcPr>
            <w:tcW w:w="4320" w:type="dxa"/>
            <w:vAlign w:val="bottom"/>
          </w:tcPr>
          <w:p>
            <w:pPr>
              <w:ind w:left="240"/>
              <w:spacing w:after="0"/>
              <w:rPr>
                <w:sz w:val="20"/>
                <w:szCs w:val="20"/>
                <w:color w:val="auto"/>
              </w:rPr>
            </w:pPr>
            <w:r>
              <w:rPr>
                <w:rFonts w:ascii="Arial" w:cs="Arial" w:eastAsia="Arial" w:hAnsi="Arial"/>
                <w:sz w:val="16"/>
                <w:szCs w:val="16"/>
                <w:color w:val="auto"/>
              </w:rPr>
              <w:t>Total Assets Held for Sale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2024 and March 31, 2023, there was no before-tax loss (gain) related to Assets Held for Sale.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Contingencies and Off-Balance-Sheet Arrangements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 &amp; Liabilities</w:t>
      </w:r>
    </w:p>
    <w:p>
      <w:pPr>
        <w:spacing w:after="0" w:line="24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our business, which are subject to change and can have retroactive effectiveness. Currently, the Company has not been fined, cited or notified of any environmental violations or liabilities that would have a material adverse effect on its condensed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condensed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Equity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“ATM Offering”) the Company’s Common Stock, having an aggregate offering price of up to $50.0. On November 16, 2022, the Company entered into Amendment No. 1 to the Equity Distribution Agreement (the “EDA Amendment”). Among other things, the EDA Amendment allows for debt-for-equity exchanges in accordance with Section 3(a)(9) of the Securities Act.</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Common Stock offered and sold in the ATM Offering may be issued pursuant to the Company’s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During the three months ended March 31, 2024 and March 31, 2023, the Company did not sell any shares of Common Stock and incurred legal and administrative fees of $0.1 and $0.1,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Long-Term Incentive Plan (“LTIP”) under which the compensation committee of the Board of Directors (the “Board”) of the Company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10, 2023, the stockholders of KLXE approved the Second Amended and Restated KLX Energy Services Holdings, Inc. Long-Term Incentive Plan, amended and restated as of March 8, 2023 (the “Amended and Restated LTIP”), which, among other things, increased the total number of shares of Company Common Stock, par value $0.01 per share, for issuance by 1,200,000 shares, resulting in an increase of the total number of shares of our Common Stock reserved for issuance to 1,256,289, and extended the expiration date to March 8, 2033. A description of the Amended and Restated LTIP is included in the Company’s proxy statement, filed with the SEC on March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cost recognized during the three months ended March 31, 2024 and March 31, 2023 was related to grants of restricted stock as approved by the Compensation Committee. Stock-based compensation was $0.9 and $0.7 for the three months ended March 31, 2024 and March 31, 2023, respectively. Unrecognized compensation cost related to restricted stock awards made by the Company was $7.2 at March 31, 2024 and $4.2 at December 31,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expense was $0.2 and $0.2 for the three months ended March 31, 2024 and March 31, 2023, respectively, and was comprised primarily of state and local taxes. The Company has a valuation allowance against its deferred tax balances and, as a result, it was unable to recognize a federal tax benefit on its year-to-date losses.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monitor additional guidance issued by the U.S. Treasury Department, the Internal Revenue Service and others.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Reporting</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organized on a geographic basis. The Company’s reportable segments, which are also its operating segments, are comprised of the Rocky Mountains Region (the Bakken, Williston, DJ, Uinta, Powder River, Piceance and Niobrara basins), the Southwest Region (the Permian Basin and the Eagle Ford Shale) and the Northeast/Mid-Con Region (the Marcellus and Utica Shale as well as the Mid-Continent STACK and SCOOP and Haynesville Shale). The segments regularly report their results of operations and make requests for capital expenditures and acquisition funding to the Company's chief operational decision-making group. As a result, the Company has three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and operating (loss) income by reportable segment: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Three Months Ended</w:t>
            </w:r>
          </w:p>
        </w:tc>
        <w:tc>
          <w:tcPr>
            <w:tcW w:w="2520" w:type="dxa"/>
            <w:vAlign w:val="bottom"/>
            <w:tcBorders>
              <w:bottom w:val="single" w:sz="8" w:color="auto"/>
            </w:tcBorders>
          </w:tcPr>
          <w:p>
            <w:pPr>
              <w:spacing w:after="0"/>
              <w:rPr>
                <w:sz w:val="18"/>
                <w:szCs w:val="18"/>
                <w:color w:val="auto"/>
              </w:rPr>
            </w:pPr>
          </w:p>
        </w:tc>
      </w:tr>
      <w:tr>
        <w:trPr>
          <w:trHeight w:val="207"/>
        </w:trPr>
        <w:tc>
          <w:tcPr>
            <w:tcW w:w="4200" w:type="dxa"/>
            <w:vAlign w:val="bottom"/>
            <w:tcBorders>
              <w:bottom w:val="single" w:sz="8" w:color="CCEEFF"/>
            </w:tcBorders>
          </w:tcPr>
          <w:p>
            <w:pPr>
              <w:spacing w:after="0"/>
              <w:rPr>
                <w:sz w:val="18"/>
                <w:szCs w:val="18"/>
                <w:color w:val="auto"/>
              </w:rPr>
            </w:pPr>
          </w:p>
        </w:tc>
        <w:tc>
          <w:tcPr>
            <w:tcW w:w="25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March 31, 2024</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ind w:right="1080"/>
              <w:spacing w:after="0"/>
              <w:rPr>
                <w:sz w:val="20"/>
                <w:szCs w:val="20"/>
                <w:color w:val="auto"/>
              </w:rPr>
            </w:pPr>
            <w:r>
              <w:rPr>
                <w:rFonts w:ascii="Arial" w:cs="Arial" w:eastAsia="Arial" w:hAnsi="Arial"/>
                <w:sz w:val="16"/>
                <w:szCs w:val="16"/>
                <w:b w:val="1"/>
                <w:bCs w:val="1"/>
                <w:color w:val="auto"/>
              </w:rPr>
              <w:t>March 31, 2023</w:t>
            </w:r>
          </w:p>
        </w:tc>
      </w:tr>
      <w:tr>
        <w:trPr>
          <w:trHeight w:val="194"/>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r>
      <w:tr>
        <w:trPr>
          <w:trHeight w:val="213"/>
        </w:trPr>
        <w:tc>
          <w:tcPr>
            <w:tcW w:w="4200" w:type="dxa"/>
            <w:vAlign w:val="bottom"/>
          </w:tcPr>
          <w:p>
            <w:pPr>
              <w:ind w:left="140"/>
              <w:spacing w:after="0"/>
              <w:rPr>
                <w:sz w:val="20"/>
                <w:szCs w:val="20"/>
                <w:color w:val="auto"/>
              </w:rPr>
            </w:pPr>
            <w:r>
              <w:rPr>
                <w:rFonts w:ascii="Arial" w:cs="Arial" w:eastAsia="Arial" w:hAnsi="Arial"/>
                <w:sz w:val="16"/>
                <w:szCs w:val="16"/>
                <w:color w:val="auto"/>
              </w:rPr>
              <w:t>Rocky Mountains</w:t>
            </w:r>
          </w:p>
        </w:tc>
        <w:tc>
          <w:tcPr>
            <w:tcW w:w="2520" w:type="dxa"/>
            <w:vAlign w:val="bottom"/>
          </w:tcPr>
          <w:p>
            <w:pPr>
              <w:jc w:val="right"/>
              <w:ind w:right="23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8"/>
                <w:szCs w:val="18"/>
                <w:color w:val="auto"/>
              </w:rPr>
            </w:pPr>
          </w:p>
        </w:tc>
        <w:tc>
          <w:tcPr>
            <w:tcW w:w="940" w:type="dxa"/>
            <w:vAlign w:val="bottom"/>
          </w:tcPr>
          <w:p>
            <w:pPr>
              <w:jc w:val="right"/>
              <w:ind w:right="760"/>
              <w:spacing w:after="0"/>
              <w:rPr>
                <w:sz w:val="20"/>
                <w:szCs w:val="20"/>
                <w:color w:val="auto"/>
              </w:rPr>
            </w:pPr>
            <w:r>
              <w:rPr>
                <w:rFonts w:ascii="Arial" w:cs="Arial" w:eastAsia="Arial" w:hAnsi="Arial"/>
                <w:sz w:val="16"/>
                <w:szCs w:val="16"/>
                <w:color w:val="auto"/>
                <w:w w:val="89"/>
              </w:rPr>
              <w:t>$</w:t>
            </w:r>
          </w:p>
        </w:tc>
        <w:tc>
          <w:tcPr>
            <w:tcW w:w="2520" w:type="dxa"/>
            <w:vAlign w:val="bottom"/>
          </w:tcPr>
          <w:p>
            <w:pPr>
              <w:jc w:val="right"/>
              <w:spacing w:after="0"/>
              <w:rPr>
                <w:sz w:val="20"/>
                <w:szCs w:val="20"/>
                <w:color w:val="auto"/>
              </w:rPr>
            </w:pPr>
            <w:r>
              <w:rPr>
                <w:rFonts w:ascii="Arial" w:cs="Arial" w:eastAsia="Arial" w:hAnsi="Arial"/>
                <w:sz w:val="16"/>
                <w:szCs w:val="16"/>
                <w:color w:val="auto"/>
              </w:rPr>
              <w:t>67.9</w:t>
            </w:r>
          </w:p>
        </w:tc>
      </w:tr>
      <w:tr>
        <w:trPr>
          <w:trHeight w:val="215"/>
        </w:trPr>
        <w:tc>
          <w:tcPr>
            <w:tcW w:w="4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Southwest</w:t>
            </w:r>
          </w:p>
        </w:tc>
        <w:tc>
          <w:tcPr>
            <w:tcW w:w="2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w:t>
            </w:r>
          </w:p>
        </w:tc>
      </w:tr>
      <w:tr>
        <w:trPr>
          <w:trHeight w:val="213"/>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Northeast/Mid-Con</w:t>
            </w:r>
          </w:p>
        </w:tc>
        <w:tc>
          <w:tcPr>
            <w:tcW w:w="2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w:t>
            </w:r>
          </w:p>
        </w:tc>
      </w:tr>
      <w:tr>
        <w:trPr>
          <w:trHeight w:val="209"/>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2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w:t>
            </w: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Operating (loss) income</w:t>
            </w:r>
          </w:p>
        </w:tc>
        <w:tc>
          <w:tcPr>
            <w:tcW w:w="2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5"/>
        </w:trPr>
        <w:tc>
          <w:tcPr>
            <w:tcW w:w="4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Rocky Mountains</w:t>
            </w:r>
          </w:p>
        </w:tc>
        <w:tc>
          <w:tcPr>
            <w:tcW w:w="2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3"/>
        </w:trPr>
        <w:tc>
          <w:tcPr>
            <w:tcW w:w="4200" w:type="dxa"/>
            <w:vAlign w:val="bottom"/>
          </w:tcPr>
          <w:p>
            <w:pPr>
              <w:ind w:left="140"/>
              <w:spacing w:after="0"/>
              <w:rPr>
                <w:sz w:val="20"/>
                <w:szCs w:val="20"/>
                <w:color w:val="auto"/>
              </w:rPr>
            </w:pPr>
            <w:r>
              <w:rPr>
                <w:rFonts w:ascii="Arial" w:cs="Arial" w:eastAsia="Arial" w:hAnsi="Arial"/>
                <w:sz w:val="16"/>
                <w:szCs w:val="16"/>
                <w:color w:val="auto"/>
              </w:rPr>
              <w:t>Southwest</w:t>
            </w:r>
          </w:p>
        </w:tc>
        <w:tc>
          <w:tcPr>
            <w:tcW w:w="2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5"/>
        </w:trPr>
        <w:tc>
          <w:tcPr>
            <w:tcW w:w="4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Northeast/Mid-Con</w:t>
            </w:r>
          </w:p>
        </w:tc>
        <w:tc>
          <w:tcPr>
            <w:tcW w:w="2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13"/>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and other</w:t>
            </w:r>
          </w:p>
        </w:tc>
        <w:tc>
          <w:tcPr>
            <w:tcW w:w="2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r>
      <w:tr>
        <w:trPr>
          <w:trHeight w:val="209"/>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operating (loss) income</w:t>
            </w:r>
          </w:p>
        </w:tc>
        <w:tc>
          <w:tcPr>
            <w:tcW w:w="2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6"/>
        </w:trPr>
        <w:tc>
          <w:tcPr>
            <w:tcW w:w="4200" w:type="dxa"/>
            <w:vAlign w:val="bottom"/>
          </w:tcPr>
          <w:p>
            <w:pPr>
              <w:ind w:left="20"/>
              <w:spacing w:after="0"/>
              <w:rPr>
                <w:sz w:val="20"/>
                <w:szCs w:val="20"/>
                <w:color w:val="auto"/>
              </w:rPr>
            </w:pPr>
            <w:r>
              <w:rPr>
                <w:rFonts w:ascii="Arial" w:cs="Arial" w:eastAsia="Arial" w:hAnsi="Arial"/>
                <w:sz w:val="16"/>
                <w:szCs w:val="16"/>
                <w:color w:val="auto"/>
              </w:rPr>
              <w:t>Net (loss) income before income tax</w:t>
            </w:r>
          </w:p>
        </w:tc>
        <w:tc>
          <w:tcPr>
            <w:tcW w:w="2520" w:type="dxa"/>
            <w:vAlign w:val="bottom"/>
            <w:tcBorders>
              <w:bottom w:val="single" w:sz="8" w:color="auto"/>
            </w:tcBorders>
          </w:tcPr>
          <w:p>
            <w:pPr>
              <w:jc w:val="right"/>
              <w:ind w:right="23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color w:val="auto"/>
                <w:w w:val="89"/>
              </w:rPr>
              <w:t>$</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r>
      <w:tr>
        <w:trPr>
          <w:trHeight w:val="21"/>
        </w:trPr>
        <w:tc>
          <w:tcPr>
            <w:tcW w:w="420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service offering by reportable segment:</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March 31, 2024</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ind w:left="380"/>
              <w:spacing w:after="0"/>
              <w:rPr>
                <w:sz w:val="20"/>
                <w:szCs w:val="20"/>
                <w:color w:val="auto"/>
              </w:rPr>
            </w:pPr>
            <w:r>
              <w:rPr>
                <w:rFonts w:ascii="Arial" w:cs="Arial" w:eastAsia="Arial" w:hAnsi="Arial"/>
                <w:sz w:val="18"/>
                <w:szCs w:val="18"/>
                <w:b w:val="1"/>
                <w:bCs w:val="1"/>
                <w:color w:val="auto"/>
              </w:rPr>
              <w:t>March 31, 2023</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4"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6"/>
                <w:szCs w:val="16"/>
                <w:color w:val="auto"/>
              </w:rPr>
              <w:t>Southwest</w:t>
            </w:r>
          </w:p>
        </w:tc>
        <w:tc>
          <w:tcPr>
            <w:tcW w:w="160" w:type="dxa"/>
            <w:vAlign w:val="bottom"/>
          </w:tcPr>
          <w:p>
            <w:pPr>
              <w:spacing w:after="0"/>
              <w:rPr>
                <w:sz w:val="13"/>
                <w:szCs w:val="13"/>
                <w:color w:val="auto"/>
              </w:rPr>
            </w:pPr>
          </w:p>
        </w:tc>
        <w:tc>
          <w:tcPr>
            <w:tcW w:w="1060" w:type="dxa"/>
            <w:vAlign w:val="bottom"/>
            <w:gridSpan w:val="2"/>
          </w:tcPr>
          <w:p>
            <w:pPr>
              <w:ind w:left="40"/>
              <w:spacing w:after="0" w:line="154" w:lineRule="exact"/>
              <w:rPr>
                <w:sz w:val="20"/>
                <w:szCs w:val="20"/>
                <w:color w:val="auto"/>
              </w:rPr>
            </w:pPr>
            <w:r>
              <w:rPr>
                <w:rFonts w:ascii="Arial" w:cs="Arial" w:eastAsia="Arial" w:hAnsi="Arial"/>
                <w:sz w:val="16"/>
                <w:szCs w:val="16"/>
                <w:color w:val="auto"/>
              </w:rPr>
              <w:t>Northeast</w:t>
            </w:r>
          </w:p>
        </w:tc>
        <w:tc>
          <w:tcPr>
            <w:tcW w:w="200" w:type="dxa"/>
            <w:vAlign w:val="bottom"/>
          </w:tcPr>
          <w:p>
            <w:pPr>
              <w:spacing w:after="0"/>
              <w:rPr>
                <w:sz w:val="13"/>
                <w:szCs w:val="13"/>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4"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color w:val="auto"/>
              </w:rPr>
              <w:t>Southwest</w:t>
            </w:r>
          </w:p>
        </w:tc>
        <w:tc>
          <w:tcPr>
            <w:tcW w:w="160" w:type="dxa"/>
            <w:vAlign w:val="bottom"/>
          </w:tcPr>
          <w:p>
            <w:pPr>
              <w:spacing w:after="0"/>
              <w:rPr>
                <w:sz w:val="13"/>
                <w:szCs w:val="13"/>
                <w:color w:val="auto"/>
              </w:rPr>
            </w:pPr>
          </w:p>
        </w:tc>
        <w:tc>
          <w:tcPr>
            <w:tcW w:w="1080" w:type="dxa"/>
            <w:vAlign w:val="bottom"/>
            <w:gridSpan w:val="2"/>
          </w:tcPr>
          <w:p>
            <w:pPr>
              <w:ind w:left="60"/>
              <w:spacing w:after="0" w:line="154" w:lineRule="exact"/>
              <w:rPr>
                <w:sz w:val="20"/>
                <w:szCs w:val="20"/>
                <w:color w:val="auto"/>
              </w:rPr>
            </w:pPr>
            <w:r>
              <w:rPr>
                <w:rFonts w:ascii="Arial" w:cs="Arial" w:eastAsia="Arial" w:hAnsi="Arial"/>
                <w:sz w:val="16"/>
                <w:szCs w:val="16"/>
                <w:color w:val="auto"/>
              </w:rPr>
              <w:t>Northeast</w:t>
            </w:r>
          </w:p>
        </w:tc>
        <w:tc>
          <w:tcPr>
            <w:tcW w:w="240" w:type="dxa"/>
            <w:vAlign w:val="bottom"/>
          </w:tcPr>
          <w:p>
            <w:pPr>
              <w:spacing w:after="0"/>
              <w:rPr>
                <w:sz w:val="13"/>
                <w:szCs w:val="13"/>
                <w:color w:val="auto"/>
              </w:rPr>
            </w:pPr>
          </w:p>
        </w:tc>
        <w:tc>
          <w:tcPr>
            <w:tcW w:w="860" w:type="dxa"/>
            <w:vAlign w:val="bottom"/>
            <w:vMerge w:val="restart"/>
          </w:tcPr>
          <w:p>
            <w:pPr>
              <w:jc w:val="right"/>
              <w:ind w:right="30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3"/>
        </w:trPr>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color w:val="auto"/>
              </w:rPr>
              <w:t>/Mid-Con</w:t>
            </w: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color w:val="auto"/>
              </w:rPr>
              <w:t>/Mid-Con</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13"/>
        </w:trPr>
        <w:tc>
          <w:tcPr>
            <w:tcW w:w="154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215"/>
        </w:trPr>
        <w:tc>
          <w:tcPr>
            <w:tcW w:w="1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3"/>
        </w:trPr>
        <w:tc>
          <w:tcPr>
            <w:tcW w:w="1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34"/>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239.6</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assets by segment: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00" w:type="dxa"/>
            <w:vAlign w:val="bottom"/>
            <w:tcBorders>
              <w:bottom w:val="single" w:sz="8" w:color="CCEEFF"/>
            </w:tcBorders>
          </w:tcPr>
          <w:p>
            <w:pPr>
              <w:spacing w:after="0"/>
              <w:rPr>
                <w:sz w:val="20"/>
                <w:szCs w:val="20"/>
                <w:color w:val="auto"/>
              </w:rPr>
            </w:pPr>
          </w:p>
        </w:tc>
        <w:tc>
          <w:tcPr>
            <w:tcW w:w="270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b w:val="1"/>
                <w:bCs w:val="1"/>
                <w:color w:val="auto"/>
              </w:rPr>
              <w:t>March 31, 2024</w:t>
            </w: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right"/>
              <w:ind w:right="838"/>
              <w:spacing w:after="0"/>
              <w:rPr>
                <w:sz w:val="20"/>
                <w:szCs w:val="20"/>
                <w:color w:val="auto"/>
              </w:rPr>
            </w:pPr>
            <w:r>
              <w:rPr>
                <w:rFonts w:ascii="Arial" w:cs="Arial" w:eastAsia="Arial" w:hAnsi="Arial"/>
                <w:sz w:val="18"/>
                <w:szCs w:val="18"/>
                <w:b w:val="1"/>
                <w:bCs w:val="1"/>
                <w:color w:val="auto"/>
              </w:rPr>
              <w:t>December 31, 2023</w:t>
            </w:r>
          </w:p>
        </w:tc>
      </w:tr>
      <w:tr>
        <w:trPr>
          <w:trHeight w:val="20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2700" w:type="dxa"/>
            <w:vAlign w:val="bottom"/>
            <w:shd w:val="clear" w:color="auto" w:fill="CCEEFF"/>
          </w:tcPr>
          <w:p>
            <w:pPr>
              <w:jc w:val="right"/>
              <w:ind w:right="2497"/>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w:t>
            </w: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Southwest</w:t>
            </w:r>
          </w:p>
        </w:tc>
        <w:tc>
          <w:tcPr>
            <w:tcW w:w="2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167.8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40" w:type="dxa"/>
            <w:vAlign w:val="bottom"/>
          </w:tcPr>
          <w:p>
            <w:pPr>
              <w:jc w:val="right"/>
              <w:spacing w:after="0"/>
              <w:rPr>
                <w:sz w:val="20"/>
                <w:szCs w:val="20"/>
                <w:color w:val="auto"/>
              </w:rPr>
            </w:pPr>
            <w:r>
              <w:rPr>
                <w:rFonts w:ascii="Arial" w:cs="Arial" w:eastAsia="Arial" w:hAnsi="Arial"/>
                <w:sz w:val="16"/>
                <w:szCs w:val="16"/>
                <w:color w:val="auto"/>
              </w:rPr>
              <w:t>174.3</w:t>
            </w:r>
          </w:p>
        </w:tc>
      </w:tr>
      <w:tr>
        <w:trPr>
          <w:trHeight w:val="215"/>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27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w:t>
            </w:r>
          </w:p>
        </w:tc>
      </w:tr>
      <w:tr>
        <w:trPr>
          <w:trHeight w:val="206"/>
        </w:trPr>
        <w:tc>
          <w:tcPr>
            <w:tcW w:w="4200" w:type="dxa"/>
            <w:vAlign w:val="bottom"/>
          </w:tcPr>
          <w:p>
            <w:pPr>
              <w:ind w:left="160"/>
              <w:spacing w:after="0"/>
              <w:rPr>
                <w:sz w:val="20"/>
                <w:szCs w:val="20"/>
                <w:color w:val="auto"/>
              </w:rPr>
            </w:pPr>
            <w:r>
              <w:rPr>
                <w:rFonts w:ascii="Arial" w:cs="Arial" w:eastAsia="Arial" w:hAnsi="Arial"/>
                <w:sz w:val="16"/>
                <w:szCs w:val="16"/>
                <w:color w:val="auto"/>
              </w:rPr>
              <w:t>Total</w:t>
            </w:r>
          </w:p>
        </w:tc>
        <w:tc>
          <w:tcPr>
            <w:tcW w:w="27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412.6</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40" w:type="dxa"/>
            <w:vAlign w:val="bottom"/>
          </w:tcPr>
          <w:p>
            <w:pPr>
              <w:jc w:val="right"/>
              <w:spacing w:after="0"/>
              <w:rPr>
                <w:sz w:val="20"/>
                <w:szCs w:val="20"/>
                <w:color w:val="auto"/>
              </w:rPr>
            </w:pPr>
            <w:r>
              <w:rPr>
                <w:rFonts w:ascii="Arial" w:cs="Arial" w:eastAsia="Arial" w:hAnsi="Arial"/>
                <w:sz w:val="16"/>
                <w:szCs w:val="16"/>
                <w:color w:val="auto"/>
              </w:rPr>
              <w:t>427.3</w:t>
            </w:r>
          </w:p>
        </w:tc>
      </w:tr>
      <w:tr>
        <w:trPr>
          <w:trHeight w:val="214"/>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27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w:t>
            </w:r>
          </w:p>
        </w:tc>
      </w:tr>
      <w:tr>
        <w:trPr>
          <w:trHeight w:val="209"/>
        </w:trPr>
        <w:tc>
          <w:tcPr>
            <w:tcW w:w="420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2700" w:type="dxa"/>
            <w:vAlign w:val="bottom"/>
            <w:tcBorders>
              <w:bottom w:val="single" w:sz="8" w:color="auto"/>
            </w:tcBorders>
          </w:tcPr>
          <w:p>
            <w:pPr>
              <w:jc w:val="right"/>
              <w:ind w:right="2497"/>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497.5</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w w:val="89"/>
              </w:rPr>
              <w:t>$</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539.8</w:t>
            </w:r>
          </w:p>
        </w:tc>
      </w:tr>
      <w:tr>
        <w:trPr>
          <w:trHeight w:val="20"/>
        </w:trPr>
        <w:tc>
          <w:tcPr>
            <w:tcW w:w="420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cash capital expenditures by reportable segment: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00" w:type="dxa"/>
            <w:vAlign w:val="bottom"/>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Three Months Ended</w:t>
            </w:r>
          </w:p>
        </w:tc>
        <w:tc>
          <w:tcPr>
            <w:tcW w:w="2500" w:type="dxa"/>
            <w:vAlign w:val="bottom"/>
            <w:tcBorders>
              <w:bottom w:val="single" w:sz="8" w:color="auto"/>
            </w:tcBorders>
          </w:tcPr>
          <w:p>
            <w:pPr>
              <w:spacing w:after="0"/>
              <w:rPr>
                <w:sz w:val="20"/>
                <w:szCs w:val="20"/>
                <w:color w:val="auto"/>
              </w:rPr>
            </w:pPr>
          </w:p>
        </w:tc>
      </w:tr>
      <w:tr>
        <w:trPr>
          <w:trHeight w:val="221"/>
        </w:trPr>
        <w:tc>
          <w:tcPr>
            <w:tcW w:w="4200" w:type="dxa"/>
            <w:vAlign w:val="bottom"/>
            <w:tcBorders>
              <w:bottom w:val="single" w:sz="8" w:color="CCEEFF"/>
            </w:tcBorders>
          </w:tcPr>
          <w:p>
            <w:pPr>
              <w:spacing w:after="0"/>
              <w:rPr>
                <w:sz w:val="19"/>
                <w:szCs w:val="19"/>
                <w:color w:val="auto"/>
              </w:rPr>
            </w:pPr>
          </w:p>
        </w:tc>
        <w:tc>
          <w:tcPr>
            <w:tcW w:w="25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March 31, 2024</w:t>
            </w: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ind w:right="1018"/>
              <w:spacing w:after="0"/>
              <w:rPr>
                <w:sz w:val="20"/>
                <w:szCs w:val="20"/>
                <w:color w:val="auto"/>
              </w:rPr>
            </w:pPr>
            <w:r>
              <w:rPr>
                <w:rFonts w:ascii="Arial" w:cs="Arial" w:eastAsia="Arial" w:hAnsi="Arial"/>
                <w:sz w:val="18"/>
                <w:szCs w:val="18"/>
                <w:b w:val="1"/>
                <w:bCs w:val="1"/>
                <w:color w:val="auto"/>
              </w:rPr>
              <w:t>March 31, 2023</w:t>
            </w:r>
          </w:p>
        </w:tc>
      </w:tr>
      <w:tr>
        <w:trPr>
          <w:trHeight w:val="20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2500" w:type="dxa"/>
            <w:vAlign w:val="bottom"/>
            <w:shd w:val="clear" w:color="auto" w:fill="CCEEFF"/>
          </w:tcPr>
          <w:p>
            <w:pPr>
              <w:jc w:val="right"/>
              <w:ind w:right="2297"/>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2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Southwest</w:t>
            </w:r>
          </w:p>
        </w:tc>
        <w:tc>
          <w:tcPr>
            <w:tcW w:w="2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5"/>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2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and other</w:t>
            </w:r>
          </w:p>
        </w:tc>
        <w:tc>
          <w:tcPr>
            <w:tcW w:w="2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capital expenditures</w:t>
            </w:r>
          </w:p>
        </w:tc>
        <w:tc>
          <w:tcPr>
            <w:tcW w:w="2500" w:type="dxa"/>
            <w:vAlign w:val="bottom"/>
            <w:tcBorders>
              <w:bottom w:val="single" w:sz="8" w:color="auto"/>
            </w:tcBorders>
            <w:shd w:val="clear" w:color="auto" w:fill="CCEEFF"/>
          </w:tcPr>
          <w:p>
            <w:pPr>
              <w:jc w:val="right"/>
              <w:ind w:right="2297"/>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78740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Net (Loss) Income Per Common Share</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net (loss) income per common share is computed using the weighted average common shares outstanding during the period. Diluted net (loss) income per common share is computed by using the weighted average common shares outstanding, including the dilutive effect of restricted shares based on an average share price during the period. For the three months ended March 31, 2024 and March 31, 2023, 0.2 and 0.0 million shares of the Company’s Common Stock, respectively, were excluded from the determination of diluted net (loss) income per common share because their effect would have been anti-dilutive. The computations of basic and diluted net (loss) income per share for the three months ended March 31, 2024 and March 31, 2023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80" w:type="dxa"/>
            <w:vAlign w:val="bottom"/>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2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8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2024</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b w:val="1"/>
                <w:bCs w:val="1"/>
                <w:color w:val="auto"/>
              </w:rPr>
              <w:t>March 31, 2023</w:t>
            </w:r>
          </w:p>
        </w:tc>
        <w:tc>
          <w:tcPr>
            <w:tcW w:w="0" w:type="dxa"/>
            <w:vAlign w:val="bottom"/>
          </w:tcPr>
          <w:p>
            <w:pPr>
              <w:spacing w:after="0"/>
              <w:rPr>
                <w:sz w:val="1"/>
                <w:szCs w:val="1"/>
                <w:color w:val="auto"/>
              </w:rPr>
            </w:pPr>
          </w:p>
        </w:tc>
      </w:tr>
      <w:tr>
        <w:trPr>
          <w:trHeight w:val="231"/>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000" w:type="dxa"/>
            <w:vAlign w:val="bottom"/>
            <w:tcBorders>
              <w:bottom w:val="single" w:sz="8" w:color="auto"/>
            </w:tcBorders>
            <w:shd w:val="clear" w:color="auto" w:fill="CCEEFF"/>
          </w:tcPr>
          <w:p>
            <w:pPr>
              <w:jc w:val="right"/>
              <w:ind w:right="18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in millions)</w:t>
            </w: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28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w:t>
            </w:r>
          </w:p>
        </w:tc>
        <w:tc>
          <w:tcPr>
            <w:tcW w:w="20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Effect of dilutive securities - dilutive securities</w:t>
            </w:r>
          </w:p>
        </w:tc>
        <w:tc>
          <w:tcPr>
            <w:tcW w:w="20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2"/>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w:t>
            </w:r>
          </w:p>
        </w:tc>
        <w:tc>
          <w:tcPr>
            <w:tcW w:w="20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(loss) income per common share</w:t>
            </w:r>
          </w:p>
        </w:tc>
        <w:tc>
          <w:tcPr>
            <w:tcW w:w="2000" w:type="dxa"/>
            <w:vAlign w:val="bottom"/>
            <w:shd w:val="clear" w:color="auto" w:fill="CCEEFF"/>
          </w:tcPr>
          <w:p>
            <w:pPr>
              <w:jc w:val="right"/>
              <w:ind w:right="18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0"/>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11"/>
        </w:trPr>
        <w:tc>
          <w:tcPr>
            <w:tcW w:w="5280" w:type="dxa"/>
            <w:vAlign w:val="bottom"/>
          </w:tcPr>
          <w:p>
            <w:pPr>
              <w:ind w:left="20"/>
              <w:spacing w:after="0"/>
              <w:rPr>
                <w:sz w:val="20"/>
                <w:szCs w:val="20"/>
                <w:color w:val="auto"/>
              </w:rPr>
            </w:pPr>
            <w:r>
              <w:rPr>
                <w:rFonts w:ascii="Arial" w:cs="Arial" w:eastAsia="Arial" w:hAnsi="Arial"/>
                <w:sz w:val="16"/>
                <w:szCs w:val="16"/>
                <w:color w:val="auto"/>
              </w:rPr>
              <w:t>Diluted net (loss) income per common share</w:t>
            </w:r>
          </w:p>
        </w:tc>
        <w:tc>
          <w:tcPr>
            <w:tcW w:w="2000" w:type="dxa"/>
            <w:vAlign w:val="bottom"/>
          </w:tcPr>
          <w:p>
            <w:pPr>
              <w:jc w:val="right"/>
              <w:ind w:right="18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780" w:type="dxa"/>
            <w:vAlign w:val="bottom"/>
          </w:tcPr>
          <w:p>
            <w:pPr>
              <w:jc w:val="right"/>
              <w:ind w:right="600"/>
              <w:spacing w:after="0"/>
              <w:rPr>
                <w:sz w:val="20"/>
                <w:szCs w:val="20"/>
                <w:color w:val="auto"/>
              </w:rPr>
            </w:pPr>
            <w:r>
              <w:rPr>
                <w:rFonts w:ascii="Arial" w:cs="Arial" w:eastAsia="Arial" w:hAnsi="Arial"/>
                <w:sz w:val="16"/>
                <w:szCs w:val="16"/>
                <w:color w:val="auto"/>
                <w:w w:val="89"/>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to investors. This Quarterly Report on Form 10-Q (this “Quarterly Report”) includes forward-looking statements that reflect our current expectations and projections about our future results, performance and prospects. Forward-looking statements include all statements that are not historical in nature or are not current facts. When used in this Quarterly Report,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Securities and Exchange Commission (the “SEC”), in particular those discussed under the headings “Risk Factors” in our Annual Report on Form 10-K for the year ended December 31, 2023 and in this Quarterly Report, including the following factors:</w:t>
      </w:r>
    </w:p>
    <w:p>
      <w:pPr>
        <w:spacing w:after="0" w:line="207" w:lineRule="exact"/>
        <w:rPr>
          <w:sz w:val="20"/>
          <w:szCs w:val="20"/>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such as inflation and government efforts to reduce inflation or a recession;</w:t>
      </w:r>
    </w:p>
    <w:p>
      <w:pPr>
        <w:spacing w:after="0" w:line="24"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persistent volatility in national and global crude oil demand and crude oil prices;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and other changes in supply, demand and costs of equipment;</w:t>
      </w:r>
    </w:p>
    <w:p>
      <w:pPr>
        <w:spacing w:after="0" w:line="6" w:lineRule="exact"/>
        <w:rPr>
          <w:rFonts w:ascii="Arial" w:cs="Arial" w:eastAsia="Arial" w:hAnsi="Arial"/>
          <w:sz w:val="18"/>
          <w:szCs w:val="18"/>
          <w:color w:val="auto"/>
        </w:rPr>
      </w:pPr>
    </w:p>
    <w:p>
      <w:pPr>
        <w:ind w:left="800" w:hanging="151"/>
        <w:spacing w:after="0" w:line="248"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of inefficiencies, curtailments or shutdowns in our customers’ operations whether in response to reductions in demand or other factors;</w:t>
      </w: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regarding our future operating results;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 of and dependence upon the energy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0" w:hanging="15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cyclical nature of the energy industry;</w:t>
      </w:r>
    </w:p>
    <w:p>
      <w:pPr>
        <w:spacing w:after="0" w:line="24" w:lineRule="exact"/>
        <w:rPr>
          <w:rFonts w:ascii="Arial" w:cs="Arial" w:eastAsia="Arial" w:hAnsi="Arial"/>
          <w:sz w:val="18"/>
          <w:szCs w:val="18"/>
          <w:color w:val="auto"/>
        </w:rPr>
      </w:pPr>
    </w:p>
    <w:p>
      <w:pPr>
        <w:ind w:left="800" w:hanging="15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market prices for fuel, oil and natural gas;</w:t>
      </w:r>
    </w:p>
    <w:p>
      <w:pPr>
        <w:spacing w:after="0" w:line="6" w:lineRule="exact"/>
        <w:rPr>
          <w:rFonts w:ascii="Arial" w:cs="Arial" w:eastAsia="Arial" w:hAnsi="Arial"/>
          <w:sz w:val="18"/>
          <w:szCs w:val="18"/>
          <w:color w:val="auto"/>
        </w:rPr>
      </w:pPr>
    </w:p>
    <w:p>
      <w:pPr>
        <w:jc w:val="both"/>
        <w:ind w:left="800" w:hanging="151"/>
        <w:spacing w:after="0" w:line="248" w:lineRule="auto"/>
        <w:tabs>
          <w:tab w:leader="none" w:pos="795"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overall domestic and global political and economic conditions, including the imposition of tariffs or trade or other economic sanctions, political instability or armed conflict, including the ongoing conflicts in Ukraine, the Israel-Gaza region and elsewhere in the Middle East, including rising tensions with Iran;</w:t>
      </w:r>
    </w:p>
    <w:p>
      <w:pPr>
        <w:ind w:left="800" w:hanging="15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acceptable pricing for our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conditions within the industry;</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or interruption in operations of one or more key suppliers;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the rate at which oil and/or natural gas reserves are discovered and/or developed;</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delays in obtaining permits for their operations;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hazards and operational risks that may not be fully covered by insurance;</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write-off of a significant portion of intangible assets;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to obtain additional capital or financing, and the availability and/or cost of obtaining such capital or financing;</w:t>
      </w:r>
    </w:p>
    <w:p>
      <w:pPr>
        <w:spacing w:after="0" w:line="6" w:lineRule="exact"/>
        <w:rPr>
          <w:rFonts w:ascii="Arial" w:cs="Arial" w:eastAsia="Arial" w:hAnsi="Arial"/>
          <w:sz w:val="18"/>
          <w:szCs w:val="18"/>
          <w:color w:val="auto"/>
        </w:rPr>
      </w:pPr>
    </w:p>
    <w:p>
      <w:pPr>
        <w:jc w:val="both"/>
        <w:ind w:left="800" w:hanging="151"/>
        <w:spacing w:after="0" w:line="248" w:lineRule="auto"/>
        <w:tabs>
          <w:tab w:leader="none" w:pos="795"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limitations originating from our organizational documents, debt instruments and U.S. federal income tax obligations may impact our financial flexibility, our ability to engage in strategic transactions or our ability to declare and pay cash dividends on our Common Stock;</w:t>
      </w:r>
    </w:p>
    <w:p>
      <w:pPr>
        <w:ind w:left="800" w:hanging="15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credit profile and our ability to renew or refinance our indebtedness;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oilfield anti-indemnity provisions;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seasonal and adverse weather conditions that can affect oil and natural gas operations;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reliance on information technology resources and the inability to implement new technology and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of international conflicts, terrorist or cyber-attacks and the consequences of any such events;</w:t>
      </w:r>
    </w:p>
    <w:p>
      <w:pPr>
        <w:spacing w:after="0" w:line="6" w:lineRule="exact"/>
        <w:rPr>
          <w:rFonts w:ascii="Arial" w:cs="Arial" w:eastAsia="Arial" w:hAnsi="Arial"/>
          <w:sz w:val="18"/>
          <w:szCs w:val="18"/>
          <w:color w:val="auto"/>
        </w:rPr>
      </w:pPr>
    </w:p>
    <w:p>
      <w:pPr>
        <w:ind w:left="800" w:hanging="151"/>
        <w:spacing w:after="0" w:line="248" w:lineRule="auto"/>
        <w:tabs>
          <w:tab w:leader="none" w:pos="79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labor costs or our ability to employ, or maintain the employment of, a sufficient number of key employees, technical personnel, and other skilled and qualified workers;</w:t>
      </w:r>
    </w:p>
    <w:p>
      <w:pPr>
        <w:ind w:left="800" w:hanging="151"/>
        <w:spacing w:after="0" w:line="248" w:lineRule="auto"/>
        <w:tabs>
          <w:tab w:leader="none" w:pos="7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environment and impacts resulting from a global pandemic, like the novel coronavirus (“COVID-19”) pandemic and subsequent variants;</w:t>
      </w:r>
    </w:p>
    <w:p>
      <w:pPr>
        <w:ind w:left="800" w:hanging="15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successfully consummate or integrate our acquisitions or inability to manage potential growth; and</w:t>
      </w:r>
    </w:p>
    <w:p>
      <w:pPr>
        <w:spacing w:after="0" w:line="6" w:lineRule="exact"/>
        <w:rPr>
          <w:rFonts w:ascii="Arial" w:cs="Arial" w:eastAsia="Arial" w:hAnsi="Arial"/>
          <w:sz w:val="18"/>
          <w:szCs w:val="18"/>
          <w:color w:val="auto"/>
        </w:rPr>
      </w:pPr>
    </w:p>
    <w:p>
      <w:pPr>
        <w:ind w:left="800" w:hanging="151"/>
        <w:spacing w:after="0" w:line="244" w:lineRule="auto"/>
        <w:tabs>
          <w:tab w:leader="none" w:pos="79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remediate any material weakness in, or to maintain effective, internal controls over financial reporting and disclosure controls and procedures.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light of these risks and uncertainties, you are cautioned not to put undue reliance on any forward-looking statements in this Quarterly Report. These statements should be considered only after carefully reading this entire Quarterly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Quarterly Report not to occur.</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forward-looking statements, expressed or implied, included in this Quarterly Report are expressly qualified in their entirety by this cautionary statement. This cautionary statement should also be considered in connection with any subsequent written or oral forward-looking statement that we or persons acting on our behalf may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(U.S. dollars in millions, except per share data)</w:t>
      </w:r>
    </w:p>
    <w:p>
      <w:pPr>
        <w:spacing w:after="0" w:line="15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i w:val="1"/>
          <w:iCs w:val="1"/>
          <w:color w:val="auto"/>
        </w:rPr>
        <w:t>The following discussion and analysis should be read in conjunction with the historical condensed consolidated financial statements and related notes included elsewhere in this Quarterly Report as well as our Annual Report on Form 10-K for the year ended December 31, 2023</w:t>
      </w:r>
      <w:r>
        <w:rPr>
          <w:rFonts w:ascii="Arial" w:cs="Arial" w:eastAsia="Arial" w:hAnsi="Arial"/>
          <w:sz w:val="18"/>
          <w:szCs w:val="18"/>
          <w:color w:val="auto"/>
        </w:rPr>
        <w:t>.</w:t>
      </w:r>
    </w:p>
    <w:p>
      <w:pPr>
        <w:jc w:val="both"/>
        <w:spacing w:after="0" w:line="225" w:lineRule="auto"/>
        <w:rPr>
          <w:sz w:val="20"/>
          <w:szCs w:val="20"/>
          <w:color w:val="auto"/>
        </w:rPr>
      </w:pPr>
      <w:r>
        <w:rPr>
          <w:rFonts w:ascii="Arial" w:cs="Arial" w:eastAsia="Arial" w:hAnsi="Arial"/>
          <w:sz w:val="18"/>
          <w:szCs w:val="18"/>
          <w:i w:val="1"/>
          <w:iCs w:val="1"/>
          <w:color w:val="auto"/>
        </w:rPr>
        <w:t>This discussion contains forward-looking statements reflecting our current expectations and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Quarterly Report.</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addresses the results of our operations for the three months ended March 31, 2024, as compared to our results of operations for the three months ended March 31, 2023. In addition, the discussion and analysis addresses our liquidity, financial condition and other matters for these periods.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KLX Energy Services was initially formed from the combination of seven private oilfield service companies acquired during 2013 and 2014. The Company continued to selectively acquire regional and product line specific businesses through 2019 to expand our service capabilities and broaden our geographic presence. Once the acquisitions were completed, we undertook a comprehensive integration of these businesses to align our services, our people and our assets across all the geographic regions where we maintain a presence. We acquired Quintana Energy Services, Inc. (“QES”) during the second quarter of 2020 and, by doing so, helped establish KLXE as an industry leading provider of asset-light oilfield solutions across the full well lifecycle to the major onshore oil and gas producing regions of the United States.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merger of KLXE and QES (the “QES Merger”) provided increased scale to serve a blue-chip customer base across the onshore oil and gas basins in the United States. The QES Merger combined two strong company cultures comprised of highly talented teams with shared commitments to safety, performance, customer service and profitability. The combination leveraged two of the largest fleets of coiled tubing and wireline assets, resulting in KLXE becoming a leading diversified provider of drilling, completions and production services, with market leadership positions in coiled tubing and fishing services. After closing the QES Merger, the Company integrated personnel, facilities, processes and systems across all functional areas of the organization.</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8, 2023, KLXE acquired all of the equity interests of Greene’s Energy Group, LLC (“Greene’s”), in an all-stock transaction (the “Greene's Acquisition”), including $ 1.7 in cash remaining at Greene's, which was subsequently adjusted to $1.1 due to a $0.6 working capital adjustment. See Note 3 - Business Combinations.</w:t>
      </w:r>
    </w:p>
    <w:p>
      <w:pPr>
        <w:spacing w:after="0" w:line="200"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Looking ahead, the Company expects to continue to pursue opportunistic strategic, accretive acquisitions that would be expected to further strengthen the Company’s competitive positioning and capital structure and drive efficiencies, accelerate growth and create long</w:t>
      </w:r>
      <w:r>
        <w:rPr>
          <w:rFonts w:ascii="MS PGothic" w:cs="MS PGothic" w:eastAsia="MS PGothic" w:hAnsi="MS PGothic"/>
          <w:sz w:val="18"/>
          <w:szCs w:val="18"/>
          <w:color w:val="auto"/>
        </w:rPr>
        <w:t>‑</w:t>
      </w:r>
      <w:r>
        <w:rPr>
          <w:rFonts w:ascii="Arial" w:cs="Arial" w:eastAsia="Arial" w:hAnsi="Arial"/>
          <w:sz w:val="18"/>
          <w:szCs w:val="18"/>
          <w:color w:val="auto"/>
        </w:rPr>
        <w:t>term stockholder value.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50 service facilities located in the key major shale basins. We operate in three segments on a geographic basis, including the Rocky Mountains Region (the Bakken, Williston, DJ, Uinta, Powder River, Piceance and Niobrara basins), the Southwest Region (the Permian Basin, Eagle Ford Shale and the Gulf Coast as well as in industrial and petrochemical facilities) and the Northeast/Mid-Con Region (the Marcellus and Utica Shale as well as the Mid-Continent STACK and SCOOP and Haynesville Shale).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revenues, operating earnings and identifiable assets are primarily attributable to these three reportable geographic segments. While we manage our business based upon these geographic groupings, our assets and our technical personnel are deployed on a dynamic basis across all of our service facilities to optimize utilization and profitability.</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and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active drilling environments.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work with our customers to provide engineered solutions across the lifecycle of the well by streamlining operations, reducing non-productive time and developing cost effective solutions and customized tools for our customers’ challenging service needs, including their technically complex extended reach horizontal wells. We believe future revenue growth opportunities will continue to be driven by increases in the number of new customers served and the breadth of services we offer to existing and prospective customers.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research and development (“R&amp;D”) organization and, in selected instances, by our technology partners to develop tools covered by 38 patents and 10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real-time with the technology used for extraction. We believe we offer best-in-class service execution at the wellsite and innovative downhole technologies, positioning us to benefit from our ability to service technically complex wells where the potential for increased operating leverage is high due to the large number of stages per well.</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offer our customers in all of our geographic regions discrete, comprehensive and differentiated services that leverage both the technical expertise of our skilled engineers and our in-house R&amp;D team.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and Outlook</w:t>
      </w: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The oil and gas industry experienced significant increases in activity in late 2021 and 2022 due to the recovery from the COVID-19 pandemic and increasing demand for oil and gas. Furthermore, sanctions and import bans on Russian oil have been implemented by various countries in response to the ongoing war in Ukraine, further impacting global oil supply. While oil prices declined in the first half of 2023 from their 2022 highs, oil prices rebounded in the third quarter of 2023 due to stronger than anticipated economic growth and sustained production cuts from Saudi Arabia and Russia, followed by oil price decreases in the fourth quarter of 2023 due to a decrease in demand as the overall economy declined. Natural gas prices also declined in the fourth quarter of 2023. Oil and natural gas prices have been, and may remain, volatile, which impacts demand for our business. West Texas Intermediate’s (“WTI") average daily price per barrel decreased by approximately 1.3%, to $ 77.50 per Bbl during the three months ended March 31, 2024, compared to the WTI average daily price per barrel of $78.53 per Bbl during the three months ended December 31, 2023. As of March 31, 2024, U.S. rig count stood at 621, which remained flat compared to December 31, 2023, when the U.S. rig count was 622.</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the decrease in commodity prices during the fiscal year ended December 31, 2023, the Company remains focused on providing the highest level of customer service across our regions and different service offerings, which has allowed us to make meaningful positive impacts to our revenue, operating margins, cash flows and Adjusted EBITDA (as defined below). We are taking steps to hire essential personnel and increase capital expenditures as activity rebounds, but we are measured in our growth and focused on returns.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Looking ahead to the year ending December 31, 2024, assuming economic activity holds at the recent level and commodity prices remain volatile, we anticipate that our customers will continue to cautiously allocate capital and operating expense spending. So far in the year ending December 31, 2024, WTI prices have been flat, as demand for oil and gas products persists. Currently, global oil inventories supplied from OPEC and its allies (“OPEC+”) and other oil producing nations are expected to transition to inventory decreases throughout the majority of 2024 from inventory builds during 2023. This persisting demand and expectation of decreased inventory is balanced against weather-related challenges across the country as well as a cautious approach to drilling expansion, as evidenced by the U.S. rig count being flat through mid-April 2024.</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Oil and natural gas prices may fluctuate with changes in demand due to, among other things, the ongoing war in Ukraine, the recent Israel-Hamas conflict, rising tensions with Iran, international sanctions, speculation as to future actions by OPEC+, gas prices, interest rates, inflation and government efforts to reduce inflation, and possible changes in the overall health of the global economy, including a perceived economic recovery or any increased volatility in financial and credit markets or a recession. To what extent these and other external factors (such as government action with respect to climate change regulation) ultimately impact our future business, liquidity, financial condition, and results of operations is highly uncertain and dependent on numerous factors, including future developments, that are not within our control and cannot be accurately predicted.</w:t>
      </w:r>
    </w:p>
    <w:p>
      <w:pPr>
        <w:spacing w:after="0" w:line="211"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We believe our diverse product and service offerings uniquely position KLXE to respond to a rapidly evolving marketplace where we can provide a comprehensive suite of engineered solutions for our customers with one call and one master services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 and the Costs of Conducting Our Business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and short payback periods. Our services generally require equipment that is less expensive to maintain and is operated by a smaller staff than many other oilfield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services providers. As part of our returns-focused approach to capital spending, we are focused on efficiently utilizing capital to develop new products. We support our existing asset base with targeted investments in R&amp;D, which we believe allows us to maintain a technical advantage over our competitors providing similar services using standard equipment.</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We remain focused on serving the needs of our customers by providing a broad portfolio of product service lines across major basins, while preserving a solid balance sheet, maintaining sufficient operating liquidity and prudently managing our capital expenditures.</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we have strong management systems in place, which will allow us to manage our operating resources and associated expenses relative to market conditions. Historically, we believe our services have generated margins superior to our competitors based upon the differential quality of our performance, and that these margins may contribute to future cash flow generation. The required investment in our business includes both working capital (principally for accounts receivable, inventory and accounts payable growth tied to increasing activity) and capital expenditures for both maintenance of existing assets and ultimately growth when economic returns justify the spending. Our required maintenance capital expenditures tend to be lower than other oilfield service providers due to the generally asset-light nature of our services, the lower average age of our assets and our ability to charge back a portion of asset maintenance to customers for a number of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2024 Compared to Three Months Ended March 31,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92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The following is a summary of revenue by segment and product line for the periods indicated:</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322"/>
        </w:trPr>
        <w:tc>
          <w:tcPr>
            <w:tcW w:w="464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1"/>
        </w:trPr>
        <w:tc>
          <w:tcPr>
            <w:tcW w:w="46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March 31, 2024</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3"/>
          </w:tcPr>
          <w:p>
            <w:pPr>
              <w:ind w:left="500"/>
              <w:spacing w:after="0"/>
              <w:rPr>
                <w:sz w:val="20"/>
                <w:szCs w:val="20"/>
                <w:color w:val="auto"/>
              </w:rPr>
            </w:pPr>
            <w:r>
              <w:rPr>
                <w:rFonts w:ascii="Arial" w:cs="Arial" w:eastAsia="Arial" w:hAnsi="Arial"/>
                <w:sz w:val="18"/>
                <w:szCs w:val="18"/>
                <w:b w:val="1"/>
                <w:bCs w:val="1"/>
                <w:color w:val="auto"/>
              </w:rPr>
              <w:t>March 31, 2023</w:t>
            </w:r>
          </w:p>
        </w:tc>
        <w:tc>
          <w:tcPr>
            <w:tcW w:w="1600" w:type="dxa"/>
            <w:vAlign w:val="bottom"/>
          </w:tcPr>
          <w:p>
            <w:pPr>
              <w:jc w:val="right"/>
              <w:ind w:right="291"/>
              <w:spacing w:after="0"/>
              <w:rPr>
                <w:sz w:val="20"/>
                <w:szCs w:val="20"/>
                <w:color w:val="auto"/>
              </w:rPr>
            </w:pPr>
            <w:r>
              <w:rPr>
                <w:rFonts w:ascii="Arial" w:cs="Arial" w:eastAsia="Arial" w:hAnsi="Arial"/>
                <w:sz w:val="18"/>
                <w:szCs w:val="18"/>
                <w:b w:val="1"/>
                <w:bCs w:val="1"/>
                <w:color w:val="auto"/>
              </w:rPr>
              <w:t>% Change</w:t>
            </w:r>
          </w:p>
        </w:tc>
      </w:tr>
      <w:tr>
        <w:trPr>
          <w:trHeight w:val="207"/>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7"/>
        </w:trPr>
        <w:tc>
          <w:tcPr>
            <w:tcW w:w="4640" w:type="dxa"/>
            <w:vAlign w:val="bottom"/>
          </w:tcPr>
          <w:p>
            <w:pPr>
              <w:ind w:left="280"/>
              <w:spacing w:after="0"/>
              <w:rPr>
                <w:sz w:val="20"/>
                <w:szCs w:val="20"/>
                <w:color w:val="auto"/>
              </w:rPr>
            </w:pPr>
            <w:r>
              <w:rPr>
                <w:rFonts w:ascii="Arial" w:cs="Arial" w:eastAsia="Arial" w:hAnsi="Arial"/>
                <w:sz w:val="18"/>
                <w:szCs w:val="18"/>
                <w:color w:val="auto"/>
              </w:rPr>
              <w:t>Rocky Mountains</w:t>
            </w:r>
          </w:p>
        </w:tc>
        <w:tc>
          <w:tcPr>
            <w:tcW w:w="1940" w:type="dxa"/>
            <w:vAlign w:val="bottom"/>
          </w:tcPr>
          <w:p>
            <w:pPr>
              <w:jc w:val="right"/>
              <w:ind w:right="17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1660" w:type="dxa"/>
            <w:vAlign w:val="bottom"/>
          </w:tcPr>
          <w:p>
            <w:pPr>
              <w:jc w:val="right"/>
              <w:ind w:right="1451"/>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27"/>
        </w:trPr>
        <w:tc>
          <w:tcPr>
            <w:tcW w:w="4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Southwest</w:t>
            </w:r>
          </w:p>
        </w:tc>
        <w:tc>
          <w:tcPr>
            <w:tcW w:w="1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7"/>
        </w:trPr>
        <w:tc>
          <w:tcPr>
            <w:tcW w:w="4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Northeast/Mid-Con</w:t>
            </w:r>
          </w:p>
        </w:tc>
        <w:tc>
          <w:tcPr>
            <w:tcW w:w="1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r>
      <w:tr>
        <w:trPr>
          <w:trHeight w:val="24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940" w:type="dxa"/>
            <w:vAlign w:val="bottom"/>
            <w:tcBorders>
              <w:bottom w:val="single" w:sz="8" w:color="auto"/>
            </w:tcBorders>
            <w:shd w:val="clear" w:color="auto" w:fill="CCEEFF"/>
          </w:tcPr>
          <w:p>
            <w:pPr>
              <w:jc w:val="right"/>
              <w:ind w:right="173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ind w:right="1451"/>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4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600" w:type="dxa"/>
            <w:vAlign w:val="bottom"/>
            <w:tcBorders>
              <w:bottom w:val="single" w:sz="8" w:color="auto"/>
            </w:tcBorders>
          </w:tcPr>
          <w:p>
            <w:pPr>
              <w:spacing w:after="0"/>
              <w:rPr>
                <w:sz w:val="20"/>
                <w:szCs w:val="20"/>
                <w:color w:val="auto"/>
              </w:rPr>
            </w:pPr>
          </w:p>
        </w:tc>
      </w:tr>
      <w:tr>
        <w:trPr>
          <w:trHeight w:val="221"/>
        </w:trPr>
        <w:tc>
          <w:tcPr>
            <w:tcW w:w="46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March 31, 2024</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2023</w:t>
            </w:r>
          </w:p>
        </w:tc>
        <w:tc>
          <w:tcPr>
            <w:tcW w:w="1600" w:type="dxa"/>
            <w:vAlign w:val="bottom"/>
          </w:tcPr>
          <w:p>
            <w:pPr>
              <w:jc w:val="right"/>
              <w:ind w:right="291"/>
              <w:spacing w:after="0"/>
              <w:rPr>
                <w:sz w:val="20"/>
                <w:szCs w:val="20"/>
                <w:color w:val="auto"/>
              </w:rPr>
            </w:pPr>
            <w:r>
              <w:rPr>
                <w:rFonts w:ascii="Arial" w:cs="Arial" w:eastAsia="Arial" w:hAnsi="Arial"/>
                <w:sz w:val="18"/>
                <w:szCs w:val="18"/>
                <w:b w:val="1"/>
                <w:bCs w:val="1"/>
                <w:color w:val="auto"/>
              </w:rPr>
              <w:t>% Change</w:t>
            </w:r>
          </w:p>
        </w:tc>
      </w:tr>
      <w:tr>
        <w:trPr>
          <w:trHeight w:val="207"/>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7"/>
        </w:trPr>
        <w:tc>
          <w:tcPr>
            <w:tcW w:w="4640" w:type="dxa"/>
            <w:vAlign w:val="bottom"/>
          </w:tcPr>
          <w:p>
            <w:pPr>
              <w:ind w:left="280"/>
              <w:spacing w:after="0"/>
              <w:rPr>
                <w:sz w:val="20"/>
                <w:szCs w:val="20"/>
                <w:color w:val="auto"/>
              </w:rPr>
            </w:pPr>
            <w:r>
              <w:rPr>
                <w:rFonts w:ascii="Arial" w:cs="Arial" w:eastAsia="Arial" w:hAnsi="Arial"/>
                <w:sz w:val="18"/>
                <w:szCs w:val="18"/>
                <w:color w:val="auto"/>
              </w:rPr>
              <w:t>Drilling</w:t>
            </w:r>
          </w:p>
        </w:tc>
        <w:tc>
          <w:tcPr>
            <w:tcW w:w="1940" w:type="dxa"/>
            <w:vAlign w:val="bottom"/>
          </w:tcPr>
          <w:p>
            <w:pPr>
              <w:jc w:val="right"/>
              <w:ind w:right="17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27"/>
        </w:trPr>
        <w:tc>
          <w:tcPr>
            <w:tcW w:w="4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Completion</w:t>
            </w:r>
          </w:p>
        </w:tc>
        <w:tc>
          <w:tcPr>
            <w:tcW w:w="1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27"/>
        </w:trPr>
        <w:tc>
          <w:tcPr>
            <w:tcW w:w="4640" w:type="dxa"/>
            <w:vAlign w:val="bottom"/>
          </w:tcPr>
          <w:p>
            <w:pPr>
              <w:ind w:left="280"/>
              <w:spacing w:after="0"/>
              <w:rPr>
                <w:sz w:val="20"/>
                <w:szCs w:val="20"/>
                <w:color w:val="auto"/>
              </w:rPr>
            </w:pPr>
            <w:r>
              <w:rPr>
                <w:rFonts w:ascii="Arial" w:cs="Arial" w:eastAsia="Arial" w:hAnsi="Arial"/>
                <w:sz w:val="18"/>
                <w:szCs w:val="18"/>
                <w:color w:val="auto"/>
              </w:rPr>
              <w:t>Production</w:t>
            </w:r>
          </w:p>
        </w:tc>
        <w:tc>
          <w:tcPr>
            <w:tcW w:w="1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27"/>
        </w:trPr>
        <w:tc>
          <w:tcPr>
            <w:tcW w:w="4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Intervention</w:t>
            </w:r>
          </w:p>
        </w:tc>
        <w:tc>
          <w:tcPr>
            <w:tcW w:w="1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1"/>
        </w:trPr>
        <w:tc>
          <w:tcPr>
            <w:tcW w:w="46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940" w:type="dxa"/>
            <w:vAlign w:val="bottom"/>
            <w:tcBorders>
              <w:bottom w:val="single" w:sz="8" w:color="auto"/>
            </w:tcBorders>
          </w:tcPr>
          <w:p>
            <w:pPr>
              <w:jc w:val="right"/>
              <w:ind w:right="173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r>
      <w:tr>
        <w:trPr>
          <w:trHeight w:val="20"/>
        </w:trPr>
        <w:tc>
          <w:tcPr>
            <w:tcW w:w="46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quarter ended March 31, 2024, revenues were $174.7, a decrease of $64.9, or 27.1%, as compared with the prior year period. The overall decrease in revenues reflects a decline in activity during the quarter, leading to lower demand for our services. Lower weighted average price contributed to approximately 37% of the $64.9 decrease, and lower weighted average volume contributed to the remaining approximately 63%. On a segment basis, Rocky Mountains segment revenue decreased by $22.3 or 32.8%. Lower weighted average price contributed to approximately 7% of the dollar decrease, and lower weighted average volume contributed to the remaining approximately 93%. Southwest segment revenue decreased by $4.0 or 5.4%. This decrease was driven entirely by a decrease in weighted average volume. Northeast/Mid-Con segment revenue decreased by $38.6 or 39.3%. Lower weighted average price contributed to approximately 66% of the dollar decrease, and lower weighted average volume contributed to the remaining approximately 34%.</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For the quarter ended March 31, 2024, cost of sales were $144.0, or 82.4% of sales, as compared to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2023 of $180.9, or 75.5% of sales. Cost of sales as a percentage of revenues increased primarily due to a decrease in revenue days which led to lower leverage of fixed costs during the quarter. The two largest components of cost of sales are labor and repair &amp; maintenance. Although cost of sales as a percentage of revenues increased, labor costs per employee decreased by 14.9% as compared with the three months ended March 31, 2023. Repair &amp; maintenance costs as a percentage of revenues increased by 29.4% as compared to the three months ended March 31, 2023, due to the lower revenues during the quarter.</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 (“SG&amp;A”)</w:t>
      </w:r>
      <w:r>
        <w:rPr>
          <w:rFonts w:ascii="Arial" w:cs="Arial" w:eastAsia="Arial" w:hAnsi="Arial"/>
          <w:sz w:val="18"/>
          <w:szCs w:val="18"/>
          <w:color w:val="auto"/>
        </w:rPr>
        <w:t>. For the quarter ended March 31, 2024, SG&amp;A expenses were $21.6, or 12.4%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as compared with $26.2, or 10.9% of revenues, in the prior year period. The increase in percentage of revenues is due to the lower revenues and lower leverage of fixed costs during the quarter, as SG&amp;A has decreased on a dollar basis compared to the three months ended March 31,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 income</w:t>
      </w:r>
      <w:r>
        <w:rPr>
          <w:rFonts w:ascii="Arial" w:cs="Arial" w:eastAsia="Arial" w:hAnsi="Arial"/>
          <w:sz w:val="18"/>
          <w:szCs w:val="18"/>
          <w:color w:val="auto"/>
        </w:rPr>
        <w:t>. The following is a summary of operating (loss) income by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Three Months Ended</w:t>
            </w:r>
          </w:p>
        </w:tc>
        <w:tc>
          <w:tcPr>
            <w:tcW w:w="1600" w:type="dxa"/>
            <w:vAlign w:val="bottom"/>
            <w:tcBorders>
              <w:bottom w:val="single" w:sz="8" w:color="auto"/>
            </w:tcBorders>
          </w:tcPr>
          <w:p>
            <w:pPr>
              <w:spacing w:after="0"/>
              <w:rPr>
                <w:sz w:val="20"/>
                <w:szCs w:val="20"/>
                <w:color w:val="auto"/>
              </w:rPr>
            </w:pPr>
          </w:p>
        </w:tc>
      </w:tr>
      <w:tr>
        <w:trPr>
          <w:trHeight w:val="221"/>
        </w:trPr>
        <w:tc>
          <w:tcPr>
            <w:tcW w:w="5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191"/>
              <w:spacing w:after="0"/>
              <w:rPr>
                <w:sz w:val="20"/>
                <w:szCs w:val="20"/>
                <w:color w:val="auto"/>
              </w:rPr>
            </w:pPr>
            <w:r>
              <w:rPr>
                <w:rFonts w:ascii="Arial" w:cs="Arial" w:eastAsia="Arial" w:hAnsi="Arial"/>
                <w:sz w:val="18"/>
                <w:szCs w:val="18"/>
                <w:b w:val="1"/>
                <w:bCs w:val="1"/>
                <w:color w:val="auto"/>
              </w:rPr>
              <w:t>March 31, 2024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2023</w:t>
            </w:r>
          </w:p>
        </w:tc>
        <w:tc>
          <w:tcPr>
            <w:tcW w:w="1600" w:type="dxa"/>
            <w:vAlign w:val="bottom"/>
          </w:tcPr>
          <w:p>
            <w:pPr>
              <w:jc w:val="right"/>
              <w:ind w:right="291"/>
              <w:spacing w:after="0"/>
              <w:rPr>
                <w:sz w:val="20"/>
                <w:szCs w:val="20"/>
                <w:color w:val="auto"/>
              </w:rPr>
            </w:pPr>
            <w:r>
              <w:rPr>
                <w:rFonts w:ascii="Arial" w:cs="Arial" w:eastAsia="Arial" w:hAnsi="Arial"/>
                <w:sz w:val="18"/>
                <w:szCs w:val="18"/>
                <w:b w:val="1"/>
                <w:bCs w:val="1"/>
                <w:color w:val="auto"/>
              </w:rPr>
              <w:t>% Change</w:t>
            </w:r>
          </w:p>
        </w:tc>
      </w:tr>
      <w:tr>
        <w:trPr>
          <w:trHeight w:val="207"/>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7"/>
        </w:trPr>
        <w:tc>
          <w:tcPr>
            <w:tcW w:w="5760" w:type="dxa"/>
            <w:vAlign w:val="bottom"/>
          </w:tcPr>
          <w:p>
            <w:pPr>
              <w:ind w:left="280"/>
              <w:spacing w:after="0"/>
              <w:rPr>
                <w:sz w:val="20"/>
                <w:szCs w:val="20"/>
                <w:color w:val="auto"/>
              </w:rPr>
            </w:pPr>
            <w:r>
              <w:rPr>
                <w:rFonts w:ascii="Arial" w:cs="Arial" w:eastAsia="Arial" w:hAnsi="Arial"/>
                <w:sz w:val="18"/>
                <w:szCs w:val="18"/>
                <w:color w:val="auto"/>
              </w:rPr>
              <w:t>Rocky Mountains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7"/>
        </w:trPr>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Southwest</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7"/>
        </w:trPr>
        <w:tc>
          <w:tcPr>
            <w:tcW w:w="5760" w:type="dxa"/>
            <w:vAlign w:val="bottom"/>
          </w:tcPr>
          <w:p>
            <w:pPr>
              <w:ind w:left="280"/>
              <w:spacing w:after="0"/>
              <w:rPr>
                <w:sz w:val="20"/>
                <w:szCs w:val="20"/>
                <w:color w:val="auto"/>
              </w:rPr>
            </w:pPr>
            <w:r>
              <w:rPr>
                <w:rFonts w:ascii="Arial" w:cs="Arial" w:eastAsia="Arial" w:hAnsi="Arial"/>
                <w:sz w:val="18"/>
                <w:szCs w:val="18"/>
                <w:color w:val="auto"/>
              </w:rPr>
              <w:t>Northeast/Mid-Con</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27"/>
        </w:trPr>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21"/>
        </w:trPr>
        <w:tc>
          <w:tcPr>
            <w:tcW w:w="5760" w:type="dxa"/>
            <w:vAlign w:val="bottom"/>
          </w:tcPr>
          <w:p>
            <w:pPr>
              <w:ind w:left="20"/>
              <w:spacing w:after="0"/>
              <w:rPr>
                <w:sz w:val="20"/>
                <w:szCs w:val="20"/>
                <w:color w:val="auto"/>
              </w:rPr>
            </w:pPr>
            <w:r>
              <w:rPr>
                <w:rFonts w:ascii="Arial" w:cs="Arial" w:eastAsia="Arial" w:hAnsi="Arial"/>
                <w:sz w:val="18"/>
                <w:szCs w:val="18"/>
                <w:color w:val="auto"/>
              </w:rPr>
              <w:t>Total operating (loss)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For the quarter ended March 31, 2024, operating loss was $13.1 compared to operating income of $18.9 in the prior year period, due to a reduction in activity and pricing.</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results across our three geographic segments declined as a function of lower revenues compared to the prior year period. Rocky Mountains segment operating loss was $1.2, Southwest segment operating loss was $0.7, and Northeast/Mid-Con segment operating income was $2.4 for the three months ended March 31, 2024. Note that operating loss for Corporate and other decreased slightly due to non-recurring costs related to the Greene's Acquisition in the prior year.</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For the quarter ended March 31, 2024, income tax expense was $0.2, consistent with income tax expense of $0.2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 period, and was comprised primarily of state and local taxes. The Company did not recognize a federal tax benefit on its year-to-date losses because it has a valuation allowance against its deferred tax balances.</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Net (loss) income</w:t>
      </w:r>
      <w:r>
        <w:rPr>
          <w:rFonts w:ascii="Arial" w:cs="Arial" w:eastAsia="Arial" w:hAnsi="Arial"/>
          <w:sz w:val="18"/>
          <w:szCs w:val="18"/>
          <w:color w:val="auto"/>
        </w:rPr>
        <w:t>. For the quarter ended March 31, 2024, net loss was $22.2, as compared to net income of $9.4 in the prior year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decreasing primarily as a result of lower revenues as discussed above.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require capital to fund ongoing operations, including maintenance expenditures on our existing fleet and equipment, organic growth initiatives, debt service obligations, investments and acquisitions. Our primary sources of liquidity to date have been capital contributions from our equity and note holders, borrowings under the Company’s asset-based revolving credit facility, as amended by the ABL Amendment (as defined below) and other amendments (the “ABL Facility”) and cash flows from operations. At March 31, 2024, we had $84.9 of cash and cash equivalents and $42.7 available on the March 2024 ABL Facility Borrowing Base Certificate, which resulted in an available liquidity position of $127.6.</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material cash commitments from known contractual and other obligations consist primarily of obligations for long-term debt and related interest as well as leases for property and equipment and purchase obligations as part of normal operations. See below “—ABL Facility” and “—Senior Secured Notes” for information regarding scheduled maturities of our long-term debt. See “Note 8 - Leases” of Item 8 in our 2023 Annual Report on Form 10-K filed with the SEC on March 8, 2024 for information regarding scheduled maturities of our operating and financing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taken several actions to continue to improve our liquidity position, including closing our Florida legacy headquarters and relocating all key functions to Houston, eliminating redundancies and duplicative functions throughout our operations following the QES Merger, issuing equity under our ATM Offering, executing debt-for-equity exchanges that have reduced our interest burden and monetizing non-core and obsolete assets. We actively manage our capital spending and are focused primarily on required maintenance spending. Additionally, we have seen ongoing volatility in commodity prices and increased inflation, which continues to affect our financial results. We believe that based on our current forecasts, our cash on hand, together with our operating cash flows, will provide us with the ability to fund our operations, including planned capital expenditures, for at least the next twelve months. Based on current trends, we believe that our liquidity beyond the next twelve months will increase as our operational results continue to improve. However, we are unable to quantify or guarantee this increase, and there can be no certainty that current trends will continue and that our liquidity and financial position will continue to improve.</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substantial indebtedness. As of March 31, 2024, we had total outstanding long-term indebtedness of $284.6 under our ABL Facility and 11.5% senior secured notes due 2025 (the “Senior Secured Notes”) as described in greater detail under “—ABL Facility” and “—Senior Secured Notes” below. Our ability to pay the principal and interest on our long-term debt and to satisfy our other liabilities will depend on our future operating performance and ability to refinance our debt as it becomes due. Our future operating performance and ability to satisfy our liquidity requirements and refinance such indebtedness will be affected by prevailing economic and political conditions, the level of drilling, completion, production and intervention services activity for North American onshore oil and natural gas resources and related pricing for our services, increasing inflation and government efforts to reduce inflation, the willingness of capital providers to lend to our industry, and other financial and business factors, many of which are beyond our control.</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ABL Facility and our Senior Secured Notes mature in 2025. Our ability to refinance or restructure our debt will depend on the condition of the public and private debt markets and our financial condition at such time, among other things. Any refinancing of our debt could be at higher interest rates and may require us to comply with covenants, which could further restrict our business operations.</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 rising interest rate environment could have an adverse impact on the price of our shares, or our ability to issue equity or incur debt to refinance our existing indebtedness, for acquisitions or other purposes. In addition, incurring additional debt in excess of our existing outstanding indebtedness would result in increased interest expense and financial leverage, and issuing common stock, par value $0.01, of the Company (“Common Stock”) may result in dilution to our current stockholders.</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light of our substantial leverage position and the uncertainty regarding future market conditions, availability of capital and our financial performance, as market conditions warrant and subject to our contractual restrictions, liquidity position and other factors, we may explore various alternatives to recapitalize, refinance or otherwise restructure our capital structure. We may accomplish this through open market or privately negotiated transactions, which may include, among other things, a mix of refinancings, private or public equity or debt raises and rights offerings, repurchases of our outstanding Senior Secured Notes, debt-for-debt or debt-for-equity exchanges or conversions that if successful could result in the dilution of ownership by existing stockholders. Some of these alternatives may require the consent of current lenders, stockholders or noteholders, and there is no assurance that we will be able to execute any of these alternatives on acceptable terms, or at all. We may, at any time and from time to time, seek to retire or purchase outstanding Senior Secured Notes in open-market purchases, privately negotiated transactions or otherwise, or convert or exchange Senior Secured Notes for equity, depending on prevailing market conditions, liquidity requirements, contractual restrictions and other factors. The amounts involved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Facility</w:t>
      </w:r>
    </w:p>
    <w:p>
      <w:pPr>
        <w:spacing w:after="0" w:line="2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entered into a $100.0 ABL Facility on August 10, 2018. The ABL Facility became effective on September 14, 2018 and is scheduled to mature in September 2024. Borrowings under the ABL Facility bear interest at a rate equal to Term SOFR (as defined in the ABL Facility) plus the Applicable Margin (as defined in the ABL Facility). The ABL Facility is tied to a borrowing base formula and the ABL Facility has no maintenance financial covenants as long as the minimum level of borrowing availability is maintained. The ABL Facility is secured by, among other things, a first priority lien on our accounts receivable and inventory and contains customary conditions precedent to borrowing and affirmative and negative covenants. $50.0 was outstanding under the ABL Facility as of March 31, 2024. The effective interest rate under the ABL Facility was approximately 8.2% on March 31, 2024.</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20, 2023, the Company entered into a Fourth Amendment to the ABL Facility, with certain of its subsidiaries party thereto, as guarantors, with JPMorgan Chase Bank, N.A., as administrative agent, collateral agent and an issuing lender, and the other lenders and issuing lenders party thereto from time to time (the “ABL Amendment”).</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ABL Amendment, among other things, (i) extended the maturity date of the ABL Facility from September 15, 2024 to the earlier of (A) September 15, 2025 or (B) August 1, 2025, if the Company's Senior Secured Notes are still outstanding as of such date (the earlier of the foregoing item (A) or item (B), the “ABL Maturity Date”) and (ii) increased the revolving credit commitment from $100.0 to $120.0.</w:t>
      </w:r>
    </w:p>
    <w:p>
      <w:pPr>
        <w:spacing w:after="0" w:line="20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ABL Facility includes a springing financial covenant which requires the Company’s FCCR to be at least 1.0 to 1.0 if availability falls below the greater of $15.0 or 20.0% of the borrowing base. At all times during the three months ended March 31, 2024, availability exceeded this threshold, and the Company was not subject to this financial covenant. As of March 31, 2024, the FCCR was above 1.0 to 1.0, and the Company was in full compliance with the ABL Facility.</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ABL Facility could result in an event of default, which could permit acceleration of the debt, termination of undrawn commitments and enforcement against any liens securing the debt.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2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conjunction with the acquisition of Motley in 2018, we issued $250.0 principal amount of the Senior Secured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Senior Secured Notes, total debt related to the Senior Secured Notes as of March 31, 2024 was $234.6. The Senior Secured Notes bear interest at an annual rate of 11.5%, payable semi-annually in arrears on May 1 and November 1 and mature in 2025. Accrued interest related to the Senior Secured Notes was $11.4 as of March 31, 2024.</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indenture contains customary affirmative and negative covenants restricting,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sell substantially all of the Company’s assets.</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indenture also contains customary events of default including, among other things, the failure to pay interest for 30 days, failure to pay principal when due, failure to observe or perform any other covenants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agreement in the indenture subject to grace periods, cross-acceleration to indebtedness with an aggregate principal amount in excess of $50.0, material impairment of liens, failure to pay certain material judgments and certain events of bankruptcy.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in control.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capital expenditures were $13.5 during the three months ended March 31, 2024, compared to $10.3 in the three months ended March 31, 2023. Based on current industry conditions and our significant investments in capital expenditures over the past several years, we expect to incur between $50.0 and $ 55.0 in total capital expenditures for the year ending December 31, 2024, out of which approximately 75% is earmarked for maintenance capital spending.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“ATM Offering”) the Company’s Common Stock, having an aggregate offering price of up to $50.0. On November 16, 2022, the Company entered into Amendment No. 1 to the Equity Distribution Agreement (the “EDA Amendment”). Among other things, the EDA Amendment allows for debt-for-equity exchanges in accordance with Section 3(a)(9) of the Securities Act. Under the terms of the Equity Distribution Agreement, the Company will pay the Agent a commission equal to 3.0% of the gross sales price of the Common Stock sold.</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During the three months ended March 31, 2024 and March 31, 2023, the Company did not sell any shares of Common Stock and incurred legal and administrative fees of $0.1 and $0.1,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cash flows used in operating activities for the three months ended March 31, 2024 were approximately $ 10.8 as compared to approximately $8.6 used in operating activities for the three months ended March 31, 2023. Our operating cash flows are sensitive to many variables, the most significant of which are utilization and profitability, the timing of billing and customer collections, payments to our vendors, repair and maintenance costs and personnel, any of which may affect our available cash. Additionally, should our customers experience financial distress for any reason, they could default on their payments owed to us, which would affect our cash flows and liquidity.</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2024, we had $84.9 of cash and cash equivalents. Cash on hand at March 31, 2024 decreased by $27.6, as a result of $10.8 of cash flows used in operating activities, $ 10.2 of cash flows used in investing activities and $6.6 used in financing activities. Our liquidity requirements consist of working capital needs, debt service obligations and ongoing capital expenditure requirements. Our primary requirements for working capital are directly related to the activity level of our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r>
              <w:rPr>
                <w:rFonts w:ascii="Arial" w:cs="Arial" w:eastAsia="Arial" w:hAnsi="Arial"/>
                <w:sz w:val="18"/>
                <w:szCs w:val="18"/>
                <w:color w:val="auto"/>
              </w:rPr>
              <w:t>The following table sets forth our cash flows for the periods presented below:</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45"/>
        </w:trPr>
        <w:tc>
          <w:tcPr>
            <w:tcW w:w="7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4"/>
          </w:tcPr>
          <w:p>
            <w:pPr>
              <w:jc w:val="right"/>
              <w:ind w:right="1051"/>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7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 2024</w:t>
            </w:r>
          </w:p>
        </w:tc>
        <w:tc>
          <w:tcPr>
            <w:tcW w:w="240" w:type="dxa"/>
            <w:vAlign w:val="bottom"/>
          </w:tcPr>
          <w:p>
            <w:pPr>
              <w:spacing w:after="0"/>
              <w:rPr>
                <w:sz w:val="19"/>
                <w:szCs w:val="19"/>
                <w:color w:val="auto"/>
              </w:rPr>
            </w:pPr>
          </w:p>
        </w:tc>
        <w:tc>
          <w:tcPr>
            <w:tcW w:w="1720" w:type="dxa"/>
            <w:vAlign w:val="bottom"/>
          </w:tcPr>
          <w:p>
            <w:pPr>
              <w:jc w:val="right"/>
              <w:ind w:right="251"/>
              <w:spacing w:after="0"/>
              <w:rPr>
                <w:sz w:val="20"/>
                <w:szCs w:val="20"/>
                <w:color w:val="auto"/>
              </w:rPr>
            </w:pPr>
            <w:r>
              <w:rPr>
                <w:rFonts w:ascii="Arial" w:cs="Arial" w:eastAsia="Arial" w:hAnsi="Arial"/>
                <w:sz w:val="18"/>
                <w:szCs w:val="18"/>
                <w:b w:val="1"/>
                <w:bCs w:val="1"/>
                <w:color w:val="auto"/>
              </w:rPr>
              <w:t>March 31, 2023</w:t>
            </w:r>
          </w:p>
        </w:tc>
      </w:tr>
      <w:tr>
        <w:trPr>
          <w:trHeight w:val="221"/>
        </w:trPr>
        <w:tc>
          <w:tcPr>
            <w:tcW w:w="720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flows used in operating activities</w:t>
            </w: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7"/>
        </w:trPr>
        <w:tc>
          <w:tcPr>
            <w:tcW w:w="7200" w:type="dxa"/>
            <w:vAlign w:val="bottom"/>
          </w:tcPr>
          <w:p>
            <w:pPr>
              <w:ind w:left="280"/>
              <w:spacing w:after="0"/>
              <w:rPr>
                <w:sz w:val="20"/>
                <w:szCs w:val="20"/>
                <w:color w:val="auto"/>
              </w:rPr>
            </w:pPr>
            <w:r>
              <w:rPr>
                <w:rFonts w:ascii="Arial" w:cs="Arial" w:eastAsia="Arial" w:hAnsi="Arial"/>
                <w:sz w:val="18"/>
                <w:szCs w:val="18"/>
                <w:color w:val="auto"/>
              </w:rPr>
              <w:t>Net cash flows used in investing activities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7"/>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flows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1"/>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 in cash</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4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balance end of period</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was $ 10.8 for the three months ended March 31, 2024, as compared to net cash used in operating activities of $8.6 for the three months ended March 31, 2023. The negative operating cash flows were attributable to the net loss position and to a decrease in days payable outstanding, partially offset by a reduction in accounts receivable in 2024.</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$ 10.2 for the three months ended March 31, 2024, as compared to net cash used in investing activities of $3.6 for the three months ended March 31, 2023. The cash flows used in investing activities for the three months ended March 31, 2024 were primarily driven by maintenance capital spending tied to the operation of our existing asset base offset by sales of property and equipment.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was $6.6 for the three months ended March 31, 2024, compared to net cash used in financing activities of $5.6 for the three months ended March 31, 2023. During the three months ended March 31, 2024, there were no additional borrowings under our ABL Facility and no sales under our ATM program.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condensed consolidated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78740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 Other than the critical accounting policy included below, we believe that our critical accounting policies are limited to those described in the Critical Accounting Estimates section of Management’s Discussion and Analysis of Financial Condition and Results of Operations included in our 2023 Annual Report on Form 10-K filed with the SEC on March 8, 2024.</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4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We completed our acquisition of Greene’s on March 8, 2023. Greene’s results of operations have been included in our financial results for the period subsequent to the acquisition date.</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ASC 805 acquisition method of accounting, we allocate the fair value of purchase consideration transferred to the tangible assets and intangible assets acquired, if any, and liabilities assumed based on their estimated fair values on the date of the acquisition. The fair values assigned, defined as the price that would be received to sell an asset or paid to transfer a liability in an orderly transaction between willing market participants, are based on assumptions and methodologies determined by management. Real property was valued using a market approach. Personal property was valued using a combination of market approach and replacement cost approach. The estimated fair value of the assets acquired, net of liabilities assumed, exceeds the purchase consideration, resulting in a bargain purchase gain.</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determining the fair value of assets acquired, including real property and personal property, and liabilities assumed, we make significant estimates and assumptions. Our estimates of fair value are based upon assumptions believed to be reasonable, but which are inherently uncertain and unpredictable and, as a result, actual results may differ from estimates.</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measurement period, not to exceed one year from the date of acquisition, we may record adjustments to the assets acquired and liabilities assumed, with a corresponding offset to bargain purchase gain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 The Company has finalized its analysis in the first quarter of 2024.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evaluate any recently issued accounting pronouncements for future adoption.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Performance Indicators</w:t>
      </w:r>
    </w:p>
    <w:p>
      <w:pPr>
        <w:spacing w:after="0" w:line="11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measures we believe most effective to achieve the above stated goals include:</w:t>
      </w:r>
    </w:p>
    <w:p>
      <w:pPr>
        <w:spacing w:after="0" w:line="250" w:lineRule="exact"/>
        <w:rPr>
          <w:sz w:val="20"/>
          <w:szCs w:val="20"/>
          <w:color w:val="auto"/>
        </w:rPr>
      </w:pPr>
    </w:p>
    <w:p>
      <w:pPr>
        <w:ind w:left="960" w:hanging="311"/>
        <w:spacing w:after="0"/>
        <w:tabs>
          <w:tab w:leader="none" w:pos="9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Revenue</w:t>
      </w:r>
    </w:p>
    <w:p>
      <w:pPr>
        <w:spacing w:after="0" w:line="113" w:lineRule="exact"/>
        <w:rPr>
          <w:rFonts w:ascii="Arial" w:cs="Arial" w:eastAsia="Arial" w:hAnsi="Arial"/>
          <w:sz w:val="18"/>
          <w:szCs w:val="18"/>
          <w:i w:val="1"/>
          <w:iCs w:val="1"/>
          <w:color w:val="auto"/>
        </w:rPr>
      </w:pPr>
    </w:p>
    <w:p>
      <w:pPr>
        <w:ind w:left="960" w:hanging="311"/>
        <w:spacing w:after="0"/>
        <w:tabs>
          <w:tab w:leader="none" w:pos="9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income</w:t>
      </w:r>
    </w:p>
    <w:p>
      <w:pPr>
        <w:spacing w:after="0" w:line="111" w:lineRule="exact"/>
        <w:rPr>
          <w:rFonts w:ascii="Arial" w:cs="Arial" w:eastAsia="Arial" w:hAnsi="Arial"/>
          <w:sz w:val="18"/>
          <w:szCs w:val="18"/>
          <w:i w:val="1"/>
          <w:iCs w:val="1"/>
          <w:color w:val="auto"/>
        </w:rPr>
      </w:pPr>
    </w:p>
    <w:p>
      <w:pPr>
        <w:jc w:val="both"/>
        <w:ind w:left="980" w:hanging="331"/>
        <w:spacing w:after="0" w:line="264" w:lineRule="auto"/>
        <w:tabs>
          <w:tab w:leader="none" w:pos="97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Earnings before interest, taxes, depreciation and amortization (</w:t>
      </w:r>
      <w:r>
        <w:rPr>
          <w:rFonts w:ascii="Arial" w:cs="Arial" w:eastAsia="Arial" w:hAnsi="Arial"/>
          <w:sz w:val="18"/>
          <w:szCs w:val="18"/>
          <w:color w:val="auto"/>
        </w:rPr>
        <w:t>“Adjusted EBITDA”</w:t>
      </w:r>
      <w:r>
        <w:rPr>
          <w:rFonts w:ascii="Arial" w:cs="Arial" w:eastAsia="Arial" w:hAnsi="Arial"/>
          <w:sz w:val="18"/>
          <w:szCs w:val="18"/>
          <w:i w:val="1"/>
          <w:iCs w:val="1"/>
          <w:color w:val="auto"/>
        </w:rPr>
        <w:t>)</w:t>
      </w:r>
      <w:r>
        <w:rPr>
          <w:rFonts w:ascii="Arial" w:cs="Arial" w:eastAsia="Arial" w:hAnsi="Arial"/>
          <w:sz w:val="18"/>
          <w:szCs w:val="18"/>
          <w:color w:val="auto"/>
        </w:rPr>
        <w:t>: Adjusted EBITDA is a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financial measure that is used by management and external users of our financial statements, such as industry analysts, investors, lenders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78740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980"/>
        <w:spacing w:after="0" w:line="256" w:lineRule="auto"/>
        <w:rPr>
          <w:sz w:val="20"/>
          <w:szCs w:val="20"/>
          <w:color w:val="auto"/>
        </w:rPr>
      </w:pPr>
      <w:r>
        <w:rPr>
          <w:rFonts w:ascii="Arial" w:cs="Arial" w:eastAsia="Arial" w:hAnsi="Arial"/>
          <w:sz w:val="18"/>
          <w:szCs w:val="18"/>
          <w:color w:val="auto"/>
        </w:rPr>
        <w:t>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spacing w:after="0" w:line="73" w:lineRule="exact"/>
        <w:rPr>
          <w:sz w:val="20"/>
          <w:szCs w:val="20"/>
          <w:color w:val="auto"/>
        </w:rPr>
      </w:pPr>
    </w:p>
    <w:p>
      <w:pPr>
        <w:ind w:left="980" w:right="20" w:hanging="331"/>
        <w:spacing w:after="0" w:line="280" w:lineRule="auto"/>
        <w:tabs>
          <w:tab w:leader="none" w:pos="97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Adjusted EBITDA Margin is defined as Adjusted EBITDA, as defined above,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w:t>
      </w:r>
    </w:p>
    <w:p>
      <w:pPr>
        <w:spacing w:after="0" w:line="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Adjusted EBITDA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pacing w:after="0" w:line="22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information required by Item 305 of Regulation S-K.</w:t>
      </w:r>
    </w:p>
    <w:p>
      <w:pPr>
        <w:spacing w:after="0" w:line="26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established disclosure controls and procedures that are designed to ensure that the information required to be disclosed by the Company in the reports that it files or submits under the Securities Exchange Act of 1934, as amended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the Company in the reports that it files or submits under the Exchange Act is accumulated and communicated to the Company’s management, including its principal executive and principal financial officers (who are our Chief Executive Officer and Chief Financial Officer, respectively), or persons performing similar functions,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preparation of this Quarterly Report for the quarter ended March 31, 2024, an evaluation was performed under the supervision of and with the participation of management, including the Chief Executive Officer and Chief Financial Officer, of the effectiveness of the Company’s disclosure controls and procedures. Based on that evaluation, the Chief Executive Officer and Chief Financial Officer have concluded that its disclosure controls and procedures were effective as of March 31, 2024.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There have been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6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financial condition, cash flows and results of operations.</w:t>
      </w:r>
    </w:p>
    <w:p>
      <w:pPr>
        <w:spacing w:after="0" w:line="21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08"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In addition to the information set forth in this Quarterly Report, you should carefully consider the risk factors previously described in Part I, Item IA. “Risk Factors” in our Annual Report on Form 10-K for the year ended December 31, 2023.</w:t>
      </w:r>
    </w:p>
    <w:p>
      <w:pPr>
        <w:spacing w:after="0" w:line="19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46" w:lineRule="exact"/>
        <w:rPr>
          <w:sz w:val="20"/>
          <w:szCs w:val="20"/>
          <w:color w:val="auto"/>
        </w:rPr>
      </w:pPr>
    </w:p>
    <w:p>
      <w:pPr>
        <w:ind w:right="140"/>
        <w:spacing w:after="0" w:line="280" w:lineRule="auto"/>
        <w:rPr>
          <w:sz w:val="20"/>
          <w:szCs w:val="20"/>
          <w:color w:val="auto"/>
        </w:rPr>
      </w:pPr>
      <w:r>
        <w:rPr>
          <w:rFonts w:ascii="Arial" w:cs="Arial" w:eastAsia="Arial" w:hAnsi="Arial"/>
          <w:sz w:val="18"/>
          <w:szCs w:val="18"/>
          <w:color w:val="auto"/>
        </w:rPr>
        <w:t>The following table presents the total number of shares of our Common Stock that we repurchased during the three months ended March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20"/>
              <w:spacing w:after="0"/>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b w:val="1"/>
                <w:bCs w:val="1"/>
                <w:color w:val="auto"/>
              </w:rPr>
              <w:t>shares purchased as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center"/>
              <w:ind w:right="20"/>
              <w:spacing w:after="0" w:line="161" w:lineRule="exact"/>
              <w:rPr>
                <w:sz w:val="20"/>
                <w:szCs w:val="20"/>
                <w:color w:val="auto"/>
              </w:rPr>
            </w:pPr>
            <w:r>
              <w:rPr>
                <w:rFonts w:ascii="Arial" w:cs="Arial" w:eastAsia="Arial" w:hAnsi="Arial"/>
                <w:sz w:val="16"/>
                <w:szCs w:val="16"/>
                <w:b w:val="1"/>
                <w:bCs w:val="1"/>
                <w:color w:val="auto"/>
                <w:w w:val="99"/>
              </w:rPr>
              <w:t>value of shares that</w:t>
            </w: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spacing w:after="0"/>
              <w:rPr>
                <w:sz w:val="13"/>
                <w:szCs w:val="13"/>
                <w:color w:val="auto"/>
              </w:rPr>
            </w:pPr>
          </w:p>
        </w:tc>
        <w:tc>
          <w:tcPr>
            <w:tcW w:w="20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Total number of shares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6"/>
                <w:szCs w:val="16"/>
                <w:b w:val="1"/>
                <w:bCs w:val="1"/>
                <w:color w:val="auto"/>
                <w:w w:val="99"/>
              </w:rPr>
              <w:t>Average price paid</w:t>
            </w:r>
          </w:p>
        </w:tc>
        <w:tc>
          <w:tcPr>
            <w:tcW w:w="176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b w:val="1"/>
                <w:bCs w:val="1"/>
                <w:color w:val="auto"/>
              </w:rPr>
              <w:t>part of publicly</w:t>
            </w:r>
          </w:p>
        </w:tc>
        <w:tc>
          <w:tcPr>
            <w:tcW w:w="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6"/>
                <w:szCs w:val="16"/>
                <w:b w:val="1"/>
                <w:bCs w:val="1"/>
                <w:color w:val="auto"/>
              </w:rPr>
              <w:t>may yet be purchased</w:t>
            </w:r>
          </w:p>
        </w:tc>
        <w:tc>
          <w:tcPr>
            <w:tcW w:w="0" w:type="dxa"/>
            <w:vAlign w:val="bottom"/>
          </w:tcPr>
          <w:p>
            <w:pPr>
              <w:spacing w:after="0"/>
              <w:rPr>
                <w:sz w:val="1"/>
                <w:szCs w:val="1"/>
                <w:color w:val="auto"/>
              </w:rPr>
            </w:pPr>
          </w:p>
        </w:tc>
      </w:tr>
      <w:tr>
        <w:trPr>
          <w:trHeight w:val="160"/>
        </w:trPr>
        <w:tc>
          <w:tcPr>
            <w:tcW w:w="380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Period</w:t>
            </w:r>
          </w:p>
        </w:tc>
        <w:tc>
          <w:tcPr>
            <w:tcW w:w="20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gridSpan w:val="2"/>
            <w:vMerge w:val="continue"/>
            <w:shd w:val="clear" w:color="auto" w:fill="CCEEFF"/>
          </w:tcPr>
          <w:p>
            <w:pPr>
              <w:spacing w:after="0"/>
              <w:rPr>
                <w:sz w:val="13"/>
                <w:szCs w:val="13"/>
                <w:color w:val="auto"/>
              </w:rPr>
            </w:pPr>
          </w:p>
        </w:tc>
        <w:tc>
          <w:tcPr>
            <w:tcW w:w="176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b w:val="1"/>
                <w:bCs w:val="1"/>
                <w:color w:val="auto"/>
                <w:w w:val="99"/>
              </w:rPr>
              <w:t>announced plans or</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center"/>
              <w:ind w:right="40"/>
              <w:spacing w:after="0" w:line="161" w:lineRule="exact"/>
              <w:rPr>
                <w:sz w:val="20"/>
                <w:szCs w:val="20"/>
                <w:color w:val="auto"/>
              </w:rPr>
            </w:pPr>
            <w:r>
              <w:rPr>
                <w:rFonts w:ascii="Arial" w:cs="Arial" w:eastAsia="Arial" w:hAnsi="Arial"/>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800" w:type="dxa"/>
            <w:vAlign w:val="bottom"/>
            <w:vMerge w:val="continue"/>
            <w:shd w:val="clear" w:color="auto" w:fill="CCEEFF"/>
          </w:tcPr>
          <w:p>
            <w:pPr>
              <w:spacing w:after="0"/>
              <w:rPr>
                <w:sz w:val="18"/>
                <w:szCs w:val="18"/>
                <w:color w:val="auto"/>
              </w:rPr>
            </w:pPr>
          </w:p>
        </w:tc>
        <w:tc>
          <w:tcPr>
            <w:tcW w:w="2020" w:type="dxa"/>
            <w:vAlign w:val="bottom"/>
            <w:shd w:val="clear" w:color="auto" w:fill="CCEEFF"/>
          </w:tcPr>
          <w:p>
            <w:pPr>
              <w:jc w:val="right"/>
              <w:ind w:right="460"/>
              <w:spacing w:after="0" w:line="214" w:lineRule="exact"/>
              <w:rPr>
                <w:sz w:val="20"/>
                <w:szCs w:val="20"/>
                <w:color w:val="auto"/>
              </w:rPr>
            </w:pPr>
            <w:r>
              <w:rPr>
                <w:rFonts w:ascii="Arial" w:cs="Arial" w:eastAsia="Arial" w:hAnsi="Arial"/>
                <w:sz w:val="16"/>
                <w:szCs w:val="16"/>
                <w:b w:val="1"/>
                <w:bCs w:val="1"/>
                <w:color w:val="auto"/>
              </w:rPr>
              <w:t>purchased</w:t>
            </w:r>
            <w:r>
              <w:rPr>
                <w:rFonts w:ascii="Arial" w:cs="Arial" w:eastAsia="Arial" w:hAnsi="Arial"/>
                <w:sz w:val="20"/>
                <w:szCs w:val="20"/>
                <w:b w:val="1"/>
                <w:bCs w:val="1"/>
                <w:color w:val="auto"/>
                <w:vertAlign w:val="superscript"/>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00"/>
              <w:spacing w:after="0" w:line="214" w:lineRule="exact"/>
              <w:rPr>
                <w:sz w:val="20"/>
                <w:szCs w:val="20"/>
                <w:color w:val="auto"/>
              </w:rPr>
            </w:pPr>
            <w:r>
              <w:rPr>
                <w:rFonts w:ascii="Arial" w:cs="Arial" w:eastAsia="Arial" w:hAnsi="Arial"/>
                <w:sz w:val="16"/>
                <w:szCs w:val="16"/>
                <w:b w:val="1"/>
                <w:bCs w:val="1"/>
                <w:color w:val="auto"/>
                <w:w w:val="97"/>
              </w:rPr>
              <w:t>per share</w:t>
            </w:r>
            <w:r>
              <w:rPr>
                <w:rFonts w:ascii="Arial" w:cs="Arial" w:eastAsia="Arial" w:hAnsi="Arial"/>
                <w:sz w:val="20"/>
                <w:szCs w:val="20"/>
                <w:b w:val="1"/>
                <w:bCs w:val="1"/>
                <w:color w:val="auto"/>
                <w:w w:val="97"/>
                <w:vertAlign w:val="superscript"/>
              </w:rPr>
              <w:t>(2)</w:t>
            </w:r>
          </w:p>
        </w:tc>
        <w:tc>
          <w:tcPr>
            <w:tcW w:w="1760" w:type="dxa"/>
            <w:vAlign w:val="bottom"/>
            <w:shd w:val="clear" w:color="auto" w:fill="CCEEFF"/>
          </w:tcPr>
          <w:p>
            <w:pPr>
              <w:jc w:val="center"/>
              <w:spacing w:after="0" w:line="214" w:lineRule="exact"/>
              <w:rPr>
                <w:sz w:val="20"/>
                <w:szCs w:val="20"/>
                <w:color w:val="auto"/>
              </w:rPr>
            </w:pPr>
            <w:r>
              <w:rPr>
                <w:rFonts w:ascii="Arial" w:cs="Arial" w:eastAsia="Arial" w:hAnsi="Arial"/>
                <w:sz w:val="16"/>
                <w:szCs w:val="16"/>
                <w:b w:val="1"/>
                <w:bCs w:val="1"/>
                <w:color w:val="auto"/>
                <w:w w:val="97"/>
              </w:rPr>
              <w:t>programs</w:t>
            </w:r>
            <w:r>
              <w:rPr>
                <w:rFonts w:ascii="Arial" w:cs="Arial" w:eastAsia="Arial" w:hAnsi="Arial"/>
                <w:sz w:val="20"/>
                <w:szCs w:val="20"/>
                <w:b w:val="1"/>
                <w:bCs w:val="1"/>
                <w:color w:val="auto"/>
                <w:w w:val="97"/>
                <w:vertAlign w:val="superscript"/>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right="20"/>
              <w:spacing w:after="0"/>
              <w:rPr>
                <w:sz w:val="20"/>
                <w:szCs w:val="20"/>
                <w:color w:val="auto"/>
              </w:rPr>
            </w:pPr>
            <w:r>
              <w:rPr>
                <w:rFonts w:ascii="Arial" w:cs="Arial" w:eastAsia="Arial" w:hAnsi="Arial"/>
                <w:sz w:val="16"/>
                <w:szCs w:val="16"/>
                <w:b w:val="1"/>
                <w:bCs w:val="1"/>
                <w:color w:val="auto"/>
              </w:rPr>
              <w:t>programs</w:t>
            </w:r>
          </w:p>
        </w:tc>
        <w:tc>
          <w:tcPr>
            <w:tcW w:w="0" w:type="dxa"/>
            <w:vAlign w:val="bottom"/>
          </w:tcPr>
          <w:p>
            <w:pPr>
              <w:spacing w:after="0"/>
              <w:rPr>
                <w:sz w:val="1"/>
                <w:szCs w:val="1"/>
                <w:color w:val="auto"/>
              </w:rPr>
            </w:pPr>
          </w:p>
        </w:tc>
      </w:tr>
      <w:tr>
        <w:trPr>
          <w:trHeight w:val="206"/>
        </w:trPr>
        <w:tc>
          <w:tcPr>
            <w:tcW w:w="3800" w:type="dxa"/>
            <w:vAlign w:val="bottom"/>
          </w:tcPr>
          <w:p>
            <w:pPr>
              <w:ind w:left="20"/>
              <w:spacing w:after="0"/>
              <w:rPr>
                <w:sz w:val="20"/>
                <w:szCs w:val="20"/>
                <w:color w:val="auto"/>
              </w:rPr>
            </w:pPr>
            <w:r>
              <w:rPr>
                <w:rFonts w:ascii="Arial" w:cs="Arial" w:eastAsia="Arial" w:hAnsi="Arial"/>
                <w:sz w:val="16"/>
                <w:szCs w:val="16"/>
                <w:color w:val="auto"/>
              </w:rPr>
              <w:t>January 1, 2024 - January 31, 2024</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5"/>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February 1, 2024 - February 29, 2024</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March 1, 2024 - March 31, 2024</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34"/>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44,389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right="40" w:firstLine="7"/>
        <w:spacing w:after="0" w:line="279" w:lineRule="auto"/>
        <w:tabs>
          <w:tab w:leader="none" w:pos="241"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shares purchased from employees in connection with the settlement of income tax and related benefit withholding obligations arising from vesting of restricted stock grants under the Company’s Amended and Restated LTIP.</w:t>
      </w:r>
    </w:p>
    <w:p>
      <w:pPr>
        <w:spacing w:after="0" w:line="53" w:lineRule="exact"/>
        <w:rPr>
          <w:rFonts w:ascii="Arial" w:cs="Arial" w:eastAsia="Arial" w:hAnsi="Arial"/>
          <w:sz w:val="16"/>
          <w:szCs w:val="16"/>
          <w:color w:val="auto"/>
        </w:rPr>
      </w:pPr>
    </w:p>
    <w:p>
      <w:pPr>
        <w:ind w:left="240" w:hanging="233"/>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includes commissions paid to the brokers.</w:t>
      </w:r>
    </w:p>
    <w:p>
      <w:pPr>
        <w:spacing w:after="0" w:line="123" w:lineRule="exact"/>
        <w:rPr>
          <w:rFonts w:ascii="Arial" w:cs="Arial" w:eastAsia="Arial" w:hAnsi="Arial"/>
          <w:sz w:val="16"/>
          <w:szCs w:val="16"/>
          <w:color w:val="auto"/>
        </w:rPr>
      </w:pPr>
    </w:p>
    <w:p>
      <w:pPr>
        <w:ind w:firstLine="7"/>
        <w:spacing w:after="0" w:line="279" w:lineRule="auto"/>
        <w:tabs>
          <w:tab w:leader="none" w:pos="247"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August 2019, our Board authorized a share repurchase program for the repurchase of outstanding shares of the Company’s Common Stock having an aggregate purchase price up to $50.</w:t>
      </w:r>
    </w:p>
    <w:p>
      <w:pPr>
        <w:spacing w:after="0" w:line="200" w:lineRule="exact"/>
        <w:rPr>
          <w:sz w:val="20"/>
          <w:szCs w:val="20"/>
          <w:color w:val="auto"/>
        </w:rPr>
      </w:pPr>
    </w:p>
    <w:p>
      <w:pPr>
        <w:spacing w:after="0" w:line="357"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6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78740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5.</w:t>
            </w:r>
          </w:p>
        </w:tc>
        <w:tc>
          <w:tcPr>
            <w:tcW w:w="10280" w:type="dxa"/>
            <w:vAlign w:val="bottom"/>
            <w:gridSpan w:val="13"/>
            <w:shd w:val="clear" w:color="auto" w:fill="CCEEFF"/>
          </w:tcPr>
          <w:p>
            <w:pPr>
              <w:ind w:left="220"/>
              <w:spacing w:after="0"/>
              <w:rPr>
                <w:sz w:val="20"/>
                <w:szCs w:val="20"/>
                <w:color w:val="auto"/>
              </w:rPr>
            </w:pPr>
            <w:r>
              <w:rPr>
                <w:rFonts w:ascii="Arial" w:cs="Arial" w:eastAsia="Arial" w:hAnsi="Arial"/>
                <w:sz w:val="18"/>
                <w:szCs w:val="18"/>
                <w:b w:val="1"/>
                <w:bCs w:val="1"/>
                <w:color w:val="auto"/>
              </w:rPr>
              <w:t>OTHER INFORMATION</w:t>
            </w:r>
          </w:p>
        </w:tc>
      </w:tr>
      <w:tr>
        <w:trPr>
          <w:trHeight w:val="551"/>
        </w:trPr>
        <w:tc>
          <w:tcPr>
            <w:tcW w:w="1040" w:type="dxa"/>
            <w:vAlign w:val="bottom"/>
          </w:tcPr>
          <w:p>
            <w:pPr>
              <w:spacing w:after="0"/>
              <w:rPr>
                <w:sz w:val="20"/>
                <w:szCs w:val="20"/>
                <w:color w:val="auto"/>
              </w:rPr>
            </w:pPr>
            <w:r>
              <w:rPr>
                <w:rFonts w:ascii="Arial" w:cs="Arial" w:eastAsia="Arial" w:hAnsi="Arial"/>
                <w:sz w:val="18"/>
                <w:szCs w:val="18"/>
                <w:color w:val="auto"/>
              </w:rPr>
              <w:t>None.</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9"/>
        </w:trPr>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7"/>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13"/>
            <w:shd w:val="clear" w:color="auto" w:fill="CCEEFF"/>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294"/>
        </w:trPr>
        <w:tc>
          <w:tcPr>
            <w:tcW w:w="1040" w:type="dxa"/>
            <w:vAlign w:val="bottom"/>
          </w:tcPr>
          <w:p>
            <w:pPr>
              <w:ind w:left="2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FF"/>
              </w:rPr>
            </w:pPr>
            <w:hyperlink r:id="rId47">
              <w:r>
                <w:rPr>
                  <w:rFonts w:ascii="Arial" w:cs="Arial" w:eastAsia="Arial" w:hAnsi="Arial"/>
                  <w:sz w:val="18"/>
                  <w:szCs w:val="18"/>
                  <w:color w:val="0000FF"/>
                </w:rPr>
                <w:t>Amended and Restated Certificate of Incorporation of KLX Energy Services Holdings, Inc. (incorporated by reference to</w:t>
              </w:r>
            </w:hyperlink>
          </w:p>
        </w:tc>
      </w:tr>
      <w:tr>
        <w:trPr>
          <w:trHeight w:val="167"/>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60" w:type="dxa"/>
            <w:vAlign w:val="bottom"/>
            <w:tcBorders>
              <w:top w:val="single" w:sz="8" w:color="0000FF"/>
              <w:bottom w:val="single" w:sz="8" w:color="0000FF"/>
            </w:tcBorders>
            <w:gridSpan w:val="9"/>
          </w:tcPr>
          <w:p>
            <w:pPr>
              <w:spacing w:after="0" w:line="167" w:lineRule="exact"/>
              <w:rPr>
                <w:rFonts w:ascii="Arial" w:cs="Arial" w:eastAsia="Arial" w:hAnsi="Arial"/>
                <w:sz w:val="18"/>
                <w:szCs w:val="18"/>
                <w:color w:val="0000FF"/>
              </w:rPr>
            </w:pPr>
            <w:hyperlink r:id="rId47">
              <w:r>
                <w:rPr>
                  <w:rFonts w:ascii="Arial" w:cs="Arial" w:eastAsia="Arial" w:hAnsi="Arial"/>
                  <w:sz w:val="18"/>
                  <w:szCs w:val="18"/>
                  <w:color w:val="0000FF"/>
                </w:rPr>
                <w:t>Exhibit 3.1 of KLX Energy Services Holdings, Inc.’s Quarterly Report on Form 10-Q, filed on September 8, 2020, File No.</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Borders>
              <w:bottom w:val="single" w:sz="8" w:color="0000FF"/>
            </w:tcBorders>
          </w:tcPr>
          <w:p>
            <w:pPr>
              <w:spacing w:after="0" w:line="154" w:lineRule="exact"/>
              <w:rPr>
                <w:rFonts w:ascii="Arial" w:cs="Arial" w:eastAsia="Arial" w:hAnsi="Arial"/>
                <w:sz w:val="17"/>
                <w:szCs w:val="17"/>
                <w:color w:val="0000FF"/>
              </w:rPr>
            </w:pPr>
            <w:hyperlink r:id="rId47">
              <w:r>
                <w:rPr>
                  <w:rFonts w:ascii="Arial" w:cs="Arial" w:eastAsia="Arial" w:hAnsi="Arial"/>
                  <w:sz w:val="17"/>
                  <w:szCs w:val="17"/>
                  <w:color w:val="0000FF"/>
                </w:rPr>
                <w:t>001-38609).</w:t>
              </w:r>
            </w:hyperlink>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9920" w:type="dxa"/>
            <w:vAlign w:val="bottom"/>
            <w:gridSpan w:val="12"/>
          </w:tcPr>
          <w:p>
            <w:pPr>
              <w:spacing w:after="0"/>
              <w:rPr>
                <w:rFonts w:ascii="Arial" w:cs="Arial" w:eastAsia="Arial" w:hAnsi="Arial"/>
                <w:sz w:val="18"/>
                <w:szCs w:val="18"/>
                <w:color w:val="0000FF"/>
              </w:rPr>
            </w:pPr>
            <w:hyperlink r:id="rId48">
              <w:r>
                <w:rPr>
                  <w:rFonts w:ascii="Arial" w:cs="Arial" w:eastAsia="Arial" w:hAnsi="Arial"/>
                  <w:sz w:val="18"/>
                  <w:szCs w:val="18"/>
                  <w:color w:val="0000FF"/>
                </w:rPr>
                <w:t>Fourth Amended and Restated Bylaws of KLX Energy Services Holdings, Inc. (incorporated by reference to Exhibit 3.1 of</w:t>
              </w:r>
            </w:hyperlink>
          </w:p>
        </w:tc>
      </w:tr>
      <w:tr>
        <w:trPr>
          <w:trHeight w:val="167"/>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180" w:type="dxa"/>
            <w:vAlign w:val="bottom"/>
            <w:tcBorders>
              <w:top w:val="single" w:sz="8" w:color="0000FF"/>
              <w:bottom w:val="single" w:sz="8" w:color="0000FF"/>
            </w:tcBorders>
            <w:gridSpan w:val="5"/>
          </w:tcPr>
          <w:p>
            <w:pPr>
              <w:spacing w:after="0" w:line="167" w:lineRule="exact"/>
              <w:rPr>
                <w:rFonts w:ascii="Arial" w:cs="Arial" w:eastAsia="Arial" w:hAnsi="Arial"/>
                <w:sz w:val="18"/>
                <w:szCs w:val="18"/>
                <w:color w:val="0000FF"/>
                <w:w w:val="98"/>
              </w:rPr>
            </w:pPr>
            <w:hyperlink r:id="rId48">
              <w:r>
                <w:rPr>
                  <w:rFonts w:ascii="Arial" w:cs="Arial" w:eastAsia="Arial" w:hAnsi="Arial"/>
                  <w:sz w:val="18"/>
                  <w:szCs w:val="18"/>
                  <w:color w:val="0000FF"/>
                  <w:w w:val="98"/>
                </w:rPr>
                <w:t>KLX Energy Services Holdings, Inc.'s Current Report on Form 8-K, filed on September 9, 2021, File No. 001-38609).</w:t>
              </w:r>
            </w:hyperlink>
          </w:p>
        </w:tc>
        <w:tc>
          <w:tcPr>
            <w:tcW w:w="36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18"/>
                <w:szCs w:val="18"/>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67"/>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180" w:type="dxa"/>
            <w:vAlign w:val="bottom"/>
            <w:tcBorders>
              <w:top w:val="single" w:sz="8" w:color="0000FF"/>
              <w:bottom w:val="single" w:sz="8" w:color="0000FF"/>
            </w:tcBorders>
            <w:gridSpan w:val="4"/>
          </w:tcPr>
          <w:p>
            <w:pPr>
              <w:spacing w:after="0" w:line="167" w:lineRule="exact"/>
              <w:rPr>
                <w:sz w:val="20"/>
                <w:szCs w:val="20"/>
                <w:color w:val="auto"/>
              </w:rPr>
            </w:pPr>
            <w:r>
              <w:rPr>
                <w:rFonts w:ascii="Arial" w:cs="Arial" w:eastAsia="Arial" w:hAnsi="Arial"/>
                <w:sz w:val="18"/>
                <w:szCs w:val="18"/>
                <w:color w:val="0000FF"/>
                <w:w w:val="98"/>
              </w:rPr>
              <w:t>1934, as Adopted Pursuant to Section 302 of the Sarbanes-Oxley Act of 2002.</w:t>
            </w:r>
          </w:p>
        </w:tc>
        <w:tc>
          <w:tcPr>
            <w:tcW w:w="3660" w:type="dxa"/>
            <w:vAlign w:val="bottom"/>
            <w:tcBorders>
              <w:top w:val="single" w:sz="8" w:color="0000FF"/>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18"/>
                <w:szCs w:val="18"/>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167"/>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180" w:type="dxa"/>
            <w:vAlign w:val="bottom"/>
            <w:tcBorders>
              <w:top w:val="single" w:sz="8" w:color="0000FF"/>
              <w:bottom w:val="single" w:sz="8" w:color="0000FF"/>
            </w:tcBorders>
            <w:gridSpan w:val="4"/>
          </w:tcPr>
          <w:p>
            <w:pPr>
              <w:spacing w:after="0" w:line="167" w:lineRule="exact"/>
              <w:rPr>
                <w:sz w:val="20"/>
                <w:szCs w:val="20"/>
                <w:color w:val="auto"/>
              </w:rPr>
            </w:pPr>
            <w:r>
              <w:rPr>
                <w:rFonts w:ascii="Arial" w:cs="Arial" w:eastAsia="Arial" w:hAnsi="Arial"/>
                <w:sz w:val="18"/>
                <w:szCs w:val="18"/>
                <w:color w:val="0000FF"/>
                <w:w w:val="98"/>
              </w:rPr>
              <w:t>1934, as Adopted Pursuant to Section 302 of the Sarbanes-Oxley Act of 2002.</w:t>
            </w:r>
          </w:p>
        </w:tc>
        <w:tc>
          <w:tcPr>
            <w:tcW w:w="372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18"/>
                <w:szCs w:val="18"/>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67"/>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3"/>
          </w:tcPr>
          <w:p>
            <w:pPr>
              <w:spacing w:after="0" w:line="167" w:lineRule="exact"/>
              <w:rPr>
                <w:sz w:val="20"/>
                <w:szCs w:val="20"/>
                <w:color w:val="auto"/>
              </w:rPr>
            </w:pPr>
            <w:r>
              <w:rPr>
                <w:rFonts w:ascii="Arial" w:cs="Arial" w:eastAsia="Arial" w:hAnsi="Arial"/>
                <w:sz w:val="18"/>
                <w:szCs w:val="18"/>
                <w:color w:val="0000FF"/>
                <w:w w:val="99"/>
              </w:rPr>
              <w:t>Sarbanes-Oxley Act of 2002.</w:t>
            </w:r>
          </w:p>
        </w:tc>
        <w:tc>
          <w:tcPr>
            <w:tcW w:w="7580" w:type="dxa"/>
            <w:vAlign w:val="bottom"/>
            <w:tcBorders>
              <w:top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18"/>
                <w:szCs w:val="18"/>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67"/>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20" w:type="dxa"/>
            <w:vAlign w:val="bottom"/>
            <w:tcBorders>
              <w:top w:val="single" w:sz="8" w:color="0000FF"/>
            </w:tcBorders>
            <w:gridSpan w:val="7"/>
          </w:tcPr>
          <w:p>
            <w:pPr>
              <w:spacing w:after="0" w:line="167" w:lineRule="exact"/>
              <w:rPr>
                <w:sz w:val="20"/>
                <w:szCs w:val="20"/>
                <w:color w:val="auto"/>
              </w:rPr>
            </w:pPr>
            <w:r>
              <w:rPr>
                <w:rFonts w:ascii="Arial" w:cs="Arial" w:eastAsia="Arial" w:hAnsi="Arial"/>
                <w:sz w:val="18"/>
                <w:szCs w:val="18"/>
                <w:color w:val="0000FF"/>
              </w:rPr>
              <w:t>Sarbanes-Oxley Act of 2002.</w:t>
            </w:r>
          </w:p>
        </w:tc>
        <w:tc>
          <w:tcPr>
            <w:tcW w:w="100" w:type="dxa"/>
            <w:vAlign w:val="bottom"/>
            <w:gridSpan w:val="5"/>
          </w:tcPr>
          <w:p>
            <w:pPr>
              <w:spacing w:after="0"/>
              <w:rPr>
                <w:sz w:val="14"/>
                <w:szCs w:val="14"/>
                <w:color w:val="auto"/>
              </w:rPr>
            </w:pPr>
          </w:p>
        </w:tc>
      </w:tr>
      <w:tr>
        <w:trPr>
          <w:trHeight w:val="242"/>
        </w:trPr>
        <w:tc>
          <w:tcPr>
            <w:tcW w:w="1040" w:type="dxa"/>
            <w:vAlign w:val="bottom"/>
          </w:tcPr>
          <w:p>
            <w:pPr>
              <w:ind w:left="20"/>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1"/>
                <w:szCs w:val="21"/>
                <w:color w:val="auto"/>
              </w:rPr>
            </w:pPr>
          </w:p>
        </w:tc>
        <w:tc>
          <w:tcPr>
            <w:tcW w:w="22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XBRL Instance Document</w:t>
            </w:r>
          </w:p>
        </w:tc>
        <w:tc>
          <w:tcPr>
            <w:tcW w:w="7640" w:type="dxa"/>
            <w:vAlign w:val="bottom"/>
            <w:gridSpan w:val="10"/>
          </w:tcPr>
          <w:p>
            <w:pPr>
              <w:spacing w:after="0"/>
              <w:rPr>
                <w:sz w:val="21"/>
                <w:szCs w:val="21"/>
                <w:color w:val="auto"/>
              </w:rPr>
            </w:pP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19"/>
                <w:szCs w:val="19"/>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19"/>
                <w:szCs w:val="19"/>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19"/>
                <w:szCs w:val="19"/>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19"/>
                <w:szCs w:val="19"/>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5"/>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20"/>
                <w:szCs w:val="20"/>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ind w:right="2820" w:firstLine="25"/>
        <w:spacing w:after="0" w:line="308" w:lineRule="auto"/>
        <w:tabs>
          <w:tab w:leader="none" w:pos="1395" w:val="left"/>
        </w:tabs>
        <w:numPr>
          <w:ilvl w:val="1"/>
          <w:numId w:val="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ind w:left="340" w:hanging="33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9" w:lineRule="exact"/>
        <w:rPr>
          <w:sz w:val="20"/>
          <w:szCs w:val="20"/>
          <w:color w:val="auto"/>
        </w:rPr>
      </w:pPr>
    </w:p>
    <w:p>
      <w:pPr>
        <w:ind w:right="380" w:firstLine="7"/>
        <w:spacing w:after="0" w:line="280" w:lineRule="auto"/>
        <w:tabs>
          <w:tab w:leader="none" w:pos="1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schedules and exhibits to this agreement have been omitted in accordance with Item 601(a)(5) of Regulation S-K. A copy of any omitted schedule and/or exhibit will be furnished to the SEC 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61"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KLX ENERGY SERVICES HOLDINGS, INC.</w:t>
      </w:r>
    </w:p>
    <w:p>
      <w:pPr>
        <w:spacing w:after="0" w:line="288"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16510</wp:posOffset>
            </wp:positionV>
            <wp:extent cx="24542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Christopher J. Baker</w:t>
      </w:r>
    </w:p>
    <w:p>
      <w:pPr>
        <w:spacing w:after="0" w:line="28" w:lineRule="exact"/>
        <w:rPr>
          <w:sz w:val="20"/>
          <w:szCs w:val="20"/>
          <w:color w:val="auto"/>
        </w:rPr>
      </w:pPr>
    </w:p>
    <w:p>
      <w:pPr>
        <w:ind w:left="740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8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May 8, 2024</w:t>
      </w:r>
    </w:p>
    <w:p>
      <w:pPr>
        <w:spacing w:after="0" w:line="274"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16510</wp:posOffset>
            </wp:positionV>
            <wp:extent cx="24542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Keefer M. Lehner</w:t>
      </w:r>
    </w:p>
    <w:p>
      <w:pPr>
        <w:spacing w:after="0" w:line="5" w:lineRule="exact"/>
        <w:rPr>
          <w:sz w:val="20"/>
          <w:szCs w:val="20"/>
          <w:color w:val="auto"/>
        </w:rPr>
      </w:pPr>
    </w:p>
    <w:p>
      <w:pPr>
        <w:ind w:left="7400"/>
        <w:spacing w:after="0"/>
        <w:rPr>
          <w:sz w:val="20"/>
          <w:szCs w:val="20"/>
          <w:color w:val="auto"/>
        </w:rPr>
      </w:pPr>
      <w:r>
        <w:rPr>
          <w:rFonts w:ascii="Arial" w:cs="Arial" w:eastAsia="Arial" w:hAnsi="Arial"/>
          <w:sz w:val="18"/>
          <w:szCs w:val="18"/>
          <w:i w:val="1"/>
          <w:iCs w:val="1"/>
          <w:color w:val="auto"/>
        </w:rPr>
        <w:t>Executive Vice President and Chief Financial</w:t>
      </w:r>
    </w:p>
    <w:p>
      <w:pPr>
        <w:ind w:left="7400"/>
        <w:spacing w:after="0"/>
        <w:rPr>
          <w:sz w:val="20"/>
          <w:szCs w:val="20"/>
          <w:color w:val="auto"/>
        </w:rPr>
      </w:pPr>
      <w:r>
        <w:rPr>
          <w:rFonts w:ascii="Arial" w:cs="Arial" w:eastAsia="Arial" w:hAnsi="Arial"/>
          <w:sz w:val="18"/>
          <w:szCs w:val="18"/>
          <w:i w:val="1"/>
          <w:iCs w:val="1"/>
          <w:color w:val="auto"/>
        </w:rPr>
        <w:t>Officer</w:t>
      </w:r>
    </w:p>
    <w:p>
      <w:pPr>
        <w:spacing w:after="0" w:line="28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May 8, 2024</w:t>
      </w:r>
    </w:p>
    <w:p>
      <w:pPr>
        <w:spacing w:after="0" w:line="288"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Geoffrey C. Stanford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16510</wp:posOffset>
            </wp:positionV>
            <wp:extent cx="24542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Geoffrey C. Stanford</w:t>
      </w:r>
    </w:p>
    <w:p>
      <w:pPr>
        <w:spacing w:after="0" w:line="5" w:lineRule="exact"/>
        <w:rPr>
          <w:sz w:val="20"/>
          <w:szCs w:val="20"/>
          <w:color w:val="auto"/>
        </w:rPr>
      </w:pPr>
    </w:p>
    <w:p>
      <w:pPr>
        <w:ind w:left="7400"/>
        <w:spacing w:after="0"/>
        <w:rPr>
          <w:sz w:val="20"/>
          <w:szCs w:val="20"/>
          <w:color w:val="auto"/>
        </w:rPr>
      </w:pPr>
      <w:r>
        <w:rPr>
          <w:rFonts w:ascii="Arial" w:cs="Arial" w:eastAsia="Arial" w:hAnsi="Arial"/>
          <w:sz w:val="18"/>
          <w:szCs w:val="18"/>
          <w:i w:val="1"/>
          <w:iCs w:val="1"/>
          <w:color w:val="auto"/>
        </w:rPr>
        <w:t>Senior  Vice  President  and  Chief  Accounting</w:t>
      </w:r>
    </w:p>
    <w:p>
      <w:pPr>
        <w:ind w:left="7400"/>
        <w:spacing w:after="0"/>
        <w:rPr>
          <w:sz w:val="20"/>
          <w:szCs w:val="20"/>
          <w:color w:val="auto"/>
        </w:rPr>
      </w:pPr>
      <w:r>
        <w:rPr>
          <w:rFonts w:ascii="Arial" w:cs="Arial" w:eastAsia="Arial" w:hAnsi="Arial"/>
          <w:sz w:val="18"/>
          <w:szCs w:val="18"/>
          <w:i w:val="1"/>
          <w:iCs w:val="1"/>
          <w:color w:val="auto"/>
        </w:rPr>
        <w:t>Officer</w:t>
      </w:r>
    </w:p>
    <w:p>
      <w:pPr>
        <w:spacing w:after="0" w:line="28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May 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21" w:right="35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J. Baker, certify that:</w:t>
      </w:r>
    </w:p>
    <w:p>
      <w:pPr>
        <w:spacing w:after="0" w:line="141" w:lineRule="exact"/>
        <w:rPr>
          <w:sz w:val="20"/>
          <w:szCs w:val="20"/>
          <w:color w:val="auto"/>
        </w:rPr>
      </w:pPr>
    </w:p>
    <w:p>
      <w:pPr>
        <w:ind w:left="680" w:right="60" w:hanging="655"/>
        <w:spacing w:after="0" w:line="235"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KLX Energy Services Holdings, Inc. (the “registrant”);</w:t>
      </w:r>
    </w:p>
    <w:p>
      <w:pPr>
        <w:spacing w:after="0" w:line="116" w:lineRule="exact"/>
        <w:rPr>
          <w:rFonts w:ascii="Times New Roman" w:cs="Times New Roman" w:eastAsia="Times New Roman" w:hAnsi="Times New Roman"/>
          <w:sz w:val="18"/>
          <w:szCs w:val="18"/>
          <w:color w:val="auto"/>
        </w:rPr>
      </w:pPr>
    </w:p>
    <w:p>
      <w:pPr>
        <w:jc w:val="both"/>
        <w:ind w:left="680" w:right="60" w:hanging="655"/>
        <w:spacing w:after="0" w:line="229"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Times New Roman" w:cs="Times New Roman" w:eastAsia="Times New Roman" w:hAnsi="Times New Roman"/>
          <w:sz w:val="18"/>
          <w:szCs w:val="18"/>
          <w:color w:val="auto"/>
        </w:rPr>
      </w:pPr>
    </w:p>
    <w:p>
      <w:pPr>
        <w:ind w:left="680" w:right="40" w:hanging="655"/>
        <w:spacing w:after="0" w:line="235"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18"/>
          <w:szCs w:val="18"/>
          <w:color w:val="auto"/>
        </w:rPr>
      </w:pPr>
    </w:p>
    <w:p>
      <w:pPr>
        <w:jc w:val="both"/>
        <w:ind w:left="680" w:right="40" w:hanging="655"/>
        <w:spacing w:after="0" w:line="224"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8"/>
          <w:szCs w:val="18"/>
          <w:color w:val="auto"/>
        </w:rPr>
      </w:pPr>
    </w:p>
    <w:p>
      <w:pPr>
        <w:jc w:val="both"/>
        <w:ind w:left="1340" w:right="60" w:hanging="660"/>
        <w:spacing w:after="0" w:line="229"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40" w:right="80" w:hanging="660"/>
        <w:spacing w:after="0" w:line="227"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8"/>
          <w:szCs w:val="18"/>
          <w:color w:val="auto"/>
        </w:rPr>
      </w:pPr>
    </w:p>
    <w:p>
      <w:pPr>
        <w:ind w:left="1340" w:right="60" w:hanging="660"/>
        <w:spacing w:after="0" w:line="235"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Times New Roman" w:cs="Times New Roman" w:eastAsia="Times New Roman" w:hAnsi="Times New Roman"/>
          <w:sz w:val="18"/>
          <w:szCs w:val="18"/>
          <w:color w:val="auto"/>
        </w:rPr>
      </w:pPr>
    </w:p>
    <w:p>
      <w:pPr>
        <w:jc w:val="both"/>
        <w:ind w:left="1340" w:right="80" w:hanging="660"/>
        <w:spacing w:after="0" w:line="224"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8"/>
          <w:szCs w:val="18"/>
          <w:color w:val="auto"/>
        </w:rPr>
      </w:pPr>
    </w:p>
    <w:p>
      <w:pPr>
        <w:ind w:left="680" w:right="40" w:hanging="655"/>
        <w:spacing w:after="0" w:line="24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40" w:right="60" w:hanging="660"/>
        <w:spacing w:after="0" w:line="235"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Times New Roman" w:cs="Times New Roman" w:eastAsia="Times New Roman" w:hAnsi="Times New Roman"/>
          <w:sz w:val="18"/>
          <w:szCs w:val="18"/>
          <w:color w:val="auto"/>
        </w:rPr>
      </w:pPr>
    </w:p>
    <w:p>
      <w:pPr>
        <w:ind w:left="1340" w:right="60" w:hanging="660"/>
        <w:spacing w:after="0" w:line="235"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640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7"/>
          <w:szCs w:val="17"/>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15875</wp:posOffset>
            </wp:positionV>
            <wp:extent cx="30740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1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Christopher J. Baker</w:t>
      </w:r>
    </w:p>
    <w:p>
      <w:pPr>
        <w:spacing w:after="0" w:line="26"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79"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Keefer M. Lehner, certify that:</w:t>
      </w:r>
    </w:p>
    <w:p>
      <w:pPr>
        <w:spacing w:after="0" w:line="261" w:lineRule="exact"/>
        <w:rPr>
          <w:sz w:val="20"/>
          <w:szCs w:val="20"/>
          <w:color w:val="auto"/>
        </w:rPr>
      </w:pPr>
    </w:p>
    <w:p>
      <w:pPr>
        <w:ind w:left="680" w:right="60" w:hanging="655"/>
        <w:spacing w:after="0" w:line="247"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KLX Energy Services Holdings, Inc. (the “registrant”);</w:t>
      </w:r>
    </w:p>
    <w:p>
      <w:pPr>
        <w:spacing w:after="0" w:line="108" w:lineRule="exact"/>
        <w:rPr>
          <w:rFonts w:ascii="Times New Roman" w:cs="Times New Roman" w:eastAsia="Times New Roman" w:hAnsi="Times New Roman"/>
          <w:sz w:val="18"/>
          <w:szCs w:val="18"/>
          <w:color w:val="auto"/>
        </w:rPr>
      </w:pPr>
    </w:p>
    <w:p>
      <w:pPr>
        <w:jc w:val="both"/>
        <w:ind w:left="680" w:right="60" w:hanging="655"/>
        <w:spacing w:after="0" w:line="229"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Times New Roman" w:cs="Times New Roman" w:eastAsia="Times New Roman" w:hAnsi="Times New Roman"/>
          <w:sz w:val="18"/>
          <w:szCs w:val="18"/>
          <w:color w:val="auto"/>
        </w:rPr>
      </w:pPr>
    </w:p>
    <w:p>
      <w:pPr>
        <w:ind w:left="680" w:right="40" w:hanging="655"/>
        <w:spacing w:after="0" w:line="235"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jc w:val="both"/>
        <w:ind w:left="680" w:right="40" w:hanging="655"/>
        <w:spacing w:after="0" w:line="229"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Times New Roman" w:cs="Times New Roman" w:eastAsia="Times New Roman" w:hAnsi="Times New Roman"/>
          <w:sz w:val="18"/>
          <w:szCs w:val="18"/>
          <w:color w:val="auto"/>
        </w:rPr>
      </w:pPr>
    </w:p>
    <w:p>
      <w:pPr>
        <w:jc w:val="both"/>
        <w:ind w:left="1360" w:right="20" w:hanging="653"/>
        <w:spacing w:after="0" w:line="229" w:lineRule="auto"/>
        <w:tabs>
          <w:tab w:leader="none" w:pos="136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60" w:right="20" w:hanging="653"/>
        <w:spacing w:after="0" w:line="227" w:lineRule="auto"/>
        <w:tabs>
          <w:tab w:leader="none" w:pos="136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8"/>
          <w:szCs w:val="18"/>
          <w:color w:val="auto"/>
        </w:rPr>
      </w:pPr>
    </w:p>
    <w:p>
      <w:pPr>
        <w:ind w:left="1340" w:right="60" w:hanging="660"/>
        <w:spacing w:after="0" w:line="235" w:lineRule="auto"/>
        <w:tabs>
          <w:tab w:leader="none" w:pos="13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Times New Roman" w:cs="Times New Roman" w:eastAsia="Times New Roman" w:hAnsi="Times New Roman"/>
          <w:sz w:val="18"/>
          <w:szCs w:val="18"/>
          <w:color w:val="auto"/>
        </w:rPr>
      </w:pPr>
    </w:p>
    <w:p>
      <w:pPr>
        <w:jc w:val="both"/>
        <w:ind w:left="1340" w:right="60" w:hanging="660"/>
        <w:spacing w:after="0" w:line="229" w:lineRule="auto"/>
        <w:tabs>
          <w:tab w:leader="none" w:pos="13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Times New Roman" w:cs="Times New Roman" w:eastAsia="Times New Roman" w:hAnsi="Times New Roman"/>
          <w:sz w:val="18"/>
          <w:szCs w:val="18"/>
          <w:color w:val="auto"/>
        </w:rPr>
      </w:pPr>
    </w:p>
    <w:p>
      <w:pPr>
        <w:ind w:left="680" w:right="40" w:hanging="655"/>
        <w:spacing w:after="0" w:line="235"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Times New Roman" w:cs="Times New Roman" w:eastAsia="Times New Roman" w:hAnsi="Times New Roman"/>
          <w:sz w:val="18"/>
          <w:szCs w:val="18"/>
          <w:color w:val="auto"/>
        </w:rPr>
      </w:pPr>
    </w:p>
    <w:p>
      <w:pPr>
        <w:ind w:left="1360" w:right="20" w:hanging="653"/>
        <w:spacing w:after="0" w:line="235" w:lineRule="auto"/>
        <w:tabs>
          <w:tab w:leader="none" w:pos="136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Times New Roman" w:cs="Times New Roman" w:eastAsia="Times New Roman" w:hAnsi="Times New Roman"/>
          <w:sz w:val="18"/>
          <w:szCs w:val="18"/>
          <w:color w:val="auto"/>
        </w:rPr>
      </w:pPr>
    </w:p>
    <w:p>
      <w:pPr>
        <w:ind w:left="1340" w:right="60" w:hanging="660"/>
        <w:spacing w:after="0" w:line="235" w:lineRule="auto"/>
        <w:tabs>
          <w:tab w:leader="none" w:pos="13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4" w:lineRule="exact"/>
        <w:rPr>
          <w:sz w:val="20"/>
          <w:szCs w:val="20"/>
          <w:color w:val="auto"/>
        </w:rPr>
      </w:pPr>
    </w:p>
    <w:p>
      <w:pPr>
        <w:ind w:left="20"/>
        <w:spacing w:after="0"/>
        <w:tabs>
          <w:tab w:leader="none" w:pos="648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7"/>
          <w:szCs w:val="17"/>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15875</wp:posOffset>
            </wp:positionV>
            <wp:extent cx="30232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023235" cy="8255"/>
                    </a:xfrm>
                    <a:prstGeom prst="rect">
                      <a:avLst/>
                    </a:prstGeom>
                    <a:noFill/>
                  </pic:spPr>
                </pic:pic>
              </a:graphicData>
            </a:graphic>
          </wp:anchor>
        </w:drawing>
      </w:r>
    </w:p>
    <w:p>
      <w:pPr>
        <w:spacing w:after="0" w:line="1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Keefer M. Lehner</w:t>
      </w:r>
    </w:p>
    <w:p>
      <w:pPr>
        <w:spacing w:after="0" w:line="2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79"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 OXLEY ACT OF 2002</w:t>
      </w:r>
    </w:p>
    <w:p>
      <w:pPr>
        <w:spacing w:after="0" w:line="20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Pursuant to 18 U.S.C. Section 1350, as adopted pursuant to Section 906 of the Sarbanes-Oxley Act of 2002, in connection with the Quarterly Report of KLX Energy Services Holdings, Inc. (the “Company”) on Form 10-Q for the period ended March 31, 2024, as filed with the Securities and Exchange Commission on the date hereof (the “Periodic Report”), I, Christopher J. Baker, as President and Chief Executive Officer of the Company, hereby certify that:</w:t>
      </w:r>
    </w:p>
    <w:p>
      <w:pPr>
        <w:spacing w:after="0" w:line="79" w:lineRule="exact"/>
        <w:rPr>
          <w:sz w:val="20"/>
          <w:szCs w:val="20"/>
          <w:color w:val="auto"/>
        </w:rPr>
      </w:pPr>
    </w:p>
    <w:p>
      <w:pPr>
        <w:ind w:left="560" w:hanging="312"/>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as amended; and</w:t>
      </w:r>
    </w:p>
    <w:p>
      <w:pPr>
        <w:spacing w:after="0" w:line="25" w:lineRule="exact"/>
        <w:rPr>
          <w:rFonts w:ascii="Times New Roman" w:cs="Times New Roman" w:eastAsia="Times New Roman" w:hAnsi="Times New Roman"/>
          <w:sz w:val="18"/>
          <w:szCs w:val="18"/>
          <w:color w:val="auto"/>
        </w:rPr>
      </w:pPr>
    </w:p>
    <w:p>
      <w:pPr>
        <w:ind w:left="560" w:hanging="312"/>
        <w:spacing w:after="0" w:line="256" w:lineRule="auto"/>
        <w:tabs>
          <w:tab w:leader="none" w:pos="5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J. Baker</w:t>
            </w:r>
          </w:p>
        </w:tc>
      </w:tr>
      <w:tr>
        <w:trPr>
          <w:trHeight w:val="216"/>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J. Baker</w:t>
            </w:r>
          </w:p>
        </w:tc>
      </w:tr>
      <w:tr>
        <w:trPr>
          <w:trHeight w:val="227"/>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3"/>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7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 OXLEY ACT OF 2002</w:t>
      </w:r>
    </w:p>
    <w:p>
      <w:pPr>
        <w:spacing w:after="0" w:line="20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Pursuant to 18 U.S.C. Section 1350, as adopted pursuant to Section 906 of the Sarbanes-Oxley Act of 2002, in connection with the Quarterly Report of KLX Energy Services Holdings, Inc. (the “Company”) on Form 10-Q for the period ended March 31, 2024, as filed with the Securities and Exchange Commission on the date hereof (the “Periodic Report”), I, Keefer M. Lehner, as Executive Vice President and Chief Financial Officer of the Company, hereby certify that:</w:t>
      </w:r>
    </w:p>
    <w:p>
      <w:pPr>
        <w:spacing w:after="0" w:line="79" w:lineRule="exact"/>
        <w:rPr>
          <w:sz w:val="20"/>
          <w:szCs w:val="20"/>
          <w:color w:val="auto"/>
        </w:rPr>
      </w:pPr>
    </w:p>
    <w:p>
      <w:pPr>
        <w:ind w:left="560" w:hanging="312"/>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as amended; and</w:t>
      </w:r>
    </w:p>
    <w:p>
      <w:pPr>
        <w:spacing w:after="0" w:line="25" w:lineRule="exact"/>
        <w:rPr>
          <w:rFonts w:ascii="Times New Roman" w:cs="Times New Roman" w:eastAsia="Times New Roman" w:hAnsi="Times New Roman"/>
          <w:sz w:val="18"/>
          <w:szCs w:val="18"/>
          <w:color w:val="auto"/>
        </w:rPr>
      </w:pPr>
    </w:p>
    <w:p>
      <w:pPr>
        <w:ind w:left="560" w:hanging="312"/>
        <w:spacing w:after="0" w:line="256" w:lineRule="auto"/>
        <w:tabs>
          <w:tab w:leader="none" w:pos="5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Keefer M. Lehner</w:t>
            </w:r>
          </w:p>
        </w:tc>
      </w:tr>
      <w:tr>
        <w:trPr>
          <w:trHeight w:val="216"/>
        </w:trPr>
        <w:tc>
          <w:tcPr>
            <w:tcW w:w="64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Keefer M. Lehner</w:t>
            </w:r>
          </w:p>
        </w:tc>
      </w:tr>
      <w:tr>
        <w:trPr>
          <w:trHeight w:val="227"/>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3"/>
        </w:trPr>
        <w:tc>
          <w:tcPr>
            <w:tcW w:w="64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lvl w:ilvl="1">
      <w:lvlJc w:val="left"/>
      <w:lvlText w:val="%2"/>
      <w:numFmt w:val="decimal"/>
      <w:start w:val="104"/>
    </w:lvl>
  </w:abstractNum>
  <w:abstractNum w:abstractNumId="8">
    <w:nsid w:val="1190CDE7"/>
    <w:multiLevelType w:val="hybridMultilevel"/>
    <w:lvl w:ilvl="0">
      <w:lvlJc w:val="left"/>
      <w:lvlText w:val="**"/>
      <w:numFmt w:val="bullet"/>
      <w:start w:val="1"/>
    </w:lvl>
    <w:lvl w:ilvl="1">
      <w:lvlJc w:val="left"/>
      <w:lvlText w:val="%2"/>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47" Type="http://schemas.openxmlformats.org/officeDocument/2006/relationships/hyperlink" Target="https://www.sec.gov/Archives/edgar/data/1738827/000173882720000004/klxenergy-archarter2020.htm" TargetMode="External"/><Relationship Id="rId48" Type="http://schemas.openxmlformats.org/officeDocument/2006/relationships/hyperlink" Target="https://www.sec.gov/Archives/edgar/data/0001738827/000173882721000031/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2024-05-08T16:19:05Z</dcterms:created>
  <dcterms:modified xsi:type="dcterms:W3CDTF">2024-05-08T16:19:05Z</dcterms:modified>
</cp:coreProperties>
</file>