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2025</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erif" w:hAnsi="Times New Roman;serif"/>
          <w:b/>
          <w:color w:val="000000"/>
          <w:sz w:val="40"/>
        </w:rPr>
        <w:t xml:space="preserve">KLX Energy Services Holdings, Inc.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3040 Post Oak Boulevard, 15th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TX 77056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registrant has one class of common stock, $0.01 par value, of which 17,840,457 shares were outstanding as of August 1, 2025.</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6"/>
        <w:gridCol w:w="536"/>
        <w:gridCol w:w="2716"/>
        <w:gridCol w:w="2703"/>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37f030b1a4aa4413a9de710ef679e79e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0">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3">
              <w:r>
                <w:rPr>
                  <w:rStyle w:val="InternetLink"/>
                  <w:color w:val="0000FF"/>
                  <w:u w:val="single"/>
                </w:rPr>
                <w:t> </w:t>
              </w:r>
            </w:hyperlink>
            <w:hyperlink w:anchor="i37f030b1a4aa4413a9de710ef679e79e_13">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3">
              <w:r>
                <w:rPr>
                  <w:rStyle w:val="InternetLink"/>
                  <w:rFonts w:ascii="Arial;sans-serif" w:hAnsi="Arial;sans-serif"/>
                  <w:b w:val="false"/>
                  <w:color w:val="0000FF"/>
                  <w:sz w:val="20"/>
                  <w:u w:val="single"/>
                </w:rPr>
                <w:t>Balance Sheets as of June 30, 2025 and December 31,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9">
              <w:r>
                <w:rPr>
                  <w:rStyle w:val="InternetLink"/>
                  <w:rFonts w:ascii="Arial;sans-serif" w:hAnsi="Arial;sans-serif"/>
                  <w:b w:val="false"/>
                  <w:color w:val="0000FF"/>
                  <w:sz w:val="20"/>
                  <w:u w:val="single"/>
                </w:rPr>
                <w:t>Statements of Operations for the Three and Six Months Ended June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9">
              <w:r>
                <w:rPr>
                  <w:rStyle w:val="InternetLink"/>
                  <w:rFonts w:ascii="Arial;sans-serif" w:hAnsi="Arial;sans-serif"/>
                  <w:b w:val="false"/>
                  <w:color w:val="0000FF"/>
                  <w:sz w:val="20"/>
                  <w:u w:val="single"/>
                </w:rPr>
                <w:t>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22">
              <w:r>
                <w:rPr>
                  <w:rStyle w:val="InternetLink"/>
                  <w:rFonts w:ascii="Arial;sans-serif" w:hAnsi="Arial;sans-serif"/>
                  <w:b w:val="false"/>
                  <w:color w:val="0000FF"/>
                  <w:sz w:val="20"/>
                  <w:u w:val="single"/>
                </w:rPr>
                <w:t>Statements of Stockholders' Equity for the Six Months Ended June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22">
              <w:r>
                <w:rPr>
                  <w:rStyle w:val="InternetLink"/>
                  <w:rFonts w:ascii="Arial;sans-serif" w:hAnsi="Arial;sans-serif"/>
                  <w:b w:val="false"/>
                  <w:color w:val="0000FF"/>
                  <w:sz w:val="20"/>
                  <w:u w:val="single"/>
                </w:rPr>
                <w:t>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25">
              <w:r>
                <w:rPr>
                  <w:rStyle w:val="InternetLink"/>
                  <w:rFonts w:ascii="Arial;sans-serif" w:hAnsi="Arial;sans-serif"/>
                  <w:b w:val="false"/>
                  <w:color w:val="0000FF"/>
                  <w:sz w:val="20"/>
                  <w:u w:val="single"/>
                </w:rPr>
                <w:t>Statements of Cash Flows for the Six Months Ended June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25">
              <w:r>
                <w:rPr>
                  <w:rStyle w:val="InternetLink"/>
                  <w:rFonts w:ascii="Arial;sans-serif" w:hAnsi="Arial;sans-serif"/>
                  <w:b w:val="false"/>
                  <w:color w:val="0000FF"/>
                  <w:sz w:val="20"/>
                  <w:u w:val="single"/>
                </w:rPr>
                <w:t>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31">
              <w:r>
                <w:rPr>
                  <w:rStyle w:val="InternetLink"/>
                  <w:rFonts w:ascii="Arial;sans-serif" w:hAnsi="Arial;sans-serif"/>
                  <w:b w:val="false"/>
                  <w:color w:val="0000FF"/>
                  <w:sz w:val="20"/>
                  <w:u w:val="single"/>
                </w:rPr>
                <w:t>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73">
              <w:r>
                <w:rPr>
                  <w:rStyle w:val="InternetLink"/>
                  <w:rFonts w:ascii="Arial;sans-serif" w:hAnsi="Arial;sans-serif"/>
                  <w:b w:val="false"/>
                  <w:color w:val="0000FF"/>
                  <w:sz w:val="20"/>
                  <w:u w:val="single"/>
                </w:rPr>
                <w:t>21</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85">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85">
              <w:r>
                <w:rPr>
                  <w:rStyle w:val="InternetLink"/>
                  <w:rFonts w:ascii="Arial;sans-serif" w:hAnsi="Arial;sans-serif"/>
                  <w:b w:val="false"/>
                  <w:color w:val="0000FF"/>
                  <w:sz w:val="20"/>
                  <w:u w:val="single"/>
                </w:rPr>
                <w:t>36</w:t>
              </w:r>
            </w:hyperlink>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88">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88">
              <w:r>
                <w:rPr>
                  <w:rStyle w:val="InternetLink"/>
                  <w:rFonts w:ascii="Arial;sans-serif" w:hAnsi="Arial;sans-serif"/>
                  <w:b w:val="false"/>
                  <w:color w:val="0000FF"/>
                  <w:sz w:val="20"/>
                  <w:u w:val="single"/>
                </w:rPr>
                <w:t>36</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91">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91">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94">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94">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97">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97">
              <w:r>
                <w:rPr>
                  <w:rStyle w:val="InternetLink"/>
                  <w:rFonts w:ascii="Arial;sans-serif" w:hAnsi="Arial;sans-serif"/>
                  <w:b w:val="false"/>
                  <w:color w:val="0000FF"/>
                  <w:sz w:val="20"/>
                  <w:u w:val="single"/>
                </w:rPr>
                <w:t>37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00">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00">
              <w:r>
                <w:rPr>
                  <w:rStyle w:val="InternetLink"/>
                  <w:rFonts w:ascii="Arial;sans-serif" w:hAnsi="Arial;sans-serif"/>
                  <w:b w:val="false"/>
                  <w:color w:val="0000FF"/>
                  <w:sz w:val="20"/>
                  <w:u w:val="single"/>
                </w:rPr>
                <w:t>37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03">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03">
              <w:r>
                <w:rPr>
                  <w:rStyle w:val="InternetLink"/>
                  <w:rFonts w:ascii="Arial;sans-serif" w:hAnsi="Arial;sans-serif"/>
                  <w:b w:val="false"/>
                  <w:color w:val="0000FF"/>
                  <w:sz w:val="20"/>
                  <w:u w:val="single"/>
                </w:rPr>
                <w:t>37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06">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06">
              <w:r>
                <w:rPr>
                  <w:rStyle w:val="InternetLink"/>
                  <w:rFonts w:ascii="Arial;sans-serif" w:hAnsi="Arial;sans-serif"/>
                  <w:b w:val="false"/>
                  <w:color w:val="0000FF"/>
                  <w:sz w:val="20"/>
                  <w:u w:val="single"/>
                </w:rPr>
                <w:t>37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09">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15">
              <w:r>
                <w:rPr>
                  <w:rStyle w:val="InternetLink"/>
                  <w:rFonts w:ascii="Arial;sans-serif" w:hAnsi="Arial;sans-serif"/>
                  <w:b w:val="false"/>
                  <w:color w:val="0000FF"/>
                  <w:sz w:val="20"/>
                  <w:u w:val="single"/>
                </w:rPr>
                <w:t>38</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030b1a4aa4413a9de710ef679e79e_115">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15">
              <w:r>
                <w:rPr>
                  <w:rStyle w:val="InternetLink"/>
                  <w:rFonts w:ascii="Arial;sans-serif" w:hAnsi="Arial;sans-serif"/>
                  <w:b w:val="false"/>
                  <w:color w:val="0000FF"/>
                  <w:sz w:val="20"/>
                  <w:u w:val="single"/>
                </w:rPr>
                <w:t>38</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37f030b1a4aa4413a9de710ef679e79e_118">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030b1a4aa4413a9de710ef679e79e_118">
              <w:r>
                <w:rPr>
                  <w:rStyle w:val="InternetLink"/>
                  <w:rFonts w:ascii="Arial;sans-serif" w:hAnsi="Arial;sans-serif"/>
                  <w:b w:val="false"/>
                  <w:color w:val="0000FF"/>
                  <w:sz w:val="20"/>
                  <w:u w:val="singl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9610" w:type="dxa"/>
        <w:jc w:val="center"/>
        <w:tblInd w:w="0" w:type="dxa"/>
        <w:tblLayout w:type="fixed"/>
        <w:tblCellMar>
          <w:top w:w="28" w:type="dxa"/>
          <w:left w:w="28" w:type="dxa"/>
          <w:bottom w:w="28" w:type="dxa"/>
          <w:right w:w="28" w:type="dxa"/>
        </w:tblCellMar>
      </w:tblPr>
      <w:tblGrid>
        <w:gridCol w:w="2235"/>
        <w:gridCol w:w="1963"/>
        <w:gridCol w:w="1981"/>
        <w:gridCol w:w="291"/>
        <w:gridCol w:w="849"/>
        <w:gridCol w:w="150"/>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$4.4 and $4.2</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18.3 and 17.5 issued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0.5 shares and 0.5 shares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757" w:type="dxa"/>
        <w:jc w:val="left"/>
        <w:tblInd w:w="0" w:type="dxa"/>
        <w:tblLayout w:type="fixed"/>
        <w:tblCellMar>
          <w:top w:w="28" w:type="dxa"/>
          <w:left w:w="28" w:type="dxa"/>
          <w:bottom w:w="28" w:type="dxa"/>
          <w:right w:w="28" w:type="dxa"/>
        </w:tblCellMar>
      </w:tblPr>
      <w:tblGrid>
        <w:gridCol w:w="1136"/>
        <w:gridCol w:w="996"/>
        <w:gridCol w:w="1003"/>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debt extinguishment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share-diluted</w:t>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 2025 and June 30, 2024</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80"/>
        <w:gridCol w:w="511"/>
        <w:gridCol w:w="513"/>
        <w:gridCol w:w="255"/>
        <w:gridCol w:w="256"/>
        <w:gridCol w:w="245"/>
        <w:gridCol w:w="112"/>
        <w:gridCol w:w="112"/>
        <w:gridCol w:w="112"/>
        <w:gridCol w:w="225"/>
        <w:gridCol w:w="434"/>
        <w:gridCol w:w="122"/>
        <w:gridCol w:w="109"/>
        <w:gridCol w:w="109"/>
        <w:gridCol w:w="109"/>
        <w:gridCol w:w="297"/>
        <w:gridCol w:w="871"/>
        <w:gridCol w:w="155"/>
        <w:gridCol w:w="109"/>
        <w:gridCol w:w="109"/>
        <w:gridCol w:w="109"/>
        <w:gridCol w:w="295"/>
        <w:gridCol w:w="590"/>
        <w:gridCol w:w="153"/>
        <w:gridCol w:w="109"/>
        <w:gridCol w:w="109"/>
        <w:gridCol w:w="109"/>
        <w:gridCol w:w="313"/>
        <w:gridCol w:w="939"/>
        <w:gridCol w:w="163"/>
        <w:gridCol w:w="109"/>
        <w:gridCol w:w="109"/>
        <w:gridCol w:w="109"/>
        <w:gridCol w:w="386"/>
        <w:gridCol w:w="964"/>
        <w:gridCol w:w="29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3"/>
        <w:gridCol w:w="479"/>
        <w:gridCol w:w="481"/>
        <w:gridCol w:w="260"/>
        <w:gridCol w:w="260"/>
        <w:gridCol w:w="261"/>
        <w:gridCol w:w="112"/>
        <w:gridCol w:w="112"/>
        <w:gridCol w:w="112"/>
        <w:gridCol w:w="225"/>
        <w:gridCol w:w="434"/>
        <w:gridCol w:w="122"/>
        <w:gridCol w:w="109"/>
        <w:gridCol w:w="109"/>
        <w:gridCol w:w="109"/>
        <w:gridCol w:w="284"/>
        <w:gridCol w:w="833"/>
        <w:gridCol w:w="148"/>
        <w:gridCol w:w="109"/>
        <w:gridCol w:w="109"/>
        <w:gridCol w:w="109"/>
        <w:gridCol w:w="252"/>
        <w:gridCol w:w="503"/>
        <w:gridCol w:w="131"/>
        <w:gridCol w:w="109"/>
        <w:gridCol w:w="109"/>
        <w:gridCol w:w="109"/>
        <w:gridCol w:w="276"/>
        <w:gridCol w:w="826"/>
        <w:gridCol w:w="144"/>
        <w:gridCol w:w="109"/>
        <w:gridCol w:w="109"/>
        <w:gridCol w:w="109"/>
        <w:gridCol w:w="492"/>
        <w:gridCol w:w="1193"/>
        <w:gridCol w:w="256"/>
        <w:gridCol w:w="158"/>
      </w:tblGrid>
      <w:tr>
        <w:trPr/>
        <w:tc>
          <w:tcPr>
            <w:tcW w:w="5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KLX Energy Services Holdings, Inc.</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Condensed Consolidated Statements of Cash Flows</w:t>
      </w:r>
    </w:p>
    <w:p>
      <w:pPr>
        <w:pStyle w:val="TextBody"/>
        <w:bidi w:val="0"/>
        <w:spacing w:lineRule="auto" w:line="288" w:before="0" w:after="0"/>
        <w:jc w:val="center"/>
        <w:rPr>
          <w:rFonts w:ascii="Arial;sans-serif" w:hAnsi="Arial;sans-serif"/>
          <w:b/>
          <w:i/>
          <w:color w:val="000000"/>
          <w:sz w:val="15"/>
        </w:rPr>
      </w:pPr>
      <w:r>
        <w:rPr>
          <w:rFonts w:ascii="Arial;sans-serif" w:hAnsi="Arial;sans-serif"/>
          <w:b/>
          <w:i/>
          <w:color w:val="000000"/>
          <w:sz w:val="15"/>
        </w:rPr>
        <w:t>(In millions of U.S. dollars)</w:t>
      </w:r>
    </w:p>
    <w:p>
      <w:pPr>
        <w:pStyle w:val="TextBody"/>
        <w:bidi w:val="0"/>
        <w:spacing w:lineRule="auto" w:line="288" w:before="0" w:after="0"/>
        <w:jc w:val="center"/>
        <w:rPr>
          <w:rFonts w:ascii="Arial;sans-serif" w:hAnsi="Arial;sans-serif"/>
          <w:b/>
          <w:i/>
          <w:color w:val="000000"/>
          <w:sz w:val="15"/>
        </w:rPr>
      </w:pPr>
      <w:r>
        <w:rPr>
          <w:rFonts w:ascii="Arial;sans-serif" w:hAnsi="Arial;sans-serif"/>
          <w:b/>
          <w:i/>
          <w:color w:val="000000"/>
          <w:sz w:val="15"/>
        </w:rPr>
        <w:t>(Unaudited)</w:t>
      </w:r>
    </w:p>
    <w:tbl>
      <w:tblPr>
        <w:tblW w:w="8155" w:type="dxa"/>
        <w:jc w:val="left"/>
        <w:tblInd w:w="0" w:type="dxa"/>
        <w:tblLayout w:type="fixed"/>
        <w:tblCellMar>
          <w:top w:w="28" w:type="dxa"/>
          <w:left w:w="28" w:type="dxa"/>
          <w:bottom w:w="28" w:type="dxa"/>
          <w:right w:w="28" w:type="dxa"/>
        </w:tblCellMar>
      </w:tblPr>
      <w:tblGrid>
        <w:gridCol w:w="1996"/>
        <w:gridCol w:w="1750"/>
        <w:gridCol w:w="1758"/>
        <w:gridCol w:w="274"/>
        <w:gridCol w:w="714"/>
        <w:gridCol w:w="152"/>
        <w:gridCol w:w="109"/>
        <w:gridCol w:w="109"/>
        <w:gridCol w:w="109"/>
        <w:gridCol w:w="269"/>
        <w:gridCol w:w="703"/>
        <w:gridCol w:w="212"/>
      </w:tblGrid>
      <w:tr>
        <w:trPr/>
        <w:tc>
          <w:tcPr>
            <w:tcW w:w="199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 2024</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operating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loss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loss to net cash flows used in operating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 and amortization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Impairment and other charges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Non-cash compensation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deferred financing fees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Provision for inventory reserve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 in allowance for doubtful accounts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Gain on disposal of property, equipment and other</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Non-cash interest expense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Loss on debt extinguishment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operating assets and 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Accounts receivable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Inventories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Prepaid expenses and other current and non-current assets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Accounts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Other current and non-current liabilities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Net cash flows (used in) provided by operating activities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investing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 of property and equipment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property and equipment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Net cash flows used in investing activities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financing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stock issuance, net of costs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Borrowings under New ABL Facility</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New ABL Facility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Prior ABL Facility</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issuance of 2030 Senior Notes and warrants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 of 2025 Senior Notes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Mandatory redemption on 2030 Senior Notes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on finance lease obligations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note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of debt issuance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 in financed payables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Net cash flows used in financing activities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5"/>
              </w:rPr>
              <w:t>Net change in cash and cash equivalents and restricted cash</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and restricted cash, beginning of period</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112.5</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and cash equivalents and restricted cash, end of period</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86.9 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Supplemental disclosures of cash flow information:</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during period for:</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taxes paid, net of refunds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Interest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Supplemental schedule of non-cash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Accrued capital expenditures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Non-cash interest expense (paid in kind)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2025 or for any future period. The information included in these condensed consolidated financial statements should be read in conjunction with the condensed consolidated financial statements and accompanying notes included in the Company’s 2024 Annual Report on Form 10-K filed with the SEC on March 13,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the Financial Accounting Standards Board issued Accounting Standards Update ("ASU") 2023-09, Income Taxes (Topic 740). This ASU includes specific annual disclosure requirements for rate reconciliation, income taxes paid and other tax-related disclosures. The guidance is effective for the Company for the fiscal year beginning January 1, 2025 and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5768"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327"/>
        <w:gridCol w:w="793"/>
        <w:gridCol w:w="169"/>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$3.6 and $3.2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496"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291"/>
        <w:gridCol w:w="849"/>
        <w:gridCol w:w="150"/>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$18.9 and $17.0 for the three months ended June 30, 2025 and 2024, respectively, and $37.9 and $32.9 for the six months ended June 30, 2025 and 2024, respectively. Finance lease amortization expense was $4.6 and $5.9 for the three months ended June 30, 2025 and 2024, respectively, and $10.2 and $11.7 for the six months ended June 30, 2025 and 2024,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2025, the Company’s condensed consolidated balance sheet included assets classified as held for sale of $2.2. The assets held for sale are reported within prepaid expenses and other current assets on the condensed consolidated balance sheet and represent the value of two operational facilities and select equipment. These assets were being actively marketed for sale as of June 30, 2025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6730" w:type="dxa"/>
        <w:jc w:val="left"/>
        <w:tblInd w:w="0" w:type="dxa"/>
        <w:tblLayout w:type="fixed"/>
        <w:tblCellMar>
          <w:top w:w="28" w:type="dxa"/>
          <w:left w:w="28" w:type="dxa"/>
          <w:bottom w:w="28" w:type="dxa"/>
          <w:right w:w="28" w:type="dxa"/>
        </w:tblCellMar>
      </w:tblPr>
      <w:tblGrid>
        <w:gridCol w:w="1193"/>
        <w:gridCol w:w="1048"/>
        <w:gridCol w:w="1058"/>
        <w:gridCol w:w="291"/>
        <w:gridCol w:w="849"/>
        <w:gridCol w:w="150"/>
        <w:gridCol w:w="109"/>
        <w:gridCol w:w="109"/>
        <w:gridCol w:w="109"/>
        <w:gridCol w:w="390"/>
        <w:gridCol w:w="1138"/>
        <w:gridCol w:w="286"/>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ABL Facility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ABL Facility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Original issue discount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Services, LLC in 2018, we issued $250.0 principal amount of the 2025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approximately $143.6 aggregate principal amount of the 2025 Senior Notes were exchanged in connection with the Refinancing, and the Company deposited $97.1</w:t>
      </w:r>
      <w:r>
        <w:rPr>
          <w:color w:val="000000"/>
        </w:rPr>
        <w:t xml:space="preserve"> </w:t>
      </w:r>
      <w:r>
        <w:rPr>
          <w:rFonts w:ascii="Arial;sans-serif" w:hAnsi="Arial;sans-serif"/>
          <w:b w:val="false"/>
          <w:color w:val="000000"/>
          <w:sz w:val="20"/>
        </w:rPr>
        <w:t>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(the “2025 Senior Notes Indenture”) was satisfied and discharged in accordance with its terms and, as a result thereof, the Company has been released from its obligations under the 2025 Senior Notes and the 2025 Senior Notes Indenture except with respect to those provisions of the 2025 Senior Notes Indenture that, by their terms, survive the satisfaction and discharge of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(as defined below)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Company will be required to redeem the 2030 Senior Notes in an amount equal to 2.00%</w:t>
      </w:r>
      <w:r>
        <w:rPr>
          <w:color w:val="000000"/>
        </w:rPr>
        <w:t xml:space="preserve"> </w:t>
      </w:r>
      <w:r>
        <w:rPr>
          <w:rFonts w:ascii="Arial;sans-serif" w:hAnsi="Arial;sans-serif"/>
          <w:b w:val="false"/>
          <w:color w:val="000000"/>
          <w:sz w:val="20"/>
        </w:rPr>
        <w:t>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ending March 31, 2025 through December 31, 2025, stepping down to 4.00</w:t>
      </w:r>
      <w:r>
        <w:rPr>
          <w:color w:val="000000"/>
        </w:rPr>
        <w:t xml:space="preserve"> </w:t>
      </w:r>
      <w:r>
        <w:rPr>
          <w:rFonts w:ascii="Arial;sans-serif" w:hAnsi="Arial;sans-serif"/>
          <w:b w:val="false"/>
          <w:color w:val="000000"/>
          <w:sz w:val="20"/>
        </w:rPr>
        <w:t>to 1.0 for the test periods ending March 31, 2026 through December 31, 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w:t>
      </w:r>
      <w:r>
        <w:rPr>
          <w:color w:val="000000"/>
        </w:rPr>
        <w:t xml:space="preserve"> </w:t>
      </w:r>
      <w:r>
        <w:rPr>
          <w:rFonts w:ascii="Arial;sans-serif" w:hAnsi="Arial;sans-serif"/>
          <w:b w:val="false"/>
          <w:color w:val="000000"/>
          <w:sz w:val="20"/>
        </w:rPr>
        <w:t xml:space="preserve">of revenues during such test period.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2025, the principal amount outstanding under the 2030 Senior Notes was $236.9. On a net basis, after taking into consideration unamortized debt issuance costs and original issue discount for the 2030 Senior Notes, total debt related to the 2030 Senior Notes as of June 30, 2025 was $213.7. The effective interest rate under the 2030 Senior Notes was approximately 13.81% on June 30, 2025. Accrued interest related to the 2030 Senior Notes was $0.0 as of June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termination thereof,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 On March 12, 2025, in connection with the completion of the Refinancing, the Prior ABL Facility was repaid in full using borrowings under the New ABL Facility and the commitments thereunder terminated.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ABL Facility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w:t>
      </w:r>
      <w:r>
        <w:rPr>
          <w:color w:val="000000"/>
        </w:rPr>
        <w:t xml:space="preserve"> </w:t>
      </w:r>
      <w:r>
        <w:rPr>
          <w:rFonts w:ascii="Arial;sans-serif" w:hAnsi="Arial;sans-serif"/>
          <w:b w:val="false"/>
          <w:color w:val="000000"/>
          <w:sz w:val="20"/>
        </w:rPr>
        <w:t xml:space="preserve">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initial funding under the New ABL Facility occurred on March 12, 2025, and the proceeds therefrom were used to repay the Prior ABL Facility in full. After giving effect to the foregoing, we had approximately $39.9</w:t>
      </w:r>
      <w:r>
        <w:rPr>
          <w:color w:val="000000"/>
        </w:rPr>
        <w:t xml:space="preserve"> </w:t>
      </w:r>
      <w:r>
        <w:rPr>
          <w:rFonts w:ascii="Arial;sans-serif" w:hAnsi="Arial;sans-serif"/>
          <w:b w:val="false"/>
          <w:color w:val="000000"/>
          <w:sz w:val="20"/>
        </w:rPr>
        <w:t>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Our New ABL Facility matures in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2025, the borrowings outstanding under the New ABL Facility were $45.0. The effective interest rate under the New ABL Facility was approximately 9.06% on June 30, 2025. Accrued interest related to the New ABL Facility was $0.4 as of June 30,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funds available under the New ABL Facility of $48.7 on the borrowing base certificate, which includes the undrawn availability on the FILO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standby letters of credit to facilitate commercial transactions with third parties and to secure our performance to certain vendors. Total letters of credit outstanding under the New ABL Facility were $6.2 at June 30, 2025 and under the Prior ABL Facility were $6.5 at December 31, 2024. To the extent liabilities are incurred as a result of the activities covered by the letters of credit, such liabilities are included on the accompanying consolidated balance sheets. Restricted cash on the balance sheet is largely tied to cash collateralized letters of credit as we shift from our Prior ABL Facility to the New ABL Facility. As of the date of filing, $0.6 of the restricted cash remains restricted.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2025, the Company had $4.9 of outstanding short-term indebtedness related to the financing of various insurance premiums, which is included in the Accrued liabilities line item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restricted cash, accounts receivable-trade and accounts payable represent their respective fair values due to their short-term nature. There was $45.0 debt outstanding under the New ABL Facility as of June 30, 2025. The fair value of the New ABL Facility approximates its carrying value as of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June 30, 2025 and December 31, 2024:</w:t>
      </w:r>
    </w:p>
    <w:p>
      <w:pPr>
        <w:pStyle w:val="TextBody"/>
        <w:bidi w:val="0"/>
        <w:spacing w:before="0" w:after="0"/>
        <w:jc w:val="both"/>
        <w:rPr/>
      </w:pPr>
      <w:r>
        <w:rPr/>
      </w:r>
    </w:p>
    <w:tbl>
      <w:tblPr>
        <w:tblW w:w="7779" w:type="dxa"/>
        <w:jc w:val="left"/>
        <w:tblInd w:w="0" w:type="dxa"/>
        <w:tblLayout w:type="fixed"/>
        <w:tblCellMar>
          <w:top w:w="28" w:type="dxa"/>
          <w:left w:w="28" w:type="dxa"/>
          <w:bottom w:w="28" w:type="dxa"/>
          <w:right w:w="28" w:type="dxa"/>
        </w:tblCellMar>
      </w:tblPr>
      <w:tblGrid>
        <w:gridCol w:w="856"/>
        <w:gridCol w:w="753"/>
        <w:gridCol w:w="760"/>
        <w:gridCol w:w="291"/>
        <w:gridCol w:w="849"/>
        <w:gridCol w:w="150"/>
        <w:gridCol w:w="109"/>
        <w:gridCol w:w="109"/>
        <w:gridCol w:w="109"/>
        <w:gridCol w:w="259"/>
        <w:gridCol w:w="499"/>
        <w:gridCol w:w="134"/>
        <w:gridCol w:w="134"/>
        <w:gridCol w:w="134"/>
        <w:gridCol w:w="134"/>
        <w:gridCol w:w="259"/>
        <w:gridCol w:w="499"/>
        <w:gridCol w:w="134"/>
        <w:gridCol w:w="134"/>
        <w:gridCol w:w="134"/>
        <w:gridCol w:w="134"/>
        <w:gridCol w:w="259"/>
        <w:gridCol w:w="757"/>
        <w:gridCol w:w="189"/>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8258" w:type="dxa"/>
        <w:jc w:val="left"/>
        <w:tblInd w:w="0" w:type="dxa"/>
        <w:tblLayout w:type="fixed"/>
        <w:tblCellMar>
          <w:top w:w="28" w:type="dxa"/>
          <w:left w:w="28" w:type="dxa"/>
          <w:bottom w:w="28" w:type="dxa"/>
          <w:right w:w="28" w:type="dxa"/>
        </w:tblCellMar>
      </w:tblPr>
      <w:tblGrid>
        <w:gridCol w:w="856"/>
        <w:gridCol w:w="753"/>
        <w:gridCol w:w="760"/>
        <w:gridCol w:w="397"/>
        <w:gridCol w:w="1165"/>
        <w:gridCol w:w="207"/>
        <w:gridCol w:w="109"/>
        <w:gridCol w:w="109"/>
        <w:gridCol w:w="109"/>
        <w:gridCol w:w="259"/>
        <w:gridCol w:w="499"/>
        <w:gridCol w:w="134"/>
        <w:gridCol w:w="134"/>
        <w:gridCol w:w="134"/>
        <w:gridCol w:w="134"/>
        <w:gridCol w:w="259"/>
        <w:gridCol w:w="757"/>
        <w:gridCol w:w="134"/>
        <w:gridCol w:w="134"/>
        <w:gridCol w:w="134"/>
        <w:gridCol w:w="134"/>
        <w:gridCol w:w="259"/>
        <w:gridCol w:w="499"/>
        <w:gridCol w:w="189"/>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 Property and Equipment, Net, based on sales contracts and comparative price quotes, as of June 30, 2025 and December 31, 2024:</w:t>
      </w:r>
    </w:p>
    <w:p>
      <w:pPr>
        <w:pStyle w:val="TextBody"/>
        <w:bidi w:val="0"/>
        <w:spacing w:before="0" w:after="0"/>
        <w:jc w:val="both"/>
        <w:rPr/>
      </w:pPr>
      <w:r>
        <w:rPr/>
      </w:r>
    </w:p>
    <w:tbl>
      <w:tblPr>
        <w:tblW w:w="8136" w:type="dxa"/>
        <w:jc w:val="left"/>
        <w:tblInd w:w="0" w:type="dxa"/>
        <w:tblLayout w:type="fixed"/>
        <w:tblCellMar>
          <w:top w:w="28" w:type="dxa"/>
          <w:left w:w="28" w:type="dxa"/>
          <w:bottom w:w="28" w:type="dxa"/>
          <w:right w:w="28" w:type="dxa"/>
        </w:tblCellMar>
      </w:tblPr>
      <w:tblGrid>
        <w:gridCol w:w="803"/>
        <w:gridCol w:w="705"/>
        <w:gridCol w:w="712"/>
        <w:gridCol w:w="375"/>
        <w:gridCol w:w="721"/>
        <w:gridCol w:w="193"/>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2025, the before-tax loss related to Assets Held for Sale was $0.4 and $0.4. During the three and six months ended June 30, 2024, there was no before-tax loss (gain) related to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Equity and 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During the three and six months ended June 30, 2025, the Company sold 25,000 and 167,769</w:t>
      </w:r>
      <w:r>
        <w:rPr>
          <w:color w:val="000000"/>
        </w:rPr>
        <w:t xml:space="preserve"> </w:t>
      </w:r>
      <w:r>
        <w:rPr>
          <w:rFonts w:ascii="Arial;sans-serif" w:hAnsi="Arial;sans-serif"/>
          <w:b w:val="false"/>
          <w:color w:val="000000"/>
          <w:sz w:val="20"/>
        </w:rPr>
        <w:t>shares of Common Stock, respectively, in exchange for gross proceeds of approximately $0.1 and $0.6,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2024, the Company did not sell any shares of Common Stock and incurred legal and administrative fees of $0.1 and $0.2,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six months ended June 30, 2025 and June 30, 2024 was related to grants of restricted stock as approved by the Compensation Committee. Stock-based compensation was $0.6 and $1.0 for the three months ended June 30, 2025 and 2024, respectively, and $1.4 and $1.9 for the six months ended June 30, 2025 and 2024, respectively. Unrecognized compensation cost related to restricted stock awards made by the Company was $4.5 at June 30, 2025 and $3.9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$0.2 and $0.2 for the three months ended June 30, 2025 and 2024, respectively, and $0.4 and $0.4 for the six months ended June 30, 2025 and 2024, respectively, and was comprised primarily of state and local taxes. The Company has a full valuation allowance recorded against its net deferred tax assets and, as a result, it was unable to recognize a federal tax benefit on its year-to-date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4, 2025, President Trump signed into law the legislation known as the One Big Beautiful Bill Act (“OBBBA”).  The OBBBA permanently extends several key expiring provisions from the Tax Cut and Jobs Act of 2017, including 100% bonus depreciation, domestic research cost expensing and the business interest expense limitation.  “Accounting Standards Codification on Income Taxes” (Topic 740) requires the effects of changes of new income tax legislation to be recognized in the period in which the legislation is enacted.  Because the enactment date is outside the current reporting period, only a disclosure of the impact to the financial statements is required.  Accordingly, the Company does not expect a material change to the financial statements from the OBBBA due to the full valuation allowance recorded against its net deferred tax assets.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capital expenditures and acquisition funding to the Chief Operating Decision Maker (“CODM”). The Company's CODM is our Chief Executive Officer. As a result, the Company has three reportable segments.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revenues, significant expenses and operating (loss) income by reportable segment:</w:t>
      </w:r>
    </w:p>
    <w:p>
      <w:pPr>
        <w:pStyle w:val="TextBody"/>
        <w:bidi w:val="0"/>
        <w:spacing w:before="0" w:after="0"/>
        <w:jc w:val="left"/>
        <w:rPr/>
      </w:pPr>
      <w:r>
        <w:rPr/>
      </w:r>
    </w:p>
    <w:p>
      <w:pPr>
        <w:pStyle w:val="TextBody"/>
        <w:bidi w:val="0"/>
        <w:spacing w:before="0" w:after="0"/>
        <w:jc w:val="left"/>
        <w:rPr/>
      </w:pPr>
      <w:r>
        <w:rPr/>
      </w:r>
    </w:p>
    <w:tbl>
      <w:tblPr>
        <w:tblW w:w="1256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1301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research and development costs, allocations and other expenses.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present revenues by service offering by reportable segment:</w:t>
      </w:r>
    </w:p>
    <w:p>
      <w:pPr>
        <w:pStyle w:val="TextBody"/>
        <w:bidi w:val="0"/>
        <w:spacing w:before="0" w:after="0"/>
        <w:jc w:val="both"/>
        <w:rPr/>
      </w:pPr>
      <w:r>
        <w:rPr/>
      </w:r>
    </w:p>
    <w:tbl>
      <w:tblPr>
        <w:tblW w:w="11994" w:type="dxa"/>
        <w:jc w:val="left"/>
        <w:tblInd w:w="0" w:type="dxa"/>
        <w:tblLayout w:type="fixed"/>
        <w:tblCellMar>
          <w:top w:w="28" w:type="dxa"/>
          <w:left w:w="28" w:type="dxa"/>
          <w:bottom w:w="28" w:type="dxa"/>
          <w:right w:w="28" w:type="dxa"/>
        </w:tblCellMar>
      </w:tblPr>
      <w:tblGrid>
        <w:gridCol w:w="352"/>
        <w:gridCol w:w="309"/>
        <w:gridCol w:w="31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12444" w:type="dxa"/>
        <w:jc w:val="left"/>
        <w:tblInd w:w="0" w:type="dxa"/>
        <w:tblLayout w:type="fixed"/>
        <w:tblCellMar>
          <w:top w:w="28" w:type="dxa"/>
          <w:left w:w="28" w:type="dxa"/>
          <w:bottom w:w="28" w:type="dxa"/>
          <w:right w:w="28" w:type="dxa"/>
        </w:tblCellMar>
      </w:tblPr>
      <w:tblGrid>
        <w:gridCol w:w="352"/>
        <w:gridCol w:w="309"/>
        <w:gridCol w:w="315"/>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111" w:type="dxa"/>
        <w:jc w:val="left"/>
        <w:tblInd w:w="0" w:type="dxa"/>
        <w:tblLayout w:type="fixed"/>
        <w:tblCellMar>
          <w:top w:w="28" w:type="dxa"/>
          <w:left w:w="28" w:type="dxa"/>
          <w:bottom w:w="28" w:type="dxa"/>
          <w:right w:w="28" w:type="dxa"/>
        </w:tblCellMar>
      </w:tblPr>
      <w:tblGrid>
        <w:gridCol w:w="608"/>
        <w:gridCol w:w="535"/>
        <w:gridCol w:w="537"/>
        <w:gridCol w:w="291"/>
        <w:gridCol w:w="849"/>
        <w:gridCol w:w="150"/>
        <w:gridCol w:w="109"/>
        <w:gridCol w:w="109"/>
        <w:gridCol w:w="109"/>
        <w:gridCol w:w="390"/>
        <w:gridCol w:w="1138"/>
        <w:gridCol w:w="28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cash capital expenditures by reportable segment:</w:t>
      </w:r>
    </w:p>
    <w:tbl>
      <w:tblPr>
        <w:tblW w:w="9017" w:type="dxa"/>
        <w:jc w:val="left"/>
        <w:tblInd w:w="0" w:type="dxa"/>
        <w:tblLayout w:type="fixed"/>
        <w:tblCellMar>
          <w:top w:w="28" w:type="dxa"/>
          <w:left w:w="28" w:type="dxa"/>
          <w:bottom w:w="28" w:type="dxa"/>
          <w:right w:w="28" w:type="dxa"/>
        </w:tblCellMar>
      </w:tblPr>
      <w:tblGrid>
        <w:gridCol w:w="868"/>
        <w:gridCol w:w="764"/>
        <w:gridCol w:w="767"/>
        <w:gridCol w:w="327"/>
        <w:gridCol w:w="793"/>
        <w:gridCol w:w="169"/>
        <w:gridCol w:w="109"/>
        <w:gridCol w:w="109"/>
        <w:gridCol w:w="109"/>
        <w:gridCol w:w="327"/>
        <w:gridCol w:w="793"/>
        <w:gridCol w:w="169"/>
        <w:gridCol w:w="109"/>
        <w:gridCol w:w="109"/>
        <w:gridCol w:w="109"/>
        <w:gridCol w:w="327"/>
        <w:gridCol w:w="793"/>
        <w:gridCol w:w="169"/>
        <w:gridCol w:w="109"/>
        <w:gridCol w:w="109"/>
        <w:gridCol w:w="109"/>
        <w:gridCol w:w="327"/>
        <w:gridCol w:w="793"/>
        <w:gridCol w:w="16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expenditures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Net Loss Per Common Share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June 30, 2025 and 2024, 0.8 million shares and 0.7 million shares of the Company’s Common Stock, respectively, and for the six months ended June 30, 2025 and 2024, 0.7 million shares and 0.4 million shares of the Company’s Common Stock, respectively,</w:t>
      </w:r>
      <w:r>
        <w:rPr>
          <w:color w:val="000000"/>
        </w:rPr>
        <w:t xml:space="preserve"> </w:t>
      </w:r>
      <w:r>
        <w:rPr>
          <w:rFonts w:ascii="Arial;sans-serif" w:hAnsi="Arial;sans-serif"/>
          <w:b w:val="false"/>
          <w:color w:val="000000"/>
          <w:sz w:val="20"/>
        </w:rPr>
        <w:t>were excluded from the determination of diluted net loss per common share because their effect would have been anti-dilutive. The computations of basic and diluted net loss per share for the three and six months ended June 30, 2025 and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26"/>
        <w:gridCol w:w="1156"/>
        <w:gridCol w:w="1173"/>
        <w:gridCol w:w="296"/>
        <w:gridCol w:w="821"/>
        <w:gridCol w:w="153"/>
        <w:gridCol w:w="109"/>
        <w:gridCol w:w="109"/>
        <w:gridCol w:w="109"/>
        <w:gridCol w:w="296"/>
        <w:gridCol w:w="821"/>
        <w:gridCol w:w="153"/>
        <w:gridCol w:w="109"/>
        <w:gridCol w:w="109"/>
        <w:gridCol w:w="109"/>
        <w:gridCol w:w="296"/>
        <w:gridCol w:w="821"/>
        <w:gridCol w:w="153"/>
        <w:gridCol w:w="109"/>
        <w:gridCol w:w="109"/>
        <w:gridCol w:w="109"/>
        <w:gridCol w:w="296"/>
        <w:gridCol w:w="821"/>
        <w:gridCol w:w="153"/>
        <w:gridCol w:w="109"/>
        <w:gridCol w:w="109"/>
        <w:gridCol w:w="109"/>
        <w:gridCol w:w="162"/>
      </w:tblGrid>
      <w:tr>
        <w:trPr/>
        <w:tc>
          <w:tcPr>
            <w:tcW w:w="13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common share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common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2024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market volatility,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the conflict with Iran;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liquidity levels and 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supply, demand and costs of equipment, including as a result of tariffs;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terrorist or cyber 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and subsequent variants;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2024</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and six months ended June 30, 2025, as compared to our results of operations for the three and six months ended June 30, 2024. In addition, the discussion and analysis addresses our liquidity, financial condition and other matters for these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including $1.7 in cash remaining at Greene's, which was subsequently adjusted to $1.1 due to a $0.6 working capital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37 patents and 8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So far in 2025, factors affecting oil prices have included instability and conflict in the Middle East, output increases from the largest oil-producing countries and changes in the growth rate of the U.S. and world economies. Oil and natural gas prices have been, and may remain, volatile, which impacts demand for our business. West Texas Intermediate’s (“WTI") average daily price per barrel decreased by approximately 10.0%, to $64.57 per Bbl during the three months ended June 30, 2025, compared to the WTI average daily price per barrel of $71.78 per Bbl during the three months ended March 31, 2025. In early April 2025, after the introduction of tariffs by the U.S. government and an announced increase in production from the Organization of the Petroleum Exporting Countries and its allies (“OPEC+”), the price of oil dropped by approximately 15%, from $71.87 per Bbl to $61.05 per Bbl. In early July 2025, OPEC+ announced an additional production increase of about 548 thousand barrels per day. Per the U.S. Energy Information Administration, U.S. crude oil production is expected to remain relatively constant between the second quarter of 2025 and the fourth quarter of 2026, declining by less than 1%. Natural gas prices have increased to a recent high point in early 2025, before decreasing in the second quarter of 2025 near the two-year average. As of June 30, 2025, U.S. land rig count stood at 533, a decrease of 7.0% compared to December 31, 2024, when the U.S. land rig count was 573.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2025, assuming economic activity holds at the recent level and commodity prices remain volatile, we anticipate that our customers will continue to cautiously allocate capital. So far in the year ending December 31, 2025, WTI prices have increased slightly in the first quarter, before suddenly decreasing due to the above events, making it difficult to anticipate future changes in price. Currently, global oil flows supplied from OPEC+ and other oil producing nations are expected to increase and therefore put downwards pricing pressure globally. As oil price remains above the break-even level for most operators, we expect the industry to retain a cautious approach to drilling and completion expansion.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and natural gas prices may fluctuate with changes in demand due to, among other things, the ongoing war in Ukraine, the Israel-Hamas conflict, the conflict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the imposition of increased, new and retaliatory tariffs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Demand for services in the oil and natural gas industry is cyclical and subject to sudden and significant volatility. We remain focused on serving the needs of our customers by providing a broad portfolio of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June 30, 2025 Compared to Three Months Ended June 30, 2024</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012"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414"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2025, revenues were $159.0, a decrease of $21.2, or 11.8%, as compared with the prior year period. The overall decrease in revenues reflects a decline in activity during the quarter, leading to lower demand for our services. Lower weighted average price contributed to approximately 19% of the $21.2 decrease, and lower weighted average volume contributed to the remaining approximately 81%. On a segment basis, Rocky Mountains segment revenue decreased by $7.3 or 11.9%. Lower weighted average price contributed to approximately 15% of the dollar decrease, and lower weighted average volume contributed to the remaining approximately 85%. Southwest segment revenue decreased by $11.1 or 15.9%. Lower weighted average volume contributed to approximately all of the dollar decrease. Northeast/Mid-Con segment revenue decreased by $2.8 or 5.7%. Lower weighted average price contributed to approximately 45% of the dollar decrease, and lower weighted average volume contributed to the remaining approximately 55%.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June 30, 2025, cost of sales were $125.6, or 79.0% of sales, as compared to the three months ended June 30, 2024 of $136.0, or 75.5% of sales. Cost of sales as a percentage of revenues increased primarily due to lower leverage of fixed costs during the quarter. The two largest components of cost of sales are labor and repair &amp; maintenance. As cost of sales as a percentage of revenues increased, labor costs per employee remained flat as compared with the three months ended June 30, 2024. Repair &amp; maintenance costs as a percentage of revenues increased by 2.8% as compared to the three months ended June 30, 2024, due to the higher pricing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June 30, 2025, SG&amp;A expenses were $18.0, or 11.3% of revenues, as compared with $19.3, or 10.7% of revenues, in the prior year period. SG&amp;A expenses and revenues decreased at a similar rate during the quarter, which caused the percentage of revenues to remain the same compared to the three months ended June 30,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7919"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353"/>
        <w:gridCol w:w="830"/>
        <w:gridCol w:w="182"/>
        <w:gridCol w:w="109"/>
        <w:gridCol w:w="109"/>
        <w:gridCol w:w="109"/>
        <w:gridCol w:w="334"/>
        <w:gridCol w:w="858"/>
        <w:gridCol w:w="172"/>
        <w:gridCol w:w="109"/>
        <w:gridCol w:w="109"/>
        <w:gridCol w:w="109"/>
        <w:gridCol w:w="299"/>
        <w:gridCol w:w="301"/>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2025, operating loss was $8.7 compared to operating income of $1.4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broadly declined as a function of lower revenues compared to the prior year period. Rocky Mountains segment operating income was $3.3, Southwest segment operating loss was $1.7, and Northeast/Mid-Con segment operating loss was $1.3 for the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June 30, 2025, income tax expense was $0.2, consistent with income tax expense of $0.2 in the prior year period, and was comprised primarily of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quarter ended June 30, 2025, net loss was $19.9, as compared to net loss of $8.0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Six Months Ended June 30, 2025 Compared to Six Months Ended June 30, 2024</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012"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414"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2025, revenues were $313.0, a decrease of $41.9, or 11.8%, as compared with the prior year period. The overall decrease in revenues reflects a decline in activity during the six months ended, leading to lower demand for our services. Lower weighted average price contributed to approximately 33% of the $41.9 decrease, and lower weighted average volume contributed to the remaining approximately 67%. On a segment basis, Rocky Mountains segment revenue decreased by $5.1 or 4.8%. This decrease was driven predominantly by a decrease in weighted average price. Southwest segment revenue decreased by $15.3 or 11.0%. This decrease was driven entirely by a decrease in weighted average volume. Northeast/Mid-Con segment revenue decreased by $21.5 or 19.8%. Lower weighted average volume contributed to approximately all of the dollar decrease.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six months ended June 30, 2025, cost of sales were $249.4, or 79.7% of sales, as compared to the six months ended June 30, 2024 of $280.0, or 78.9% of sales. Cost of sales as a percentage of revenues increased primarily due to lower leverage of fixed costs during the six months ended. The two largest components of cost of sales are labor and repair &amp; maintenance. As cost of sales as a percentage of revenues increased, labor costs per employee decreased by (0.9)% as compared with the six months ended June 30, 2024. Repair &amp; maintenance costs as a percentage of revenues decreased by (4.3)% as compared to the six months ended June 30, 2024, due to lower utilization during the six months ended.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six months ended June 30, 2025, SG&amp;A expenses were $39.6, or 12.7% of revenues, as compared with $40.9, or 11.5% of revenues, in the prior year period. The increase in percentage of revenues is due to the lower revenues and lower leverage of fixed costs during the six months ended, as SG&amp;A decreased at a lower rate than revenues compared to the six months ended June 30,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7962"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312"/>
        <w:gridCol w:w="891"/>
        <w:gridCol w:w="161"/>
        <w:gridCol w:w="109"/>
        <w:gridCol w:w="109"/>
        <w:gridCol w:w="109"/>
        <w:gridCol w:w="312"/>
        <w:gridCol w:w="891"/>
        <w:gridCol w:w="161"/>
        <w:gridCol w:w="109"/>
        <w:gridCol w:w="109"/>
        <w:gridCol w:w="109"/>
        <w:gridCol w:w="433"/>
        <w:gridCol w:w="437"/>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(9,300.0)</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2025, operating loss was $26.4 compared to operating loss of $11.7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$3.1, Southwest segment operating income was $1.3, and Northeast/Mid-Con segment operating loss was $9.4 for the six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six months ended June 30, 2025, income tax expense was $0.4, compared to income tax expense of $0.4 in the prior year period, and was comprised primarily of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six months ended June 30, 2025, net loss was $47.8, as compared to net loss of $30.2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(as defined below) and New ABL Facility (as defined below) and cash flows from operations. At June 30, 2025, we had $16.7 of cash and cash equivalents, and $48.7 available on the New ABL Facility Borrowing Base Certificate, which resulted in a total liquidity position of $65.4.</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efficiencies gained from the QES Merger, equity issuances under our ATM Offering program, debt-for-equity exchanges that have reduced interest burden and monetized non-core and obsolete assets. Most recently, we completed a refinancing of our long-term indebtedness on March 12, 2025, as described in greater detail under “—Refinancing”, “—ABL Facilities—New ABL Facility” and “—Senior Secured Notes—2030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ability to pay the principal and interest on our debt and to satisfy our other liabilities will depend on our future operating performance. Our future operating performance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 result in increased interest expense and financial leverage, and issuing Common Stock may result in dilution to our current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New ABL Facility and our cash flows will provide us with the ability to fund our operations for at least the next twelve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termination thereof,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 On March 12, 2025, in connection with the completion of the Refinancing, the Prior ABL Facility was repaid in full using borrowings under the New ABL Facility and the commitments thereunder terminated.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ABL Facility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w:t>
      </w:r>
      <w:r>
        <w:rPr>
          <w:color w:val="000000"/>
        </w:rPr>
        <w:t xml:space="preserve"> </w:t>
      </w:r>
      <w:r>
        <w:rPr>
          <w:rFonts w:ascii="Arial;sans-serif" w:hAnsi="Arial;sans-serif"/>
          <w:b w:val="false"/>
          <w:color w:val="000000"/>
          <w:sz w:val="20"/>
        </w:rPr>
        <w:t xml:space="preserve">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The initial funding under the New ABL Facility occurred on March 12, 2025, and the proceeds therefrom were used to repay the Prior ABL Facility in full. After giving effect to the foregoing, we had approximately $39.9</w:t>
      </w:r>
      <w:r>
        <w:rPr>
          <w:color w:val="000000"/>
        </w:rPr>
        <w:t xml:space="preserve"> </w:t>
      </w:r>
      <w:r>
        <w:rPr>
          <w:rFonts w:ascii="Arial;sans-serif" w:hAnsi="Arial;sans-serif"/>
          <w:b w:val="false"/>
          <w:color w:val="000000"/>
          <w:sz w:val="20"/>
        </w:rPr>
        <w:t>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Our New ABL Facility matures in 2028.</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2025, the borrowings outstanding under the New ABL Facility were $45.0, a decrease of $10.0 from March 31, 2025. The effective interest rate under the New ABL Facility was approximately 9.06% on June 30, 2025. Accrued interest related to the New ABL Facility was $0.4 as of June 30,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Services, LLC in 2018, we issued $250.0 principal amount of the 2025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approximately $143.6 aggregate principal amount of the 2025 Senior Notes were exchanged in connection with the Refinancing, and the Company deposited $97.1</w:t>
      </w:r>
      <w:r>
        <w:rPr>
          <w:color w:val="000000"/>
        </w:rPr>
        <w:t xml:space="preserve"> </w:t>
      </w:r>
      <w:r>
        <w:rPr>
          <w:rFonts w:ascii="Arial;sans-serif" w:hAnsi="Arial;sans-serif"/>
          <w:b w:val="false"/>
          <w:color w:val="000000"/>
          <w:sz w:val="20"/>
        </w:rPr>
        <w:t xml:space="preserve">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(the “2025 Senior Notes Indenture”) was satisfied and discharged in accordance with its terms and, as a result thereof, the Company has been released from its obligations under the 2025 Senior Notes and the 2025 Senior Notes Indenture except with respect to those provisions of the 2025 Senior Notes Indenture that, by their terms, survive the satisfaction and discharge of thereof.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 xml:space="preserve">basis point premium for any period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Company will be required to redeem the 2030 Senior Notes in an amount equal to 2.00%</w:t>
      </w:r>
      <w:r>
        <w:rPr>
          <w:color w:val="000000"/>
        </w:rPr>
        <w:t xml:space="preserve"> </w:t>
      </w:r>
      <w:r>
        <w:rPr>
          <w:rFonts w:ascii="Arial;sans-serif" w:hAnsi="Arial;sans-serif"/>
          <w:b w:val="false"/>
          <w:color w:val="000000"/>
          <w:sz w:val="20"/>
        </w:rPr>
        <w:t>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ending March 31, 2025 through December 31, 2025, stepping down to 4.00</w:t>
      </w:r>
      <w:r>
        <w:rPr>
          <w:color w:val="000000"/>
        </w:rPr>
        <w:t xml:space="preserve"> </w:t>
      </w:r>
      <w:r>
        <w:rPr>
          <w:rFonts w:ascii="Arial;sans-serif" w:hAnsi="Arial;sans-serif"/>
          <w:b w:val="false"/>
          <w:color w:val="000000"/>
          <w:sz w:val="20"/>
        </w:rPr>
        <w:t>to 1.0 for the test periods ending March 31, 2026 through December 31, 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w:t>
      </w:r>
      <w:r>
        <w:rPr>
          <w:color w:val="000000"/>
        </w:rPr>
        <w:t xml:space="preserve"> </w:t>
      </w:r>
      <w:r>
        <w:rPr>
          <w:rFonts w:ascii="Arial;sans-serif" w:hAnsi="Arial;sans-serif"/>
          <w:b w:val="false"/>
          <w:color w:val="000000"/>
          <w:sz w:val="20"/>
        </w:rPr>
        <w:t xml:space="preserve">of revenues during such test period.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2025, the principal amount outstanding under the 2030 Senior Notes was $236.9. On a net basis, after taking into consideration unamortized debt issuance costs and original issue discount for the 2030 Senior Notes, total debt related to the 2030 Senior Notes as of June 30, 2025 was $213.7. The effective interest rate under the 2030 Senior Notes was approximately 13.81% on June 30, 2025. Accrued interest related to the 2030 Senior Notes was $0.0 as of June 30,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standby letters of credit to facilitate commercial transactions with third parties and to secure our performance to certain vendors. Total letters of credit outstanding under the New ABL Facility were $6.2 at June 30, 2025 and under the Prior ABL Facility were $6.5 at December 31, 2024. To the extent liabilities are incurred as a result of the activities covered by the letters of credit, such liabilities are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accompanying consolidated balance sheets. Restricted cash on the balance sheet is largely tied to cash collateralized letters of credit as we shift from our Prior ABL Facility to the New ABL Facility. As of the date of filing, $0.6 of the restricted cash remains restricted.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2025, the Company had $4.9 of outstanding short-term indebtedness related to the financing of various insurance premiums, which is included in the Accrued liabilities line item in the balance sheet.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$27.7 during the six months ended June 30, 2025, compared to $28.8 in the six months ended June 30, 2024. We offset $6.4 of capital spending during the six months ended June 30, 2025 with the same amount of proceeds from asset sales. Based on current industry conditions and our significant investments in capital expenditures over the past several years, we expect to incur between $40.0 and $50.0 in total capital expenditures for the year ending December 31, 2025.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$57.75 (which amount includes all of the Common Stock previously sold pursuant to the Equity Distribution Agreement prior to the EDA Amendment) and provides for the Company's election not to deliver a placement notice. Under the terms of the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During the three and six months ended June 30, 2025, the Company sold 25,000 and 167,769</w:t>
      </w:r>
      <w:r>
        <w:rPr>
          <w:color w:val="000000"/>
        </w:rPr>
        <w:t xml:space="preserve"> </w:t>
      </w:r>
      <w:r>
        <w:rPr>
          <w:rFonts w:ascii="Arial;sans-serif" w:hAnsi="Arial;sans-serif"/>
          <w:b w:val="false"/>
          <w:color w:val="000000"/>
          <w:sz w:val="20"/>
        </w:rPr>
        <w:t>shares of Common Stock, respectively, in exchange for gross proceeds of approximately $0.1 and $0.6,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2024, the Company did not sell any shares of Common Stock and incurred legal and administrative fees of $0.1 and $0.2,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used in operating activities for the six months ended June 30, 2025 were approximately $18.5 as compared to approximately $11.4 provided by operating activities for the six months ended June 30, 2024.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At June 30, 2025, we had $16.7 of cash and cash equivalents and $0.6</w:t>
      </w:r>
      <w:r>
        <w:rPr>
          <w:color w:val="000000"/>
        </w:rPr>
        <w:t xml:space="preserve"> </w:t>
      </w:r>
      <w:r>
        <w:rPr>
          <w:rFonts w:ascii="Arial;sans-serif" w:hAnsi="Arial;sans-serif"/>
          <w:b w:val="false"/>
          <w:color w:val="000000"/>
          <w:sz w:val="20"/>
        </w:rPr>
        <w:t>of restricted cash. Cash on hand at June 30, 2025 decreased by $74.3, as a result of $18.5 of cash flows used in operating activities, $21.3 of cash flows used in investing activities and $34.5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9982" w:type="dxa"/>
        <w:jc w:val="left"/>
        <w:tblInd w:w="0" w:type="dxa"/>
        <w:tblLayout w:type="fixed"/>
        <w:tblCellMar>
          <w:top w:w="28" w:type="dxa"/>
          <w:left w:w="28" w:type="dxa"/>
          <w:bottom w:w="28" w:type="dxa"/>
          <w:right w:w="28" w:type="dxa"/>
        </w:tblCellMar>
      </w:tblPr>
      <w:tblGrid>
        <w:gridCol w:w="2218"/>
        <w:gridCol w:w="1943"/>
        <w:gridCol w:w="1958"/>
        <w:gridCol w:w="109"/>
        <w:gridCol w:w="109"/>
        <w:gridCol w:w="109"/>
        <w:gridCol w:w="312"/>
        <w:gridCol w:w="891"/>
        <w:gridCol w:w="161"/>
        <w:gridCol w:w="109"/>
        <w:gridCol w:w="109"/>
        <w:gridCol w:w="109"/>
        <w:gridCol w:w="334"/>
        <w:gridCol w:w="858"/>
        <w:gridCol w:w="172"/>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operating activities was $18.5 for the six months ended June 30, 2025, as compared to net cash provided by operating activities of $11.4 for the six months ended June 30, 2024. The negative operating cash flows were attributable to the net loss position and an increase in days receivable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$21.3 for the six months ended June 30, 2025, as compared to net cash used in investing activities of $22.2 for the six months ended June 30, 2024. The cash flows used in investing activities for the six months ended June 30, 2025 were primarily driven by maintenance capital spending tied to the operation of our existing asset base offset by sales of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Net cash used in financing activities was $34.5 for the six months ended June 30, 2025, compared to net cash used in financing activities of $14.8 for the six months ended June 30, 2024. We refinanced both our 2025 Senior Notes and Prior ABL Facility during the six months ended June 30, 2025, which brought additional cash outlays. We also restarted sales under our ATM Offering program, which generated proceeds of $0.6 during the six months ended June 30, 2025</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2024 Annual Report on Form 10-K filed with the SEC on March 13,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June 30, 2025,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June 30,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center"/>
        <w:tblInd w:w="0" w:type="dxa"/>
        <w:tblLayout w:type="fixed"/>
        <w:tblCellMar>
          <w:top w:w="28" w:type="dxa"/>
          <w:left w:w="28" w:type="dxa"/>
          <w:bottom w:w="28" w:type="dxa"/>
          <w:right w:w="28" w:type="dxa"/>
        </w:tblCellMar>
      </w:tblPr>
      <w:tblGrid>
        <w:gridCol w:w="298"/>
        <w:gridCol w:w="262"/>
        <w:gridCol w:w="265"/>
        <w:gridCol w:w="1362"/>
        <w:gridCol w:w="1362"/>
        <w:gridCol w:w="1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 (U.S. dollars in millions)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9, 2021, the Company filed claims in the District Court of Harris County, Texas against Magellan E&amp;P Holdings, Inc. (“Magellan”), Redmon-Keys Insurance Group, Inc. (“Redmon-Keys”) and certain underwriters at Lloyd's (the “Magellan Underwriters”) to recover $4.6 owed on invoices duly issued by the Company for services rendered on behalf of the defendants in response to an offshore well blowout near Bob Hall Pier in Corpus Christi, Texas. On March 30, 2021, Magellan filed for bankruptcy pursuant to Chapter 7 of the U.S. bankruptcy code. During the fiscal year ended January 31, 2021, the Company reserved the full amount of its invoices totaling $4.6 as a prudent action in light of the Chapter 7 filing. Through the bankruptcy proceedings, the Company recovered $1.0 in March 2024 and, following a settlement by the Chapter 7 Trustee with the Magellan Underwriters in December 2024 and approved by the District Court of Harris County, Texas in January 2025, the Company expects to receive an additional $1.0 to $1.3 in 2025. The Company continues to pursue claims against Redmon-Keys.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June 30,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2"/>
        <w:gridCol w:w="343"/>
        <w:gridCol w:w="345"/>
        <w:gridCol w:w="512"/>
        <w:gridCol w:w="512"/>
        <w:gridCol w:w="513"/>
        <w:gridCol w:w="109"/>
        <w:gridCol w:w="109"/>
        <w:gridCol w:w="109"/>
        <w:gridCol w:w="319"/>
        <w:gridCol w:w="776"/>
        <w:gridCol w:w="166"/>
        <w:gridCol w:w="109"/>
        <w:gridCol w:w="109"/>
        <w:gridCol w:w="109"/>
        <w:gridCol w:w="816"/>
        <w:gridCol w:w="816"/>
        <w:gridCol w:w="818"/>
        <w:gridCol w:w="109"/>
        <w:gridCol w:w="109"/>
        <w:gridCol w:w="109"/>
        <w:gridCol w:w="421"/>
        <w:gridCol w:w="2159"/>
        <w:gridCol w:w="316"/>
      </w:tblGrid>
      <w:tr>
        <w:trPr/>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2025 - April 30, 2025</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2025 - May 31, 2025</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2025 - June 30, 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$50.0 million.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0850"/>
                <wp:effectExtent l="0" t="0" r="0" b="0"/>
                <wp:wrapNone/>
                <wp:docPr id="37" name="Frame3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7f030b1a4aa4413a9de710ef679e79e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62"/>
        <w:gridCol w:w="215"/>
        <w:gridCol w:w="221"/>
        <w:gridCol w:w="2895"/>
        <w:gridCol w:w="2730"/>
        <w:gridCol w:w="3882"/>
      </w:tblGrid>
      <w:tr>
        <w:trPr/>
        <w:tc>
          <w:tcPr>
            <w:tcW w:w="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5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5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5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5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600"/>
        <w:jc w:val="left"/>
        <w:rPr/>
      </w:pPr>
      <w:hyperlink w:anchor="i37f030b1a4aa4413a9de710ef679e79e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2025</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2025</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2025</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0850"/>
                <wp:effectExtent l="0" t="0" r="0" b="0"/>
                <wp:wrapNone/>
                <wp:docPr id="39" name="Frame3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June 30,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68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Keefer M. Lehner,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June 30,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7919" w:type="dxa"/>
        <w:jc w:val="left"/>
        <w:tblInd w:w="0" w:type="dxa"/>
        <w:tblLayout w:type="fixed"/>
        <w:tblCellMar>
          <w:top w:w="28" w:type="dxa"/>
          <w:left w:w="28" w:type="dxa"/>
          <w:bottom w:w="28" w:type="dxa"/>
          <w:right w:w="28" w:type="dxa"/>
        </w:tblCellMar>
      </w:tblPr>
      <w:tblGrid>
        <w:gridCol w:w="668"/>
        <w:gridCol w:w="588"/>
        <w:gridCol w:w="589"/>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Keefer M. Lehner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Keefer M. Lehner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2025,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6689" w:type="dxa"/>
        <w:jc w:val="left"/>
        <w:tblInd w:w="0" w:type="dxa"/>
        <w:tblLayout w:type="fixed"/>
        <w:tblCellMar>
          <w:top w:w="28" w:type="dxa"/>
          <w:left w:w="28" w:type="dxa"/>
          <w:bottom w:w="28" w:type="dxa"/>
          <w:right w:w="28" w:type="dxa"/>
        </w:tblCellMar>
      </w:tblPr>
      <w:tblGrid>
        <w:gridCol w:w="668"/>
        <w:gridCol w:w="588"/>
        <w:gridCol w:w="589"/>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2025,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7919" w:type="dxa"/>
        <w:jc w:val="left"/>
        <w:tblInd w:w="0" w:type="dxa"/>
        <w:tblLayout w:type="fixed"/>
        <w:tblCellMar>
          <w:top w:w="28" w:type="dxa"/>
          <w:left w:w="28" w:type="dxa"/>
          <w:bottom w:w="28" w:type="dxa"/>
          <w:right w:w="28" w:type="dxa"/>
        </w:tblCellMar>
      </w:tblPr>
      <w:tblGrid>
        <w:gridCol w:w="668"/>
        <w:gridCol w:w="588"/>
        <w:gridCol w:w="589"/>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Keefer M. Lehner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Keefer M. Lehner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19234</Words>
  <Characters>104260</Characters>
  <CharactersWithSpaces>122495</CharactersWithSpaces>
  <Paragraphs>2101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