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before="0" w:after="0"/>
        <w:jc w:val="center"/>
        <w:rPr/>
      </w:pPr>
      <w:r>
        <w:rPr/>
      </w:r>
    </w:p>
    <w:tbl>
      <w:tblPr>
        <w:tblW w:w="2333" w:type="dxa"/>
        <w:jc w:val="center"/>
        <w:tblInd w:w="0" w:type="dxa"/>
        <w:tblLayout w:type="fixed"/>
        <w:tblCellMar>
          <w:top w:w="28" w:type="dxa"/>
          <w:left w:w="28" w:type="dxa"/>
          <w:bottom w:w="28" w:type="dxa"/>
          <w:right w:w="28" w:type="dxa"/>
        </w:tblCellMar>
      </w:tblPr>
      <w:tblGrid>
        <w:gridCol w:w="124"/>
        <w:gridCol w:w="109"/>
        <w:gridCol w:w="109"/>
        <w:gridCol w:w="539"/>
        <w:gridCol w:w="539"/>
        <w:gridCol w:w="5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CURRENT REPORT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Pursuant to Section 13 or 15(d)</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color w:val="000000"/>
          <w:sz w:val="22"/>
        </w:rPr>
        <w:t xml:space="preserve">Date of Report (Date of earliest event reported): </w:t>
      </w:r>
      <w:r>
        <w:rPr>
          <w:rFonts w:ascii="Arial;sans-serif" w:hAnsi="Arial;sans-serif"/>
          <w:b/>
          <w:color w:val="000000"/>
          <w:sz w:val="18"/>
        </w:rPr>
        <w:t>September 29,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KLX ENERGY SERVICES HOLDINGS, INC.</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tbl>
      <w:tblPr>
        <w:tblW w:w="9764" w:type="dxa"/>
        <w:jc w:val="center"/>
        <w:tblInd w:w="0" w:type="dxa"/>
        <w:tblLayout w:type="fixed"/>
        <w:tblCellMar>
          <w:top w:w="28" w:type="dxa"/>
          <w:left w:w="28" w:type="dxa"/>
          <w:bottom w:w="28" w:type="dxa"/>
          <w:right w:w="28" w:type="dxa"/>
        </w:tblCellMar>
      </w:tblPr>
      <w:tblGrid>
        <w:gridCol w:w="1212"/>
        <w:gridCol w:w="1062"/>
        <w:gridCol w:w="1071"/>
        <w:gridCol w:w="1295"/>
        <w:gridCol w:w="1295"/>
        <w:gridCol w:w="1310"/>
        <w:gridCol w:w="733"/>
        <w:gridCol w:w="733"/>
        <w:gridCol w:w="1053"/>
      </w:tblGrid>
      <w:tr>
        <w:trPr/>
        <w:tc>
          <w:tcPr>
            <w:tcW w:w="121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Delaware</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001-38609</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36-4904146</w:t>
            </w:r>
          </w:p>
        </w:tc>
      </w:tr>
      <w:tr>
        <w:trPr/>
        <w:tc>
          <w:tcPr>
            <w:tcW w:w="33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(State or Other Jurisdiction of Incorporation)</w:t>
            </w:r>
          </w:p>
        </w:tc>
        <w:tc>
          <w:tcPr>
            <w:tcW w:w="3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(Commission File Number)</w:t>
            </w:r>
          </w:p>
        </w:tc>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5"/>
              </w:rPr>
            </w:pPr>
            <w:r>
              <w:rPr>
                <w:rFonts w:ascii="Arial;sans-serif" w:hAnsi="Arial;sans-serif"/>
                <w:b/>
                <w:color w:val="000000"/>
                <w:sz w:val="15"/>
              </w:rPr>
              <w:t>(IRS Employer Identification No.)</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3040 Post Oak Boulevard, 15th Floor</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Houston, Texas 77056</w:t>
            </w:r>
          </w:p>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(Address of Principal Executive Offices)</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5"/>
              </w:rPr>
            </w:pPr>
            <w:r>
              <w:rPr>
                <w:rFonts w:ascii="Arial;sans-serif" w:hAnsi="Arial;sans-serif"/>
                <w:b/>
                <w:color w:val="000000"/>
                <w:sz w:val="15"/>
              </w:rPr>
              <w:t>(832) 844-1015</w:t>
            </w:r>
          </w:p>
          <w:p>
            <w:pPr>
              <w:pStyle w:val="TableContents"/>
              <w:bidi w:val="0"/>
              <w:spacing w:lineRule="auto" w:line="288" w:before="0" w:after="0"/>
              <w:jc w:val="center"/>
              <w:rPr>
                <w:rFonts w:ascii="Arial;sans-serif" w:hAnsi="Arial;sans-serif"/>
                <w:b w:val="false"/>
                <w:color w:val="000000"/>
                <w:sz w:val="15"/>
              </w:rPr>
            </w:pPr>
            <w:r>
              <w:rPr>
                <w:rFonts w:ascii="Arial;sans-serif" w:hAnsi="Arial;sans-serif"/>
                <w:b w:val="false"/>
                <w:color w:val="000000"/>
                <w:sz w:val="15"/>
              </w:rPr>
              <w:t>(Registrant’s Telephone Number, Including Area Code)</w:t>
            </w:r>
          </w:p>
        </w:tc>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Check the appropriate box below if the Form 8-K filing is intended to simultaneously satisfy the filing obligation of the registrant under any of the following provisions:</w:t>
      </w:r>
    </w:p>
    <w:tbl>
      <w:tblPr>
        <w:tblW w:w="8651" w:type="dxa"/>
        <w:jc w:val="left"/>
        <w:tblInd w:w="0" w:type="dxa"/>
        <w:tblLayout w:type="fixed"/>
        <w:tblCellMar>
          <w:top w:w="28" w:type="dxa"/>
          <w:left w:w="28" w:type="dxa"/>
          <w:bottom w:w="28" w:type="dxa"/>
          <w:right w:w="28" w:type="dxa"/>
        </w:tblCellMar>
      </w:tblPr>
      <w:tblGrid>
        <w:gridCol w:w="124"/>
        <w:gridCol w:w="109"/>
        <w:gridCol w:w="109"/>
        <w:gridCol w:w="2431"/>
        <w:gridCol w:w="2431"/>
        <w:gridCol w:w="34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Pre-commencement communications pursuant to Rule 13e-4(c) under the Exchange Act (17 CFR 240.13e-4(c))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51"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c>
      </w:tr>
    </w:tbl>
    <w:p>
      <w:pPr>
        <w:pStyle w:val="TextBody"/>
        <w:bidi w:val="0"/>
        <w:spacing w:before="0" w:after="0"/>
        <w:ind w:left="0" w:right="0" w:hanging="64"/>
        <w:jc w:val="left"/>
        <w:rPr/>
      </w:pPr>
      <w:r>
        <w:rPr/>
      </w:r>
    </w:p>
    <w:tbl>
      <w:tblPr>
        <w:tblW w:w="7328" w:type="dxa"/>
        <w:jc w:val="center"/>
        <w:tblInd w:w="0" w:type="dxa"/>
        <w:tblLayout w:type="fixed"/>
        <w:tblCellMar>
          <w:top w:w="28" w:type="dxa"/>
          <w:left w:w="28" w:type="dxa"/>
          <w:bottom w:w="28" w:type="dxa"/>
          <w:right w:w="28" w:type="dxa"/>
        </w:tblCellMar>
      </w:tblPr>
      <w:tblGrid>
        <w:gridCol w:w="1065"/>
        <w:gridCol w:w="938"/>
        <w:gridCol w:w="952"/>
        <w:gridCol w:w="109"/>
        <w:gridCol w:w="109"/>
        <w:gridCol w:w="109"/>
        <w:gridCol w:w="243"/>
        <w:gridCol w:w="243"/>
        <w:gridCol w:w="248"/>
        <w:gridCol w:w="109"/>
        <w:gridCol w:w="109"/>
        <w:gridCol w:w="109"/>
        <w:gridCol w:w="875"/>
        <w:gridCol w:w="875"/>
        <w:gridCol w:w="1235"/>
      </w:tblGrid>
      <w:tr>
        <w:trPr/>
        <w:tc>
          <w:tcPr>
            <w:tcW w:w="106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Trading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Name of each exchange</w:t>
            </w:r>
          </w:p>
        </w:tc>
      </w:tr>
      <w:tr>
        <w:trPr/>
        <w:tc>
          <w:tcPr>
            <w:tcW w:w="29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14"/>
              </w:rPr>
            </w:pPr>
            <w:r>
              <w:rPr>
                <w:rFonts w:ascii="Arial;sans-serif" w:hAnsi="Arial;sans-serif"/>
                <w:b/>
                <w:color w:val="000000"/>
                <w:sz w:val="14"/>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4"/>
              </w:rPr>
            </w:pPr>
            <w:r>
              <w:rPr>
                <w:rFonts w:ascii="Arial;sans-serif" w:hAnsi="Arial;sans-serif"/>
                <w:b/>
                <w:color w:val="000000"/>
                <w:sz w:val="14"/>
              </w:rPr>
              <w:t>on which registered</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KLXE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r>
        <w:trPr/>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w:t>
      </w:r>
    </w:p>
    <w:p>
      <w:pPr>
        <w:pStyle w:val="TextBody"/>
        <w:bidi w:val="0"/>
        <w:spacing w:before="0" w:after="0"/>
        <w:jc w:val="center"/>
        <w:rPr/>
      </w:pPr>
      <w:r>
        <w:rPr/>
      </w:r>
    </w:p>
    <w:p>
      <w:pPr>
        <w:pStyle w:val="TextBody"/>
        <w:bidi w:val="0"/>
        <w:spacing w:lineRule="auto" w:line="326" w:before="0" w:after="0"/>
        <w:jc w:val="left"/>
        <w:rPr>
          <w:rFonts w:ascii="Arial;sans-serif" w:hAnsi="Arial;sans-serif"/>
          <w:b w:val="false"/>
          <w:color w:val="000000"/>
          <w:sz w:val="16"/>
        </w:rPr>
      </w:pPr>
      <w:r>
        <w:rPr>
          <w:rFonts w:ascii="Arial;sans-serif" w:hAnsi="Arial;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tbl>
      <w:tblPr>
        <w:tblW w:w="2441" w:type="dxa"/>
        <w:jc w:val="left"/>
        <w:tblInd w:w="0" w:type="dxa"/>
        <w:tblLayout w:type="fixed"/>
        <w:tblCellMar>
          <w:top w:w="28" w:type="dxa"/>
          <w:left w:w="28" w:type="dxa"/>
          <w:bottom w:w="28" w:type="dxa"/>
          <w:right w:w="28" w:type="dxa"/>
        </w:tblCellMar>
      </w:tblPr>
      <w:tblGrid>
        <w:gridCol w:w="124"/>
        <w:gridCol w:w="109"/>
        <w:gridCol w:w="109"/>
        <w:gridCol w:w="614"/>
        <w:gridCol w:w="614"/>
        <w:gridCol w:w="8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r>
    </w:tbl>
    <w:p>
      <w:pPr>
        <w:pStyle w:val="TextBody"/>
        <w:bidi w:val="0"/>
        <w:spacing w:lineRule="auto" w:line="314" w:before="0" w:after="0"/>
        <w:jc w:val="left"/>
        <w:rPr>
          <w:rFonts w:ascii="Arial;sans-serif" w:hAnsi="Arial;sans-serif"/>
          <w:b w:val="false"/>
          <w:color w:val="000000"/>
          <w:sz w:val="16"/>
        </w:rPr>
      </w:pPr>
      <w:r>
        <w:rPr>
          <w:rFonts w:ascii="Arial;sans-serif" w:hAnsi="Arial;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1.01 Entry into a Material Definitive Agreement.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September 29, 2026, </w:t>
      </w:r>
      <w:r>
        <w:rPr>
          <w:rFonts w:ascii="Times New Roman;serif" w:hAnsi="Times New Roman;serif"/>
          <w:b w:val="false"/>
          <w:color w:val="000000"/>
          <w:sz w:val="20"/>
          <w:shd w:fill="FFFFFF" w:val="clear"/>
        </w:rPr>
        <w:t xml:space="preserve">KLX Energy Services Holdings, Inc. (the “Company”) completed its previously announced subscription rights offering (the “Rights Offering”), which expired in accordance with its terms at 5:00 p.m., </w:t>
      </w:r>
      <w:r>
        <w:rPr>
          <w:rFonts w:ascii="Times New Roman;serif" w:hAnsi="Times New Roman;serif"/>
          <w:b w:val="false"/>
          <w:color w:val="000000"/>
          <w:sz w:val="20"/>
        </w:rPr>
        <w:t>New York City time</w:t>
      </w:r>
      <w:r>
        <w:rPr>
          <w:rFonts w:ascii="Times New Roman;serif" w:hAnsi="Times New Roman;serif"/>
          <w:b w:val="false"/>
          <w:color w:val="000000"/>
          <w:sz w:val="20"/>
          <w:shd w:fill="FFFFFF" w:val="clear"/>
        </w:rPr>
        <w:t>, on September 23, 2026, and closed the Backstop Exchange (as defined below). Pursuant to the terms of the Rights Offering, 24,975,001 shares of the Company’s common stock, par value $0.01 per share (the “Common Stock”), were purchased pursuant to the exercise of subscription rights at the subscription price of $1.49 per whole share (the “Subscription Price”) for gross proceeds of $37.2 million to the Company. Of the $37.2 million gross cash proceeds from the Rights Offering, the Company expects to use $31.0 million for general corporate purposes, including to pay fees and expenses in connection with the Rights Offering, and $6.2 million to redeem the 2030 Notes (as defined below) at par, plus accrued and unpaid interest. The Company issued a partial notice of redemption on September 30, 2026 to redeem $6.2 million aggregate principal amount of the 2030 Notes on October 10, 2026. This Current Report on Form 8-K shall not constitute a notice of redemption with respect to the 2030 Notes.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shd w:fill="FFFFFF" w:val="clear"/>
        </w:rPr>
        <w:t xml:space="preserve">After giving effect to the Rights Offering and the Backstop Exchange, the Company expects to have 105,677,168 shares of Common Stock issued and outstanding. </w:t>
      </w:r>
      <w:r>
        <w:rPr>
          <w:rFonts w:ascii="Times New Roman;serif" w:hAnsi="Times New Roman;serif"/>
          <w:b w:val="false"/>
          <w:color w:val="000000"/>
          <w:sz w:val="20"/>
        </w:rPr>
        <w:t>In connection with the Backstop Exchange, the outstanding principal amount of the 2030 Notes will be reduced by $94.0 million as a result of the combination of par redemptions from excess proceeds in the Rights Offering and the exchange of 2030 Notes for Common Stock in the Backstop Exchange.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Backstop Exchange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Rights Offering was backstopped by the existing holders (the “Backstop Parties”) of the Company’s Senior Secured Floating Rate Cash / PIK Notes due 2030 (the “2030 Notes”) in an aggregate backstop commitment amount of $94.0 million pursuant to a Rights Offering Backstop Agreement (the “Backstop Agreement”), which will be reduced to $87.8 million as a result of $6.2 million of 2030 Notes redeemed with Rights Offering proceeds, with each individual Backstop Party subject to an aggregate 30% ownership limitation on a pro forma fully diluted basis. The Backstop Parties committed to purchase their respective backstop commitment amounts through an exchange of their 2030 Notes (at 100% of the principal amount thereof plus accrued and unpaid interest) for shares of Common Stock at the Subscription Price (the “Backstop Exchange”). An aggregate of 59,273,445 shares of Common Stock will be issued to the Backstop Parties in the Backstop Exchange.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Common Stock acquired by the Backstop Parties pursuant to the Backstop Exchange will not be registered under the Securities Act of 1933, as amended (the “Securities Act”), and will be issued in a private placement exempt from registration under Section 4(a)(2) of the Securities Act. In connection with the completion of the Rights Offering, the Company entered into a Registration Rights Agreement, dated as of September 29, 2026 (the “Registration Rights Agreement”), with the Backstop Parties, pursuant to which the Backstop Parties were granted certain customary registration rights in respect of such shares.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Registration Rights Agreement does not purport to be complete and is subject to and qualified in its entirety by reference to the Registration Rights Agreement, a copy of which is filed as Exhibit 10.1 to this Current Report on Form 8-K and is incorporated by reference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Amended and Restated Indenture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closing of the Backstop Exchange, the Company, the subsidiaries party thereto, as guarantors, and U.S. Bank Trust Company, National Association, as trustee and notes collateral agent, entered into an Amended and Restated Indenture, dated as of September 29, 2026 (the “Indenture”).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 amends and restates in its entirety that certain Indenture, dated as of March 12, 2025 (as amended prior to the date hereof, the “Prior Notes Indenture”), governing the 2030 Notes. The 2030 Notes remain guaranteed and secured on substantially the same terms other than as described below.</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Prior Notes Indenture was amended and restated to provide additional covenant flexibility and other amendments, including, among other things: (i) reset the total net leverage ratio maintenance covenant step-down schedule to: (w) 4.50:1.00, commencing with the fiscal quarter ending September 30, 2026, (x) 4.00:1.00, commencing on the fiscal quarter ending June 30, 2027, (y) 3.50:1.00, commencing on the fiscal quarter ending June 30, 2028, and (z) 3.00:1.00, commencing on the fiscal quarter ending June 30, 2029, (ii) relax the total net leverage ratio incurrence test for additional indebtedness from 2.50:1.00 to 3.00:1.00, (iii) permanently exclude capital lease obligations from the definition of “Consolidated Total Indebtedness” for purposes of the financial maintenance covenant, incurrence-based tests/ratios/baskets, and the Secured Net Leverage Ratio (as defined in the Indenture), (iv) increase the basket for indebtedness in respect of purchase money obligations and capital lease obligations from $75.0 million to $85.0 million, (v) provide for par redemption of 2030 Notes in connection with the Backstop Agreement and exclude Rights Offering redemption proceeds from the excess cash flow sweep, (vi) reset the make-whole expiry date to two years from the effective date of the Indenture and reduce the premium from 102% to 101%, (vii) grant the holders of the 2030 Notes a right of first offer with respect to any debtor-in-possession financing secured by notes priority collateral on a pro rata basis and (viii) require that any opportunity to provide permitted pari passu notes lien indebtedness be offered first to existing holders on a pro rata basis.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 of the Indenture does not purport to be complete and is subject to and qualified in its entirety by reference to the Indenture, a copy of which is filed as Exhibit 4.1 to this Current Report on Form 8-K and is incorporated by reference herein.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Item 3.02 Unregistered Sales of Equity Securities.</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applicable, the disclosure set forth above in Item 1.01 of this Current Report on Form 8-K under the heading “Backstop Exchange” with respect to the shares of Common Stock to be issued pursuant to the Backstop Exchange is incorporated by reference in this Item 3.02. The shares of Common Stock to be issued pursuant to the Backstop Exchange will not be registered under the Securities Act and will be issued in reliance on the exemption from registration requirements thereof provided by Section 4(a)(2) of the Securities Act.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7" w:before="0" w:after="0"/>
        <w:jc w:val="left"/>
        <w:rPr>
          <w:rFonts w:ascii="Arial;sans-serif" w:hAnsi="Arial;sans-serif"/>
          <w:b/>
          <w:color w:val="000000"/>
          <w:sz w:val="18"/>
        </w:rPr>
      </w:pPr>
      <w:r>
        <w:rPr>
          <w:rFonts w:ascii="Arial;sans-serif" w:hAnsi="Arial;sans-serif"/>
          <w:b/>
          <w:color w:val="000000"/>
          <w:sz w:val="18"/>
        </w:rPr>
        <w:t>Item 8.01 Other Events.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 xml:space="preserve">On September 30, 2026, </w:t>
      </w:r>
      <w:r>
        <w:rPr>
          <w:rFonts w:ascii="Times New Roman;serif" w:hAnsi="Times New Roman;serif"/>
          <w:b w:val="false"/>
          <w:color w:val="000000"/>
          <w:sz w:val="20"/>
          <w:shd w:fill="FFFFFF" w:val="clear"/>
        </w:rPr>
        <w:t>the Company issued a press release announcing the completion of the Rights Offering and the closing of the Backstop Exchange. The press release is attached hereto as Exhibit 99.1 and is hereby incorporated by reference into this Item 8.01.</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Rights Offering was made pursuant to the Company’s existing effective shelf registration statement on Form S-3 (Reg. No. 333-295905) on file with the Securities and Exchange Commission (the “SEC”) and the prospectus supplement (and the accompanying base prospectus) filed with the SEC on August 24, 2026 (collectively, the “Prospectus”). Additional information regarding the Rights Offering is set forth in the Prospectus.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Forward-Looking Statements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report and the documents to which the Company refers you to in this report,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transactions described herein, the businesses, strategies and plans of the Company and its expectations relating to its future financial condition and performance. Statements included in this report that are not historical facts are forward-looking statements, including, without limitation, statements about the Company’s beliefs and expectations regarding the Rights Offering, including the use of proceeds therefrom, and the Backstop Exchange.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Any forward-looking statements in this report and the information incorporated by reference in this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prevailing market conditions, as well as, without limitation, those risks described under the heading “Risk Factors” in our most recent Annual Report on Form 10-K filed with the SEC, as supplemented by our Quarterly Reports on Form 10-Q or our Current Reports on Form 8-K, and discussed elsewhere in this report, and the information incorporated by reference in this report. Given these uncertainties, you should not place undue reliance on these forward-looking statements.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 subsequent written or oral forward-looking statements attributable to the Company or any person acting on behalf of the Company are expressly qualified in their entirety by the cautionary statements 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 Exhibits.</w:t>
      </w:r>
    </w:p>
    <w:p>
      <w:pPr>
        <w:pStyle w:val="TextBody"/>
        <w:bidi w:val="0"/>
        <w:spacing w:before="0" w:after="0"/>
        <w:jc w:val="both"/>
        <w:rPr/>
      </w:pPr>
      <w:r>
        <w:rPr/>
      </w:r>
    </w:p>
    <w:tbl>
      <w:tblPr>
        <w:tblW w:w="7617"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927"/>
        <w:gridCol w:w="1927"/>
        <w:gridCol w:w="273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klx-amendedandrestatedinde.htm">
              <w:r>
                <w:rPr>
                  <w:rStyle w:val="InternetLink"/>
                  <w:rFonts w:ascii="Arial;sans-serif" w:hAnsi="Arial;sans-serif"/>
                  <w:b w:val="false"/>
                  <w:color w:val="0000FF"/>
                  <w:sz w:val="18"/>
                  <w:u w:val="single"/>
                </w:rPr>
                <w:t>Amended and Restated Indenture, dated September 29,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lx-registrationrightsagre.htm">
              <w:r>
                <w:rPr>
                  <w:rStyle w:val="InternetLink"/>
                  <w:rFonts w:ascii="Arial;sans-serif" w:hAnsi="Arial;sans-serif"/>
                  <w:b w:val="false"/>
                  <w:color w:val="0000FF"/>
                  <w:sz w:val="18"/>
                  <w:u w:val="single"/>
                </w:rPr>
                <w:t>Registration Rights Agreement, dated September 29,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klx-pressreleaserightsoffe.htm">
              <w:r>
                <w:rPr>
                  <w:rStyle w:val="InternetLink"/>
                  <w:rFonts w:ascii="Arial;sans-serif" w:hAnsi="Arial;sans-serif"/>
                  <w:b w:val="false"/>
                  <w:color w:val="0000FF"/>
                  <w:sz w:val="18"/>
                  <w:u w:val="single"/>
                </w:rPr>
                <w:t>Press Release dated September 30, 2026</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Certain schedules and exhibits to this agreement have been omitted pursuant to Item 601(a)(5) of Regulation S-K. The registrant agrees to furnish supplementally a copy of any omitted schedule or exhibit to the SEC upon request.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left"/>
        <w:rPr/>
      </w:pPr>
      <w:r>
        <w:rPr/>
      </w:r>
    </w:p>
    <w:p>
      <w:pPr>
        <w:pStyle w:val="TextBody"/>
        <w:bidi w:val="0"/>
        <w:spacing w:lineRule="auto" w:line="32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pPr>
      <w:r>
        <w:rPr/>
      </w:r>
    </w:p>
    <w:tbl>
      <w:tblPr>
        <w:tblW w:w="8732" w:type="dxa"/>
        <w:jc w:val="left"/>
        <w:tblInd w:w="0" w:type="dxa"/>
        <w:tblLayout w:type="fixed"/>
        <w:tblCellMar>
          <w:top w:w="28" w:type="dxa"/>
          <w:left w:w="28" w:type="dxa"/>
          <w:bottom w:w="28" w:type="dxa"/>
          <w:right w:w="28" w:type="dxa"/>
        </w:tblCellMar>
      </w:tblPr>
      <w:tblGrid>
        <w:gridCol w:w="124"/>
        <w:gridCol w:w="109"/>
        <w:gridCol w:w="109"/>
        <w:gridCol w:w="472"/>
        <w:gridCol w:w="472"/>
        <w:gridCol w:w="472"/>
        <w:gridCol w:w="2039"/>
        <w:gridCol w:w="2039"/>
        <w:gridCol w:w="28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KLX Energy Services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Max L. Bouthillette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Executive Vice President, General Counsel, Chief Compliance Officer 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September 30,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KLX ENERGY SERVICES HOLDINGS,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SENIOR SECURED FLOATING RATE CASH / PIK NOTES DUE 2030</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AMENDED AND RESTATED INDENTURE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 September 29, 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U.S. BANK TRUST COMPANY, NATIONAL ASSOCIATION,</w:t>
        <w:br/>
        <w:t>as Trustee and Collateral Agent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TABLE OF CONTENTS</w:t>
      </w:r>
    </w:p>
    <w:p>
      <w:pPr>
        <w:pStyle w:val="TextBody"/>
        <w:bidi w:val="0"/>
        <w:spacing w:lineRule="auto" w:line="288" w:before="0" w:after="240"/>
        <w:jc w:val="right"/>
        <w:rPr>
          <w:rFonts w:ascii="Times New Roman;serif" w:hAnsi="Times New Roman;serif"/>
          <w:b/>
          <w:color w:val="000000"/>
          <w:sz w:val="24"/>
          <w:u w:val="single"/>
        </w:rPr>
      </w:pPr>
      <w:r>
        <w:rPr>
          <w:rFonts w:ascii="Times New Roman;serif" w:hAnsi="Times New Roman;serif"/>
          <w:b/>
          <w:color w:val="000000"/>
          <w:sz w:val="24"/>
          <w:u w:val="single"/>
        </w:rPr>
        <w:t>Page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w:t>
        <w:br/>
        <w:t>DEFINITIONS</w:t>
      </w:r>
    </w:p>
    <w:tbl>
      <w:tblPr>
        <w:tblW w:w="9137" w:type="dxa"/>
        <w:jc w:val="left"/>
        <w:tblInd w:w="0" w:type="dxa"/>
        <w:tblLayout w:type="fixed"/>
        <w:tblCellMar>
          <w:top w:w="28" w:type="dxa"/>
          <w:left w:w="28" w:type="dxa"/>
          <w:bottom w:w="28" w:type="dxa"/>
          <w:right w:w="28" w:type="dxa"/>
        </w:tblCellMar>
      </w:tblPr>
      <w:tblGrid>
        <w:gridCol w:w="473"/>
        <w:gridCol w:w="416"/>
        <w:gridCol w:w="417"/>
        <w:gridCol w:w="2477"/>
        <w:gridCol w:w="2477"/>
        <w:gridCol w:w="2486"/>
        <w:gridCol w:w="114"/>
        <w:gridCol w:w="114"/>
        <w:gridCol w:w="16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1.01</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Defined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Classification of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1.03</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Terms Generally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1.04</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Accounting Terms; GAAP; Tax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1.05</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1.06</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Limited Condition Acquisition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1.07</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Times of Day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1.08</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Deliveries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1.09</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Schedules and Exhibits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Currency Generally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1.11</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Basket Amounts and Application of Multiple Relevant Provisions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1.12</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Acts of 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59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1.13</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Currency Translation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1.14</w:t>
            </w:r>
          </w:p>
        </w:tc>
        <w:tc>
          <w:tcPr>
            <w:tcW w:w="7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Disclaimer and Exculpation With Respect to SOFR and any Benchmark Rate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62</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II</w:t>
        <w:br/>
        <w:t>THE NOTES</w:t>
      </w:r>
    </w:p>
    <w:tbl>
      <w:tblPr>
        <w:tblW w:w="5417" w:type="dxa"/>
        <w:jc w:val="center"/>
        <w:tblInd w:w="0" w:type="dxa"/>
        <w:tblLayout w:type="fixed"/>
        <w:tblCellMar>
          <w:top w:w="28" w:type="dxa"/>
          <w:left w:w="28" w:type="dxa"/>
          <w:bottom w:w="28" w:type="dxa"/>
          <w:right w:w="28" w:type="dxa"/>
        </w:tblCellMar>
      </w:tblPr>
      <w:tblGrid>
        <w:gridCol w:w="473"/>
        <w:gridCol w:w="416"/>
        <w:gridCol w:w="417"/>
        <w:gridCol w:w="1239"/>
        <w:gridCol w:w="1239"/>
        <w:gridCol w:w="1242"/>
        <w:gridCol w:w="114"/>
        <w:gridCol w:w="114"/>
        <w:gridCol w:w="16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2.01</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Form and Dating,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2.02</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Execution and Authentication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2.03</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Registrar; Paying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2.04</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Paying Agent to Hold Money in Trust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2.05</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Holder Lists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2.06</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Transfers and Exchange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2.07</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Replacement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2.08</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Outstanding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2.09</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Treasury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2.10</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Temporary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69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2.11</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Cancellation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2.12</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Calculations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2.13</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Interest on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2.14</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CUSIP and ISIN Numbers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2.15</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Persons Deemed Owners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2.16</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Alternate Rate of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2.17</w:t>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Benchmark Replacement Setting</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75</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III</w:t>
        <w:br/>
        <w:t>REDEMPTION AND PREPAYMENT</w:t>
      </w:r>
    </w:p>
    <w:tbl>
      <w:tblPr>
        <w:tblW w:w="5177" w:type="dxa"/>
        <w:jc w:val="center"/>
        <w:tblInd w:w="0" w:type="dxa"/>
        <w:tblLayout w:type="fixed"/>
        <w:tblCellMar>
          <w:top w:w="28" w:type="dxa"/>
          <w:left w:w="28" w:type="dxa"/>
          <w:bottom w:w="28" w:type="dxa"/>
          <w:right w:w="28" w:type="dxa"/>
        </w:tblCellMar>
      </w:tblPr>
      <w:tblGrid>
        <w:gridCol w:w="473"/>
        <w:gridCol w:w="416"/>
        <w:gridCol w:w="417"/>
        <w:gridCol w:w="1159"/>
        <w:gridCol w:w="1159"/>
        <w:gridCol w:w="1162"/>
        <w:gridCol w:w="114"/>
        <w:gridCol w:w="114"/>
        <w:gridCol w:w="16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3.01</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 to Trustee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3.02</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Selection of Notes to Be Redeemed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3.03</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Optional Redemption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3.04</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Effect of Notice of Redemption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3.05</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Deposit of Redemption Price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3.06</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Redeemed in Part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79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3.07</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Optional Redemption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3.08</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Net Cash Proceeds Offers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3.09</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Change of Control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3.10</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3.11</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Applicable Other Indebtedness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3.12</w:t>
            </w:r>
          </w:p>
        </w:tc>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Mandatory Quarterly Redemption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86</w:t>
            </w:r>
          </w:p>
        </w:tc>
      </w:tr>
    </w:tbl>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IV</w:t>
        <w:br/>
        <w:t>[RESERVED]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V</w:t>
        <w:br/>
        <w:t>AFFIRMATIVE COVENANTS</w:t>
      </w:r>
    </w:p>
    <w:tbl>
      <w:tblPr>
        <w:tblW w:w="8927" w:type="dxa"/>
        <w:jc w:val="center"/>
        <w:tblInd w:w="0" w:type="dxa"/>
        <w:tblLayout w:type="fixed"/>
        <w:tblCellMar>
          <w:top w:w="28" w:type="dxa"/>
          <w:left w:w="28" w:type="dxa"/>
          <w:bottom w:w="28" w:type="dxa"/>
          <w:right w:w="28" w:type="dxa"/>
        </w:tblCellMar>
      </w:tblPr>
      <w:tblGrid>
        <w:gridCol w:w="473"/>
        <w:gridCol w:w="416"/>
        <w:gridCol w:w="417"/>
        <w:gridCol w:w="2408"/>
        <w:gridCol w:w="2408"/>
        <w:gridCol w:w="2414"/>
        <w:gridCol w:w="114"/>
        <w:gridCol w:w="114"/>
        <w:gridCol w:w="16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5.01</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Payment of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5.02</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of Office or Agency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5.03</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Statements, Reports, etc.. Furnish to the Trustee and each Holder: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88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5.04</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Litigation and Other 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5.05</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Existence; Properties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5.06</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5.07</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5.08</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Employee Benefits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5.09</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Maintaining Records; Access to Properties and Inspections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5.10</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Use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5.11</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Environmental Laws; Environmental Reports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5.12</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Additional Collateral; Additional Guarantors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5.13</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Security Interests; Further Assurances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5.14</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of Ratings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5.15</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Compliance with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5.16</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Anti-Terrorism; Sanctions; Anti-Corruption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5.17</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DIP Financing Right of First Offer</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97</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VI</w:t>
        <w:br/>
        <w:t>NEGATIVE COVENANTS</w:t>
      </w:r>
    </w:p>
    <w:tbl>
      <w:tblPr>
        <w:tblW w:w="10205" w:type="dxa"/>
        <w:jc w:val="center"/>
        <w:tblInd w:w="0" w:type="dxa"/>
        <w:tblLayout w:type="fixed"/>
        <w:tblCellMar>
          <w:top w:w="28" w:type="dxa"/>
          <w:left w:w="28" w:type="dxa"/>
          <w:bottom w:w="28" w:type="dxa"/>
          <w:right w:w="28" w:type="dxa"/>
        </w:tblCellMar>
      </w:tblPr>
      <w:tblGrid>
        <w:gridCol w:w="473"/>
        <w:gridCol w:w="416"/>
        <w:gridCol w:w="417"/>
        <w:gridCol w:w="2821"/>
        <w:gridCol w:w="2779"/>
        <w:gridCol w:w="2787"/>
        <w:gridCol w:w="148"/>
        <w:gridCol w:w="148"/>
        <w:gridCol w:w="216"/>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Indebtedness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98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Liens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Investments, Loans and Advances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108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6.04</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Mergers and Consolidations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6.05</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Asset Sales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6.06</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Dividends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6.07</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Transactions with Affiliates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117</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6.08</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Financial Covenants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6.09</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Prepayments of Certain Indebtedness; Modifications of Organizational Documents and Other Documents, etc</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119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6.10</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Further Negative Pledge; Subsidiary Distributions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6.11</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Nature of Business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6.12</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Fiscal Year</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6.13</w:t>
            </w:r>
          </w:p>
        </w:tc>
        <w:tc>
          <w:tcPr>
            <w:tcW w:w="8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Hedging Obligations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VII</w:t>
        <w:br/>
        <w:t>GUARANTEE</w:t>
      </w:r>
    </w:p>
    <w:tbl>
      <w:tblPr>
        <w:tblW w:w="5462" w:type="dxa"/>
        <w:jc w:val="center"/>
        <w:tblInd w:w="0" w:type="dxa"/>
        <w:tblLayout w:type="fixed"/>
        <w:tblCellMar>
          <w:top w:w="28" w:type="dxa"/>
          <w:left w:w="28" w:type="dxa"/>
          <w:bottom w:w="28" w:type="dxa"/>
          <w:right w:w="28" w:type="dxa"/>
        </w:tblCellMar>
      </w:tblPr>
      <w:tblGrid>
        <w:gridCol w:w="473"/>
        <w:gridCol w:w="416"/>
        <w:gridCol w:w="417"/>
        <w:gridCol w:w="1214"/>
        <w:gridCol w:w="1214"/>
        <w:gridCol w:w="1217"/>
        <w:gridCol w:w="149"/>
        <w:gridCol w:w="149"/>
        <w:gridCol w:w="21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7.01</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Guarantees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7.02</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Execution and Delivery of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123</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7.03</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7.04</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of Guarantors’ Liability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7.05</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Releases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124</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7.06</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Benefits Acknowledged</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VIII</w:t>
        <w:br/>
        <w:t>EVENTS OF DEFAULT</w:t>
      </w:r>
    </w:p>
    <w:tbl>
      <w:tblPr>
        <w:tblW w:w="6422" w:type="dxa"/>
        <w:jc w:val="center"/>
        <w:tblInd w:w="0" w:type="dxa"/>
        <w:tblLayout w:type="fixed"/>
        <w:tblCellMar>
          <w:top w:w="28" w:type="dxa"/>
          <w:left w:w="28" w:type="dxa"/>
          <w:bottom w:w="28" w:type="dxa"/>
          <w:right w:w="28" w:type="dxa"/>
        </w:tblCellMar>
      </w:tblPr>
      <w:tblGrid>
        <w:gridCol w:w="473"/>
        <w:gridCol w:w="416"/>
        <w:gridCol w:w="417"/>
        <w:gridCol w:w="1533"/>
        <w:gridCol w:w="1533"/>
        <w:gridCol w:w="1539"/>
        <w:gridCol w:w="149"/>
        <w:gridCol w:w="149"/>
        <w:gridCol w:w="21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8.01</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125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8.02</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8.03</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Waiver of Past Defaults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8.04</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Control by Majority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8.05</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Limitation on Suits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8.06</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of Holders of Notes to Receive Payment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8.07</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Collection Suit by Trustee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8.08</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Trustee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131</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8.09</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Application of Proceeds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132</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8.10</w:t>
            </w:r>
          </w:p>
        </w:tc>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Equity Cure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133</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iii</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IX</w:t>
        <w:br/>
        <w:t>THE TRUSTEE AND AGENTS</w:t>
      </w:r>
    </w:p>
    <w:tbl>
      <w:tblPr>
        <w:tblW w:w="5522" w:type="dxa"/>
        <w:jc w:val="center"/>
        <w:tblInd w:w="0" w:type="dxa"/>
        <w:tblLayout w:type="fixed"/>
        <w:tblCellMar>
          <w:top w:w="28" w:type="dxa"/>
          <w:left w:w="28" w:type="dxa"/>
          <w:bottom w:w="28" w:type="dxa"/>
          <w:right w:w="28" w:type="dxa"/>
        </w:tblCellMar>
      </w:tblPr>
      <w:tblGrid>
        <w:gridCol w:w="473"/>
        <w:gridCol w:w="416"/>
        <w:gridCol w:w="417"/>
        <w:gridCol w:w="1234"/>
        <w:gridCol w:w="1234"/>
        <w:gridCol w:w="1237"/>
        <w:gridCol w:w="149"/>
        <w:gridCol w:w="149"/>
        <w:gridCol w:w="213"/>
      </w:tblGrid>
      <w:tr>
        <w:trPr/>
        <w:tc>
          <w:tcPr>
            <w:tcW w:w="47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9.01</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Duties of Trustee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135</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9.02</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Rights of Trustee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136</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9.03</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Individual Rights of the Trustee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9.04</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Trustee’s Disclaimer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9.05</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 of Defaults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9.06</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Compensation and Indemnity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138</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9.07</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Replacement of Trustee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139</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9.08</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 Trustee by Merger,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9.09</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Eligibility; Disqualification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9.10</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Appointment of Authenticating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140</w:t>
            </w:r>
          </w:p>
        </w:tc>
      </w:tr>
      <w:tr>
        <w:trPr/>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9.11</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Calculation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142</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X</w:t>
        <w:br/>
        <w:t>COLLATERAL</w:t>
      </w:r>
    </w:p>
    <w:tbl>
      <w:tblPr>
        <w:tblW w:w="10205" w:type="dxa"/>
        <w:jc w:val="center"/>
        <w:tblInd w:w="0" w:type="dxa"/>
        <w:tblLayout w:type="fixed"/>
        <w:tblCellMar>
          <w:top w:w="28" w:type="dxa"/>
          <w:left w:w="28" w:type="dxa"/>
          <w:bottom w:w="28" w:type="dxa"/>
          <w:right w:w="28" w:type="dxa"/>
        </w:tblCellMar>
      </w:tblPr>
      <w:tblGrid>
        <w:gridCol w:w="517"/>
        <w:gridCol w:w="454"/>
        <w:gridCol w:w="455"/>
        <w:gridCol w:w="2775"/>
        <w:gridCol w:w="2755"/>
        <w:gridCol w:w="2736"/>
        <w:gridCol w:w="149"/>
        <w:gridCol w:w="149"/>
        <w:gridCol w:w="215"/>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2755"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10.01</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Collateral</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143</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10.02</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Maintenance of Collateral; Further Assurances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10.03</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Release of Liens on the Collateral</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10.04</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Authorization of Actions to be Taken by the Trustee or the Collateral Agent Under the Security Documents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10.05</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Notes Collateral Account</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148</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10.06</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Information Regarding Collateral</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148</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10.07</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Regarding the Collateral Agent</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148</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XI</w:t>
        <w:br/>
        <w:t>DEFEASANCE; DISCHARGE OF THIS INDENTURE</w:t>
      </w:r>
    </w:p>
    <w:tbl>
      <w:tblPr>
        <w:tblW w:w="10205" w:type="dxa"/>
        <w:jc w:val="center"/>
        <w:tblInd w:w="0" w:type="dxa"/>
        <w:tblLayout w:type="fixed"/>
        <w:tblCellMar>
          <w:top w:w="28" w:type="dxa"/>
          <w:left w:w="28" w:type="dxa"/>
          <w:bottom w:w="28" w:type="dxa"/>
          <w:right w:w="28" w:type="dxa"/>
        </w:tblCellMar>
      </w:tblPr>
      <w:tblGrid>
        <w:gridCol w:w="517"/>
        <w:gridCol w:w="454"/>
        <w:gridCol w:w="455"/>
        <w:gridCol w:w="2789"/>
        <w:gridCol w:w="2735"/>
        <w:gridCol w:w="2742"/>
        <w:gridCol w:w="149"/>
        <w:gridCol w:w="149"/>
        <w:gridCol w:w="215"/>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4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11.01</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Option to Effect Legal Defeasance or Covenant Defeasance</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11.02</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Legal Defeasance</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150</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11.03</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Covenant Defeasance</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151</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11.04</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Conditions to Legal or Covenant Defeasance</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152</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11.05</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Deposited Money and U.S. Government Obligations to Be Held in Trust, Other Miscellaneous Provisions</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153</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11.06</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Repayment to Issuer</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153</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11.07</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Reinstatement</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11.08</w:t>
            </w:r>
          </w:p>
        </w:tc>
        <w:tc>
          <w:tcPr>
            <w:tcW w:w="8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Discharge</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154</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XII</w:t>
        <w:br/>
        <w:t>AMENDMENT, SUPPLEMENT AND WAIVER</w:t>
      </w: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iv</w:t>
                      </w:r>
                    </w:p>
                  </w:txbxContent>
                </v:textbox>
                <w10:wrap type="none"/>
              </v:rect>
            </w:pict>
          </mc:Fallback>
        </mc:AlternateContent>
      </w:r>
    </w:p>
    <w:tbl>
      <w:tblPr>
        <w:tblW w:w="6256" w:type="dxa"/>
        <w:jc w:val="center"/>
        <w:tblInd w:w="0" w:type="dxa"/>
        <w:tblLayout w:type="fixed"/>
        <w:tblCellMar>
          <w:top w:w="28" w:type="dxa"/>
          <w:left w:w="28" w:type="dxa"/>
          <w:bottom w:w="28" w:type="dxa"/>
          <w:right w:w="28" w:type="dxa"/>
        </w:tblCellMar>
      </w:tblPr>
      <w:tblGrid>
        <w:gridCol w:w="517"/>
        <w:gridCol w:w="454"/>
        <w:gridCol w:w="455"/>
        <w:gridCol w:w="1438"/>
        <w:gridCol w:w="1438"/>
        <w:gridCol w:w="1443"/>
        <w:gridCol w:w="149"/>
        <w:gridCol w:w="149"/>
        <w:gridCol w:w="213"/>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12.01</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Without Consent of Holders of the Notes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12.02</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 Consent of Holders of Notes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158</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12.03</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Revocation and Effect of Consents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159</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12.04</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Notation on or Exchange of Notes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159</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12.05</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Trustee to Sign Amendments,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160</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12.06</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Officer’s Certificate and Opinion of Counsel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160</w:t>
            </w:r>
          </w:p>
        </w:tc>
      </w:tr>
    </w:tbl>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ARTICLE XIII</w:t>
        <w:br/>
        <w:t>MISCELLANEOUS</w:t>
      </w:r>
    </w:p>
    <w:tbl>
      <w:tblPr>
        <w:tblW w:w="9061" w:type="dxa"/>
        <w:jc w:val="center"/>
        <w:tblInd w:w="0" w:type="dxa"/>
        <w:tblLayout w:type="fixed"/>
        <w:tblCellMar>
          <w:top w:w="28" w:type="dxa"/>
          <w:left w:w="28" w:type="dxa"/>
          <w:bottom w:w="28" w:type="dxa"/>
          <w:right w:w="28" w:type="dxa"/>
        </w:tblCellMar>
      </w:tblPr>
      <w:tblGrid>
        <w:gridCol w:w="517"/>
        <w:gridCol w:w="454"/>
        <w:gridCol w:w="455"/>
        <w:gridCol w:w="2372"/>
        <w:gridCol w:w="2372"/>
        <w:gridCol w:w="2380"/>
        <w:gridCol w:w="149"/>
        <w:gridCol w:w="149"/>
        <w:gridCol w:w="213"/>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13.01</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Concerning the Trust Indenture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160</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13.02</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160</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13.03</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Certificate and Opinion as to Conditions Precedent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162</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13.04</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Statements Required in Certificate or Opinion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163</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13.05</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Rules by Trustee and Agents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13.06</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No Personal Liability of Directors, Officers, Employees and Stockholders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13.07</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Governing Law; Consent to Jurisdiction; Waiver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13.08</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 Adverse Interpretation of Other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164</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13.09</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Successors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13.10</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13.11</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Execution in Counterparts; Electronic Signature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13.12</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Table of Contents, Headings,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13.13</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Force Majeure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13.14</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Legal Holidays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165</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13.15</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Benefit of the Indenture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13.16</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Controlling Party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166</w:t>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Section 13.17</w:t>
            </w:r>
          </w:p>
        </w:tc>
        <w:tc>
          <w:tcPr>
            <w:tcW w:w="7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and Restatement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166</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v</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ANNEXES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Appendix A    Provisions Relating to Initial Notes, PIK Notes and Additional Notes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SCHEDULES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1.01(a)    Specified Holders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1.01(b)    Specified Letters of Credit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6.01(b)    Existing Indebtedness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6.02(c)    Existing Liens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6.03(b)    Existing Investments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Schedule 6.07    Transactions with Affiliates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6.10    Burdensome Agreements</w:t>
      </w:r>
    </w:p>
    <w:p>
      <w:pPr>
        <w:pStyle w:val="TextBody"/>
        <w:bidi w:val="0"/>
        <w:spacing w:lineRule="auto" w:line="288" w:before="0" w:after="240"/>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A    Form of Note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B    Form of Transferee Letter of Representation for Transfers to IAI’s</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C    Form of Compliance Certificate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D    Form of Interest Election Request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E    Form of PIK Interest Election Notice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F    Form of Supplemental Indenture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Exhibit G    Form of Security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H    Form of ABL/Note Intercreditor Agreement</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vi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color w:val="000000"/>
          <w:sz w:val="24"/>
        </w:rPr>
        <w:t>AMENDED AND RESTATED</w:t>
      </w:r>
      <w:r>
        <w:rPr>
          <w:color w:val="000000"/>
        </w:rPr>
        <w:t xml:space="preserve"> </w:t>
      </w:r>
      <w:r>
        <w:rPr>
          <w:rFonts w:ascii="Times New Roman;serif" w:hAnsi="Times New Roman;serif"/>
          <w:b/>
          <w:color w:val="000000"/>
          <w:sz w:val="24"/>
        </w:rPr>
        <w:t>INDENTURE</w:t>
      </w:r>
      <w:r>
        <w:rPr>
          <w:color w:val="000000"/>
        </w:rPr>
        <w:t xml:space="preserve"> </w:t>
      </w:r>
      <w:r>
        <w:rPr>
          <w:rFonts w:ascii="Times New Roman;serif" w:hAnsi="Times New Roman;serif"/>
          <w:b w:val="false"/>
          <w:color w:val="000000"/>
          <w:sz w:val="24"/>
        </w:rPr>
        <w:t>(including all exhibits and schedules hereto, this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dated as of September 29, 2026, is made by and among </w:t>
      </w:r>
      <w:r>
        <w:rPr>
          <w:rFonts w:ascii="Times New Roman;serif" w:hAnsi="Times New Roman;serif"/>
          <w:b/>
          <w:color w:val="000000"/>
          <w:sz w:val="24"/>
        </w:rPr>
        <w:t>KLX ENERGY SERVICES HOLDINGS, INC.</w:t>
      </w:r>
      <w:r>
        <w:rPr>
          <w:rFonts w:ascii="Times New Roman;serif" w:hAnsi="Times New Roman;serif"/>
          <w:b w:val="false"/>
          <w:color w:val="000000"/>
          <w:sz w:val="24"/>
        </w:rPr>
        <w:t>,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xml:space="preserve">), each of the Guarantors from time to time party hereto, and </w:t>
      </w:r>
      <w:r>
        <w:rPr>
          <w:rFonts w:ascii="Times New Roman;serif" w:hAnsi="Times New Roman;serif"/>
          <w:b/>
          <w:color w:val="000000"/>
          <w:sz w:val="24"/>
        </w:rPr>
        <w:t>U.S. BANK TRUST COMPANY, NATIONAL ASSOCIATION</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U.S. Bank</w:t>
      </w:r>
      <w:r>
        <w:rPr>
          <w:color w:val="000000"/>
        </w:rPr>
        <w:t>”</w:t>
      </w:r>
      <w:r>
        <w:rPr>
          <w:rFonts w:ascii="Times New Roman;serif" w:hAnsi="Times New Roman;serif"/>
          <w:b w:val="false"/>
          <w:color w:val="000000"/>
          <w:sz w:val="24"/>
        </w:rPr>
        <w:t>), as trustee (in such capacity, together with its successors and assigns,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as notes collateral agent for the Secured Parties (in such capacity, together with its successors and assigns, the “</w:t>
      </w:r>
      <w:r>
        <w:rPr>
          <w:rFonts w:ascii="Times New Roman;serif" w:hAnsi="Times New Roman;serif"/>
          <w:b/>
          <w:color w:val="000000"/>
          <w:sz w:val="24"/>
        </w:rPr>
        <w:t>Collateral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WITNESSETH:</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the Issuer previously issued Senior Secured Floating Rate Cash / PIK Notes due 2030 (the “</w:t>
      </w:r>
      <w:r>
        <w:rPr>
          <w:rFonts w:ascii="Times New Roman;serif" w:hAnsi="Times New Roman;serif"/>
          <w:b/>
          <w:color w:val="000000"/>
          <w:sz w:val="24"/>
        </w:rPr>
        <w:t>Initial Notes</w:t>
      </w:r>
      <w:r>
        <w:rPr>
          <w:color w:val="000000"/>
        </w:rPr>
        <w:t xml:space="preserve">” </w:t>
      </w:r>
      <w:r>
        <w:rPr>
          <w:rFonts w:ascii="Times New Roman;serif" w:hAnsi="Times New Roman;serif"/>
          <w:b w:val="false"/>
          <w:color w:val="000000"/>
          <w:sz w:val="24"/>
        </w:rPr>
        <w:t>and, together with any PIK Notes issued under the Prior Notes Indenture referred to below, the “</w:t>
      </w:r>
      <w:r>
        <w:rPr>
          <w:rFonts w:ascii="Times New Roman;serif" w:hAnsi="Times New Roman;serif"/>
          <w:b/>
          <w:color w:val="000000"/>
          <w:sz w:val="24"/>
        </w:rPr>
        <w:t>Prior Notes</w:t>
      </w:r>
      <w:r>
        <w:rPr>
          <w:color w:val="000000"/>
        </w:rPr>
        <w:t>”</w:t>
      </w:r>
      <w:r>
        <w:rPr>
          <w:rFonts w:ascii="Times New Roman;serif" w:hAnsi="Times New Roman;serif"/>
          <w:b w:val="false"/>
          <w:color w:val="000000"/>
          <w:sz w:val="24"/>
        </w:rPr>
        <w:t>) pursuant to that certain Indenture, dated as of March 12, 2025, by and among the Issuer, the guarantors party thereto and U.S. Bank, as trustee and as notes collateral agent (as amended, supplemented or otherwise modified from time to time, the “</w:t>
      </w:r>
      <w:r>
        <w:rPr>
          <w:rFonts w:ascii="Times New Roman;serif" w:hAnsi="Times New Roman;serif"/>
          <w:b/>
          <w:color w:val="000000"/>
          <w:sz w:val="24"/>
        </w:rPr>
        <w:t>Prior Notes Indenture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in connection with the Issuer’s transferable rights offering and related backstop arrangements (“</w:t>
      </w:r>
      <w:r>
        <w:rPr>
          <w:rFonts w:ascii="Times New Roman;serif" w:hAnsi="Times New Roman;serif"/>
          <w:b/>
          <w:color w:val="000000"/>
          <w:sz w:val="24"/>
        </w:rPr>
        <w:t>Rights Offering</w:t>
      </w:r>
      <w:r>
        <w:rPr>
          <w:color w:val="000000"/>
        </w:rPr>
        <w:t>”</w:t>
      </w:r>
      <w:r>
        <w:rPr>
          <w:rFonts w:ascii="Times New Roman;serif" w:hAnsi="Times New Roman;serif"/>
          <w:b w:val="false"/>
          <w:color w:val="000000"/>
          <w:sz w:val="24"/>
        </w:rPr>
        <w:t>), the holders of Prior Notes have agreed to equitize a portion of their Prior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in connection with the Rights Offering, the Issuer desires to amend and restate the Prior Notes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WHEREAS; the Issuer has duly authorized the execution and delivery of this Indenture to provide for (a) the amendment and restatement of the Prior Notes Indenture, (b) the issuance from time to time of PIK Notes and (c) the issuance from time to time of any additional Notes (other than PIK Notes) (the “</w:t>
      </w:r>
      <w:r>
        <w:rPr>
          <w:rFonts w:ascii="Times New Roman;serif" w:hAnsi="Times New Roman;serif"/>
          <w:b/>
          <w:color w:val="000000"/>
          <w:sz w:val="24"/>
        </w:rPr>
        <w:t>Additional Notes</w:t>
      </w:r>
      <w:r>
        <w:rPr>
          <w:color w:val="000000"/>
        </w:rPr>
        <w:t xml:space="preserve">” </w:t>
      </w:r>
      <w:r>
        <w:rPr>
          <w:rFonts w:ascii="Times New Roman;serif" w:hAnsi="Times New Roman;serif"/>
          <w:b w:val="false"/>
          <w:color w:val="000000"/>
          <w:sz w:val="24"/>
        </w:rPr>
        <w:t>and, together with the Prior Notes and the PIK Notes issued after the Restatement Effective Date,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 that may be issued after the date hereof, in each case, to be guaranteed as provided herein by the Guarantors;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all things necessary have been done by the Note Parties to make this Indenture, when executed and delivered by the Note Parties and the other parties hereto, a valid, binding and legal instrument;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WHEREAS, all things necessary have been done by the Note Parties to make the Notes, when executed by the Issuer and authenticated and delivered in accordance with the provisions of this Indenture, the valid obligations of the Note Parties.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NOW, THEREFORE, THIS INDENTURE WITNESSETH: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and in consideration of the premises and the purchase of the Notes by the Holders thereof, it is mutually covenanted and agreed, for the equal and proportionate benefit of all Holders,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w:t>
        <w:br/>
        <w:t>DEFINITIONS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1.01    </w:t>
      </w:r>
      <w:r>
        <w:rPr>
          <w:rFonts w:ascii="Times New Roman;serif" w:hAnsi="Times New Roman;serif"/>
          <w:b w:val="false"/>
          <w:color w:val="000000"/>
          <w:sz w:val="24"/>
          <w:u w:val="single"/>
        </w:rPr>
        <w:t>Defined Terms</w:t>
      </w:r>
      <w:r>
        <w:rPr>
          <w:rFonts w:ascii="Times New Roman;serif" w:hAnsi="Times New Roman;serif"/>
          <w:b w:val="false"/>
          <w:color w:val="000000"/>
          <w:sz w:val="24"/>
        </w:rPr>
        <w:t>. As used in this Indenture (including in the preamble and the recitals above), the following terms shall have the meanings specified below:</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Administrative Agent</w:t>
      </w:r>
      <w:r>
        <w:rPr>
          <w:color w:val="000000"/>
        </w:rPr>
        <w:t xml:space="preserve">” </w:t>
      </w:r>
      <w:r>
        <w:rPr>
          <w:rFonts w:ascii="Times New Roman;serif" w:hAnsi="Times New Roman;serif"/>
          <w:b w:val="false"/>
          <w:color w:val="000000"/>
          <w:sz w:val="24"/>
        </w:rPr>
        <w:t>means Eclipse Business Capital LLC, in its capacity as Administrative Agent under the ABL Credit Agreement, and its successors and assigns in such capacity.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Collateral Agent</w:t>
      </w:r>
      <w:r>
        <w:rPr>
          <w:color w:val="000000"/>
        </w:rPr>
        <w:t xml:space="preserve">” </w:t>
      </w:r>
      <w:r>
        <w:rPr>
          <w:rFonts w:ascii="Times New Roman;serif" w:hAnsi="Times New Roman;serif"/>
          <w:b w:val="false"/>
          <w:color w:val="000000"/>
          <w:sz w:val="24"/>
        </w:rPr>
        <w:t>means Eclipse Business Capital LLC, in its capacity as collateral agent and/or security trustee (as applicable) under the ABL Credit Agreement, and its successors and assigns in such capacity.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Credit Agreement</w:t>
      </w:r>
      <w:r>
        <w:rPr>
          <w:color w:val="000000"/>
        </w:rPr>
        <w:t xml:space="preserve">” </w:t>
      </w:r>
      <w:r>
        <w:rPr>
          <w:rFonts w:ascii="Times New Roman;serif" w:hAnsi="Times New Roman;serif"/>
          <w:b w:val="false"/>
          <w:color w:val="000000"/>
          <w:sz w:val="24"/>
        </w:rPr>
        <w:t xml:space="preserve">means that certain Credit Agreement, dated as of March 7, 2025, by and among the Issuer, the several lenders from time to time party thereto from time to time, the ABL Administrative Agent, the ABL Collateral Agent and the other agents or parties named therein and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or indenture exchanging, extending the maturity of refinancing, renewing, replacing, substituting or otherwise restructuring, whether in the bank or debt capital markets (or combination thereof) (including increasing the amount of available borrowings thereunder, changing the maturity or adding or removing Subsidiaries as borrowers or guarantors thereunder and whether or not with the same agents, lenders, investors or holders) all or any portion of the Indebtedness under such agreement or facility or any successor or replacement agreement or facility.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Documents</w:t>
      </w:r>
      <w:r>
        <w:rPr>
          <w:color w:val="000000"/>
        </w:rPr>
        <w:t xml:space="preserve">” </w:t>
      </w:r>
      <w:r>
        <w:rPr>
          <w:rFonts w:ascii="Times New Roman;serif" w:hAnsi="Times New Roman;serif"/>
          <w:b w:val="false"/>
          <w:color w:val="000000"/>
          <w:sz w:val="24"/>
        </w:rPr>
        <w:t>means the ABL Credit Agreement, any additional credit agreement, note purchase agreement, indenture or other agreement related thereto and all other loan or note documents, collateral or security documents, notes, guarantees, instruments and agreements governing or evidencing, or executed or delivered in connection with, the ABL Credit Agreement or any Pari Passu ABL Lien Indebtedness, as such agreements or instruments may be amended, supplemented, modified, restated, replaced, renewed, refunded, restructured, increased or refinanced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Loans</w:t>
      </w:r>
      <w:r>
        <w:rPr>
          <w:color w:val="000000"/>
        </w:rPr>
        <w:t xml:space="preserve">” </w:t>
      </w:r>
      <w:r>
        <w:rPr>
          <w:rFonts w:ascii="Times New Roman;serif" w:hAnsi="Times New Roman;serif"/>
          <w:b w:val="false"/>
          <w:color w:val="000000"/>
          <w:sz w:val="24"/>
        </w:rPr>
        <w:t>has the meaning assigned to the term “Loans” in the ABL Credit Agreement (as in effect on the Closing Date)</w:t>
      </w:r>
      <w:r>
        <w:rPr>
          <w:rFonts w:ascii="Times New Roman;serif" w:hAnsi="Times New Roman;serif"/>
          <w:b/>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Obligations</w:t>
      </w:r>
      <w:r>
        <w:rPr>
          <w:color w:val="000000"/>
        </w:rPr>
        <w:t xml:space="preserve">” </w:t>
      </w:r>
      <w:r>
        <w:rPr>
          <w:rFonts w:ascii="Times New Roman;serif" w:hAnsi="Times New Roman;serif"/>
          <w:b w:val="false"/>
          <w:color w:val="000000"/>
          <w:sz w:val="24"/>
        </w:rPr>
        <w:t xml:space="preserve">means all Indebtedness, liabilities and obligations (of every kind or nature) incurred or arising under or relating to the ABL Documents that is secured by a lien permitted under </w:t>
      </w:r>
      <w:r>
        <w:rPr>
          <w:rFonts w:ascii="Times New Roman;serif" w:hAnsi="Times New Roman;serif"/>
          <w:b w:val="false"/>
          <w:color w:val="000000"/>
          <w:sz w:val="24"/>
          <w:u w:val="single"/>
        </w:rPr>
        <w:t>Section 6.02(n)</w:t>
      </w:r>
      <w:r>
        <w:rPr>
          <w:color w:val="000000"/>
        </w:rPr>
        <w:t xml:space="preserve"> </w:t>
      </w:r>
      <w:r>
        <w:rPr>
          <w:rFonts w:ascii="Times New Roman;serif" w:hAnsi="Times New Roman;serif"/>
          <w:b w:val="false"/>
          <w:color w:val="000000"/>
          <w:sz w:val="24"/>
        </w:rPr>
        <w:t>hereof, and all other obligations of the Issuer or any Guarantor in respect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 Priority Collateral</w:t>
      </w:r>
      <w:r>
        <w:rPr>
          <w:color w:val="000000"/>
        </w:rPr>
        <w:t xml:space="preserve">” </w:t>
      </w:r>
      <w:r>
        <w:rPr>
          <w:rFonts w:ascii="Times New Roman;serif" w:hAnsi="Times New Roman;serif"/>
          <w:b w:val="false"/>
          <w:color w:val="000000"/>
          <w:sz w:val="24"/>
        </w:rPr>
        <w:t>has the meaning assigned to the term “ABL Priority Collateral” in the ABL/Note Intercreditor Agreement (as in effect on the Closing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ABL/Note Intercreditor Agreement</w:t>
      </w:r>
      <w:r>
        <w:rPr>
          <w:color w:val="000000"/>
        </w:rPr>
        <w:t xml:space="preserve">” </w:t>
      </w:r>
      <w:r>
        <w:rPr>
          <w:rFonts w:ascii="Times New Roman;serif" w:hAnsi="Times New Roman;serif"/>
          <w:b w:val="false"/>
          <w:color w:val="000000"/>
          <w:sz w:val="24"/>
        </w:rPr>
        <w:t xml:space="preserve">means the Intercreditor Agreement, dated as of March 12, 2025, substantially in the form of </w:t>
      </w:r>
      <w:r>
        <w:rPr>
          <w:rFonts w:ascii="Times New Roman;serif" w:hAnsi="Times New Roman;serif"/>
          <w:b w:val="false"/>
          <w:color w:val="000000"/>
          <w:sz w:val="24"/>
          <w:u w:val="single"/>
        </w:rPr>
        <w:t>Exhibit H</w:t>
      </w:r>
      <w:r>
        <w:rPr>
          <w:rFonts w:ascii="Times New Roman;serif" w:hAnsi="Times New Roman;serif"/>
          <w:b w:val="false"/>
          <w:color w:val="000000"/>
          <w:sz w:val="24"/>
        </w:rPr>
        <w:t>, by and among the Issuer, the Subsidiary Guarantors, the Trustee, the Collateral Agent, the ABL Administrative Agent, the ABL Collateral Agent, and the other Persons from time to time party thereto, as the same may be amended, restated, supplemented or otherwise modified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ABR Note</w:t>
      </w:r>
      <w:r>
        <w:rPr>
          <w:color w:val="000000"/>
        </w:rPr>
        <w:t xml:space="preserve">” </w:t>
      </w:r>
      <w:r>
        <w:rPr>
          <w:rFonts w:ascii="Times New Roman;serif" w:hAnsi="Times New Roman;serif"/>
          <w:b w:val="false"/>
          <w:color w:val="000000"/>
          <w:sz w:val="24"/>
        </w:rPr>
        <w:t xml:space="preserve">means any Note bearing interest at a rate determined by reference to the Alternate Base Rate in accordance with the provisions of </w:t>
      </w:r>
      <w:r>
        <w:rPr>
          <w:rFonts w:ascii="Times New Roman;serif" w:hAnsi="Times New Roman;serif"/>
          <w:b w:val="false"/>
          <w:color w:val="000000"/>
          <w:sz w:val="24"/>
          <w:u w:val="single"/>
        </w:rPr>
        <w:t>Article 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ABR Term SOFR Determination Day</w:t>
      </w:r>
      <w:r>
        <w:rPr>
          <w:color w:val="000000"/>
        </w:rPr>
        <w:t xml:space="preserve">” </w:t>
      </w:r>
      <w:r>
        <w:rPr>
          <w:rFonts w:ascii="Times New Roman;serif" w:hAnsi="Times New Roman;serif"/>
          <w:b w:val="false"/>
          <w:color w:val="000000"/>
          <w:sz w:val="24"/>
        </w:rPr>
        <w:t>has the meaning assigned to such term in the definition of “Term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Additional Guarantor</w:t>
      </w:r>
      <w:r>
        <w:rPr>
          <w:color w:val="000000"/>
        </w:rPr>
        <w:t xml:space="preserve">” </w:t>
      </w:r>
      <w:r>
        <w:rPr>
          <w:rFonts w:ascii="Times New Roman;serif" w:hAnsi="Times New Roman;serif"/>
          <w:b w:val="false"/>
          <w:color w:val="000000"/>
          <w:sz w:val="24"/>
        </w:rPr>
        <w:t xml:space="preserve">means any Wholly Owned Restricted Subsidiary incorporated under the laws of the United States, any state thereof, or the District of Columbia that becomes a Guarantor after the Restatement Effective Date pursuant to </w:t>
      </w:r>
      <w:r>
        <w:rPr>
          <w:rFonts w:ascii="Times New Roman;serif" w:hAnsi="Times New Roman;serif"/>
          <w:b w:val="false"/>
          <w:color w:val="000000"/>
          <w:sz w:val="24"/>
          <w:u w:val="single"/>
        </w:rPr>
        <w:t>Section 5.12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Additional Notes</w:t>
      </w:r>
      <w:r>
        <w:rPr>
          <w:color w:val="000000"/>
        </w:rPr>
        <w:t xml:space="preserve">” </w:t>
      </w:r>
      <w:r>
        <w:rPr>
          <w:rFonts w:ascii="Times New Roman;serif" w:hAnsi="Times New Roman;serif"/>
          <w:b w:val="false"/>
          <w:color w:val="000000"/>
          <w:sz w:val="24"/>
        </w:rPr>
        <w:t xml:space="preserve">means Notes (other than the Initial Notes and the PIK Notes) issued pursuant to </w:t>
      </w:r>
      <w:r>
        <w:rPr>
          <w:rFonts w:ascii="Times New Roman;serif" w:hAnsi="Times New Roman;serif"/>
          <w:b w:val="false"/>
          <w:color w:val="000000"/>
          <w:sz w:val="24"/>
          <w:u w:val="single"/>
        </w:rPr>
        <w:t>Article II</w:t>
      </w:r>
      <w:r>
        <w:rPr>
          <w:color w:val="000000"/>
        </w:rPr>
        <w:t xml:space="preserve"> </w:t>
      </w:r>
      <w:r>
        <w:rPr>
          <w:rFonts w:ascii="Times New Roman;serif" w:hAnsi="Times New Roman;serif"/>
          <w:b w:val="false"/>
          <w:color w:val="000000"/>
          <w:sz w:val="24"/>
        </w:rPr>
        <w:t>and otherwise in compliance with the provisions of this Indenture whether or not they bear the same CUSIP number.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 xml:space="preserve">means, when used with respect to a specified person, another person that directly, or indirectly through one or more intermediaries, Controls or is Controlled by or is under common Control with the person specified;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neither any Holder nor the Trustee nor any Agent (nor any of their Affiliates) shall be deemed to be an Affiliate of the Issuer or any of their respective Subsidiaries solely by virtue of its capacity as a Holder, the Trustee or Agent 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Agent</w:t>
      </w:r>
      <w:r>
        <w:rPr>
          <w:color w:val="000000"/>
        </w:rPr>
        <w:t xml:space="preserve">” </w:t>
      </w:r>
      <w:r>
        <w:rPr>
          <w:rFonts w:ascii="Times New Roman;serif" w:hAnsi="Times New Roman;serif"/>
          <w:b w:val="false"/>
          <w:color w:val="000000"/>
          <w:sz w:val="24"/>
        </w:rPr>
        <w:t>means any Registrar, Calculation Agent, Paying Agent, Authenticating Agent, co-registrar or other agent appointed pursuant to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AHYDO Catch-Up Payment</w:t>
      </w:r>
      <w:r>
        <w:rPr>
          <w:color w:val="000000"/>
        </w:rPr>
        <w:t xml:space="preserve">” </w:t>
      </w:r>
      <w:r>
        <w:rPr>
          <w:rFonts w:ascii="Times New Roman;serif" w:hAnsi="Times New Roman;serif"/>
          <w:b w:val="false"/>
          <w:color w:val="000000"/>
          <w:sz w:val="24"/>
        </w:rPr>
        <w:t>means any mandatory prepayment or redemption pursuant to the terms of any Indebtedness in the minimum amount required to cause such Indebtedness not to be treated as an “applicable high yield discount obligation” within the meaning of Section 163(i)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Alternate Base Rate</w:t>
      </w:r>
      <w:r>
        <w:rPr>
          <w:color w:val="000000"/>
        </w:rPr>
        <w:t xml:space="preserve">” </w:t>
      </w:r>
      <w:r>
        <w:rPr>
          <w:rFonts w:ascii="Times New Roman;serif" w:hAnsi="Times New Roman;serif"/>
          <w:b w:val="false"/>
          <w:color w:val="000000"/>
          <w:sz w:val="24"/>
        </w:rPr>
        <w:t xml:space="preserve">means, for any day, a rate per annum equal to the greatest of (a) the Base Rate in effect on such day, (b) the Federal Funds Rate in effect on such day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1/2 of one percent (1.00%), and (c) Term SOFR for a one (1) month Interest Period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one percent (1.00%); </w:t>
      </w:r>
      <w:r>
        <w:rPr>
          <w:rFonts w:ascii="Times New Roman;serif" w:hAnsi="Times New Roman;serif"/>
          <w:b w:val="false"/>
          <w:i/>
          <w:color w:val="000000"/>
          <w:sz w:val="24"/>
        </w:rPr>
        <w:t>provided</w:t>
      </w:r>
      <w:r>
        <w:rPr>
          <w:rFonts w:ascii="Times New Roman;serif" w:hAnsi="Times New Roman;serif"/>
          <w:b w:val="false"/>
          <w:color w:val="000000"/>
          <w:sz w:val="24"/>
        </w:rPr>
        <w:t>, that, any change in the Alternate Base Rate due to a change in the Base Rate, the Federal Funds Rate or Term SOFR shall be effective on the effective date of such change in the Base Rate, the Federal Funds Rate or Term SOFR, as the case may be.</w:t>
      </w: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Alternate Base Rate as determined above would be less than the Floor, the Alternate Base Rate will be deemed to be the Floor.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Anti-Terrorism Laws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Applicable Date of Determination</w:t>
      </w:r>
      <w:r>
        <w:rPr>
          <w:color w:val="000000"/>
        </w:rPr>
        <w:t xml:space="preserve">” </w:t>
      </w:r>
      <w:r>
        <w:rPr>
          <w:rFonts w:ascii="Times New Roman;serif" w:hAnsi="Times New Roman;serif"/>
          <w:b w:val="false"/>
          <w:color w:val="000000"/>
          <w:sz w:val="24"/>
        </w:rPr>
        <w:t xml:space="preserve">means, for purposes of determining Consolidated Total Indebtedness and Unrestricted Cash for purposes of calculating the Total Net Leverage Ratio for purposes of determining whether an incurrence test has been satisfied, subject to </w:t>
      </w:r>
      <w:r>
        <w:rPr>
          <w:rFonts w:ascii="Times New Roman;serif" w:hAnsi="Times New Roman;serif"/>
          <w:b w:val="false"/>
          <w:color w:val="000000"/>
          <w:sz w:val="24"/>
          <w:u w:val="single"/>
        </w:rPr>
        <w:t>Section 1.06</w:t>
      </w:r>
      <w:r>
        <w:rPr>
          <w:rFonts w:ascii="Times New Roman;serif" w:hAnsi="Times New Roman;serif"/>
          <w:b w:val="false"/>
          <w:color w:val="000000"/>
          <w:sz w:val="24"/>
        </w:rPr>
        <w:t>, the date of the transaction subject to such incurrence test.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Applicable ECF Percentage</w:t>
      </w:r>
      <w:r>
        <w:rPr>
          <w:color w:val="000000"/>
        </w:rPr>
        <w:t xml:space="preserve">” </w:t>
      </w:r>
      <w:r>
        <w:rPr>
          <w:rFonts w:ascii="Times New Roman;serif" w:hAnsi="Times New Roman;serif"/>
          <w:b w:val="false"/>
          <w:color w:val="000000"/>
          <w:sz w:val="24"/>
        </w:rPr>
        <w:t xml:space="preserve">means, for any fiscal year of the Issuer, (a) seventy-five percent (75%) if the Total Net Leverage Ratio as of the last day of such fiscal year is greater than or equal to 1.50 to 1.00, (b) fifty percent (50%) if the Total Net Leverage Ratio as of the last day of such fiscal year is greater than or equal to 1.00 to 1.00 but less than 1.50 to 1.00, and (c) twenty-five percent (25%) if the Total Net Leverage Ratio as of the last day of such fiscal year is less than 1.00 to 1.00. For the purposes of calculating the Applicable ECF Percentage for any fiscal year, Total Net Leverage Ratio shall be calculated after giving effect to any redemptions or repurchases described in </w:t>
      </w:r>
      <w:r>
        <w:rPr>
          <w:rFonts w:ascii="Times New Roman;serif" w:hAnsi="Times New Roman;serif"/>
          <w:b w:val="false"/>
          <w:color w:val="000000"/>
          <w:sz w:val="24"/>
          <w:u w:val="single"/>
        </w:rPr>
        <w:t>Section 3.08(d)(ii)</w:t>
      </w:r>
      <w:r>
        <w:rPr>
          <w:color w:val="000000"/>
        </w:rPr>
        <w:t xml:space="preserve"> </w:t>
      </w:r>
      <w:r>
        <w:rPr>
          <w:rFonts w:ascii="Times New Roman;serif" w:hAnsi="Times New Roman;serif"/>
          <w:b w:val="false"/>
          <w:color w:val="000000"/>
          <w:sz w:val="24"/>
        </w:rPr>
        <w:t>during such fiscal year.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Applicable Margin</w:t>
      </w:r>
      <w:r>
        <w:rPr>
          <w:color w:val="000000"/>
        </w:rPr>
        <w:t xml:space="preserve">” </w:t>
      </w:r>
      <w:r>
        <w:rPr>
          <w:rFonts w:ascii="Times New Roman;serif" w:hAnsi="Times New Roman;serif"/>
          <w:b w:val="false"/>
          <w:color w:val="000000"/>
          <w:sz w:val="24"/>
        </w:rPr>
        <w:t>means (a) from the Restatement Effective Date until the delivery of the Compliance Certificate and financial statements for the Test Period ending September 30, 2026, a percentage per annum determined by reference to the following table as if the Secured Net Leverage Ratio then in effect was greater than 2.00:1.00 and (b), thereafter, a percentage per annum determined by reference to the Secured Net Leverage Ratio in effect from time to time as set forth below:</w:t>
      </w:r>
    </w:p>
    <w:tbl>
      <w:tblPr>
        <w:tblW w:w="10205" w:type="dxa"/>
        <w:jc w:val="left"/>
        <w:tblInd w:w="0" w:type="dxa"/>
        <w:tblLayout w:type="fixed"/>
        <w:tblCellMar>
          <w:top w:w="28" w:type="dxa"/>
          <w:left w:w="28" w:type="dxa"/>
          <w:bottom w:w="28" w:type="dxa"/>
          <w:right w:w="28" w:type="dxa"/>
        </w:tblCellMar>
      </w:tblPr>
      <w:tblGrid>
        <w:gridCol w:w="1317"/>
        <w:gridCol w:w="1157"/>
        <w:gridCol w:w="1160"/>
        <w:gridCol w:w="1092"/>
        <w:gridCol w:w="1092"/>
        <w:gridCol w:w="1093"/>
        <w:gridCol w:w="199"/>
        <w:gridCol w:w="199"/>
        <w:gridCol w:w="2896"/>
      </w:tblGrid>
      <w:tr>
        <w:trPr/>
        <w:tc>
          <w:tcPr>
            <w:tcW w:w="131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36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color w:val="000000"/>
                <w:sz w:val="24"/>
              </w:rPr>
            </w:pPr>
            <w:r>
              <w:rPr>
                <w:rFonts w:ascii="Times New Roman;serif" w:hAnsi="Times New Roman;serif"/>
                <w:b/>
                <w:color w:val="000000"/>
                <w:sz w:val="24"/>
              </w:rPr>
              <w:t>Secured Net Leverage Ratio</w:t>
            </w:r>
          </w:p>
        </w:tc>
        <w:tc>
          <w:tcPr>
            <w:tcW w:w="327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color w:val="000000"/>
                <w:sz w:val="24"/>
              </w:rPr>
            </w:pPr>
            <w:r>
              <w:rPr>
                <w:rFonts w:ascii="Times New Roman;serif" w:hAnsi="Times New Roman;serif"/>
                <w:b/>
                <w:color w:val="000000"/>
                <w:sz w:val="24"/>
              </w:rPr>
              <w:t>Applicable Margin for SOFR Notes</w:t>
            </w:r>
          </w:p>
        </w:tc>
        <w:tc>
          <w:tcPr>
            <w:tcW w:w="329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ind w:left="0" w:right="0" w:firstLine="1440"/>
              <w:jc w:val="center"/>
              <w:rPr>
                <w:rFonts w:ascii="Times New Roman;serif" w:hAnsi="Times New Roman;serif"/>
                <w:b/>
                <w:color w:val="000000"/>
                <w:sz w:val="24"/>
              </w:rPr>
            </w:pPr>
            <w:r>
              <w:rPr>
                <w:rFonts w:ascii="Times New Roman;serif" w:hAnsi="Times New Roman;serif"/>
                <w:b/>
                <w:color w:val="000000"/>
                <w:sz w:val="24"/>
              </w:rPr>
              <w:t>Applicable Margin for ABR Notes</w:t>
            </w:r>
          </w:p>
        </w:tc>
      </w:tr>
      <w:tr>
        <w:trPr/>
        <w:tc>
          <w:tcPr>
            <w:tcW w:w="36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Greater than 2.00:1.00</w:t>
            </w:r>
          </w:p>
        </w:tc>
        <w:tc>
          <w:tcPr>
            <w:tcW w:w="3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8.50%</w:t>
            </w:r>
          </w:p>
        </w:tc>
        <w:tc>
          <w:tcPr>
            <w:tcW w:w="32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7.50%</w:t>
            </w:r>
          </w:p>
        </w:tc>
      </w:tr>
      <w:tr>
        <w:trPr/>
        <w:tc>
          <w:tcPr>
            <w:tcW w:w="363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Less than or equal to 2.00:1.00 but greater than 1.50:1.00</w:t>
            </w:r>
          </w:p>
        </w:tc>
        <w:tc>
          <w:tcPr>
            <w:tcW w:w="327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8.25%</w:t>
            </w:r>
          </w:p>
        </w:tc>
        <w:tc>
          <w:tcPr>
            <w:tcW w:w="329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7.25%</w:t>
            </w:r>
          </w:p>
        </w:tc>
      </w:tr>
      <w:tr>
        <w:trPr/>
        <w:tc>
          <w:tcPr>
            <w:tcW w:w="363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Less than or equal to 1.50:1.00</w:t>
            </w:r>
          </w:p>
        </w:tc>
        <w:tc>
          <w:tcPr>
            <w:tcW w:w="327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8.00%</w:t>
            </w:r>
          </w:p>
        </w:tc>
        <w:tc>
          <w:tcPr>
            <w:tcW w:w="329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40"/>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7.00%</w:t>
            </w:r>
          </w:p>
        </w:tc>
      </w:tr>
    </w:tbl>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4"/>
        </w:rPr>
        <w:t xml:space="preserve">With respect to changes in the Applicable Margin resulting from the delivery of financial statements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xml:space="preserve">, a change in the Applicable Margin shall be effective with respect to interest accruing from the next Interest Payment Date after the date on which the Trustee and the Holders shall have received the applicable financial statements and a Compliance Certificate calculating the Secured Net Leverage Ratio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The Applicable Margin in effect at the Restatement Effective Date is 8.50%.</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erif" w:hAnsi="Times New Roman;serif"/>
          <w:b/>
          <w:color w:val="000000"/>
          <w:sz w:val="24"/>
        </w:rPr>
        <w:t>Applicable Other Indebtedness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3.11</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Applicable Tax Laws</w:t>
      </w:r>
      <w:r>
        <w:rPr>
          <w:color w:val="000000"/>
        </w:rPr>
        <w:t xml:space="preserve">” </w:t>
      </w:r>
      <w:r>
        <w:rPr>
          <w:rFonts w:ascii="Times New Roman;serif" w:hAnsi="Times New Roman;serif"/>
          <w:b w:val="false"/>
          <w:color w:val="000000"/>
          <w:sz w:val="24"/>
        </w:rPr>
        <w:t>means the Code and any other applicable Requirement of Law relating to Taxes, as in effect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Approved Electronic Communication</w:t>
      </w:r>
      <w:r>
        <w:rPr>
          <w:color w:val="000000"/>
        </w:rPr>
        <w:t xml:space="preserve">” </w:t>
      </w:r>
      <w:r>
        <w:rPr>
          <w:rFonts w:ascii="Times New Roman;serif" w:hAnsi="Times New Roman;serif"/>
          <w:b w:val="false"/>
          <w:color w:val="000000"/>
          <w:sz w:val="24"/>
        </w:rPr>
        <w:t xml:space="preserve">means each notice, demand, communication, information, document and other material transmitted, posted or otherwise made or communicated by e-mail, facsimile, or any other equivalent electronic service, whether owned, operated or hosted by the Trustee, any of its Affiliates or any other Person, that any party is obligated to, or otherwise chooses to, provide to the Trustee pursuant to this Indenture or any other Note Document, including any financial statement, financial and other report, notice, request, certificate and other information or material;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that Approved Electronic Communications shall not include any notice, demand, communication, information, document or other material that the Trustee specifically instructs a Person to deliver in physical form.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Asset Sale</w:t>
      </w:r>
      <w:r>
        <w:rPr>
          <w:color w:val="000000"/>
        </w:rPr>
        <w:t xml:space="preserve">” </w:t>
      </w:r>
      <w:r>
        <w:rPr>
          <w:rFonts w:ascii="Times New Roman;serif" w:hAnsi="Times New Roman;serif"/>
          <w:b w:val="false"/>
          <w:color w:val="000000"/>
          <w:sz w:val="24"/>
        </w:rPr>
        <w:t xml:space="preserve">means (a) any conveyance, sale, transfer or other disposition of any property pursuant to </w:t>
      </w:r>
      <w:r>
        <w:rPr>
          <w:rFonts w:ascii="Times New Roman;serif" w:hAnsi="Times New Roman;serif"/>
          <w:b w:val="false"/>
          <w:color w:val="000000"/>
          <w:sz w:val="24"/>
          <w:u w:val="single"/>
        </w:rPr>
        <w:t>Section 6.05(b)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6.05(r)</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6.05(s)</w:t>
      </w:r>
      <w:r>
        <w:rPr>
          <w:rFonts w:ascii="Times New Roman;serif" w:hAnsi="Times New Roman;serif"/>
          <w:b w:val="false"/>
          <w:color w:val="000000"/>
          <w:sz w:val="24"/>
        </w:rPr>
        <w:t xml:space="preserve">, (b) any issuance or sale of any Equity Interest of any Group Member (other than to any Group Member (other than the Issuer or in the case of an issuance or sale of any Equity Interest of any Note Party to any Group Member that is not a Note Party)), and (c) any other disposition of assets by Issuer or any of its Restricted Subsidiaries which is not sold or otherwise disposed of in the ordinary course of business; </w:t>
      </w:r>
      <w:r>
        <w:rPr>
          <w:rFonts w:ascii="Times New Roman;serif" w:hAnsi="Times New Roman;serif"/>
          <w:b w:val="false"/>
          <w:i/>
          <w:color w:val="000000"/>
          <w:sz w:val="24"/>
        </w:rPr>
        <w:t>provided</w:t>
      </w:r>
      <w:r>
        <w:rPr>
          <w:rFonts w:ascii="Times New Roman;serif" w:hAnsi="Times New Roman;serif"/>
          <w:b w:val="false"/>
          <w:color w:val="000000"/>
          <w:sz w:val="24"/>
        </w:rPr>
        <w:t>, that, in any event “Asset Sales” shall exclude Casualty Events of any Group Member.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Asset Sale Threshold</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3.08(a)(i)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Authenticating Agent</w:t>
      </w:r>
      <w:r>
        <w:rPr>
          <w:color w:val="000000"/>
        </w:rPr>
        <w:t xml:space="preserve">” </w:t>
      </w:r>
      <w:r>
        <w:rPr>
          <w:rFonts w:ascii="Times New Roman;serif" w:hAnsi="Times New Roman;serif"/>
          <w:b w:val="false"/>
          <w:color w:val="000000"/>
          <w:sz w:val="24"/>
        </w:rPr>
        <w:t xml:space="preserve">means an agent appointed by the Trustee in accordance with </w:t>
      </w:r>
      <w:r>
        <w:rPr>
          <w:rFonts w:ascii="Times New Roman;serif" w:hAnsi="Times New Roman;serif"/>
          <w:b w:val="false"/>
          <w:color w:val="000000"/>
          <w:sz w:val="24"/>
          <w:u w:val="single"/>
        </w:rPr>
        <w:t>Section 2.02(d)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hereof for the purpose of authenticating the Notes.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Authentication Order</w:t>
      </w:r>
      <w:r>
        <w:rPr>
          <w:color w:val="000000"/>
        </w:rPr>
        <w:t xml:space="preserve">” </w:t>
      </w:r>
      <w:r>
        <w:rPr>
          <w:rFonts w:ascii="Times New Roman;serif" w:hAnsi="Times New Roman;serif"/>
          <w:b w:val="false"/>
          <w:color w:val="000000"/>
          <w:sz w:val="24"/>
        </w:rPr>
        <w:t xml:space="preserve">has the meaning assigned in </w:t>
      </w:r>
      <w:r>
        <w:rPr>
          <w:rFonts w:ascii="Times New Roman;serif" w:hAnsi="Times New Roman;serif"/>
          <w:b w:val="false"/>
          <w:color w:val="000000"/>
          <w:sz w:val="24"/>
          <w:u w:val="single"/>
        </w:rPr>
        <w:t>Section 2.02(c)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Available Retained ECF Amount</w:t>
      </w:r>
      <w:r>
        <w:rPr>
          <w:color w:val="000000"/>
        </w:rPr>
        <w:t xml:space="preserve">” </w:t>
      </w:r>
      <w:r>
        <w:rPr>
          <w:rFonts w:ascii="Times New Roman;serif" w:hAnsi="Times New Roman;serif"/>
          <w:b w:val="false"/>
          <w:color w:val="000000"/>
          <w:sz w:val="24"/>
        </w:rPr>
        <w:t xml:space="preserve">means, at any date of determination, the portion of Excess Cash Flow, determined on a cumulative basis for all fiscal years of Issuer (commencing with the fiscal year ending December 31, 2026) that was not required to be applied to make a Net Cash Proceeds Offer pursuant to </w:t>
      </w:r>
      <w:r>
        <w:rPr>
          <w:rFonts w:ascii="Times New Roman;serif" w:hAnsi="Times New Roman;serif"/>
          <w:b w:val="false"/>
          <w:color w:val="000000"/>
          <w:sz w:val="24"/>
          <w:u w:val="single"/>
        </w:rPr>
        <w:t>Section 3.08(d)</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in no event shall the “Available Retained ECF Amount” be less than $0.</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Available Tenor</w:t>
      </w:r>
      <w:r>
        <w:rPr>
          <w:color w:val="000000"/>
        </w:rPr>
        <w:t xml:space="preserve">” </w:t>
      </w:r>
      <w:r>
        <w:rPr>
          <w:rFonts w:ascii="Times New Roman;serif" w:hAnsi="Times New Roman;serif"/>
          <w:b w:val="false"/>
          <w:color w:val="000000"/>
          <w:sz w:val="24"/>
        </w:rPr>
        <w:t xml:space="preserve">means, as of any date of determination and with respect to the then-current Benchmark, as applicable, (a) if such Benchmark is a term rate, any tenor for such Benchmark (or component thereof) that is or may be used for determining the length of an interest period pursuant to this Indenture or (b) otherwise, any payment period for interest calculated with reference to such Benchmark (or component thereof) that is or may be used for determining any frequency of making payments of interest calculated with reference to such Benchmark pursuant to this Indenture, in each case, as of such date and not including,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avoidance of doubt, any tenor for such Benchmark that is then-removed from the definition of “Interest Period” pursuant to </w:t>
      </w:r>
      <w:r>
        <w:rPr>
          <w:rFonts w:ascii="Times New Roman;serif" w:hAnsi="Times New Roman;serif"/>
          <w:b w:val="false"/>
          <w:color w:val="000000"/>
          <w:sz w:val="24"/>
          <w:u w:val="single"/>
        </w:rPr>
        <w:t>Section 2.17(d)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Backstop Parties</w:t>
      </w:r>
      <w:r>
        <w:rPr>
          <w:color w:val="000000"/>
        </w:rPr>
        <w:t xml:space="preserve">” </w:t>
      </w:r>
      <w:r>
        <w:rPr>
          <w:rFonts w:ascii="Times New Roman;serif" w:hAnsi="Times New Roman;serif"/>
          <w:b w:val="false"/>
          <w:color w:val="000000"/>
          <w:sz w:val="24"/>
        </w:rPr>
        <w:t>as defined in the Rights Offering Backstop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Bankruptcy Code</w:t>
      </w:r>
      <w:r>
        <w:rPr>
          <w:color w:val="000000"/>
        </w:rPr>
        <w:t xml:space="preserve">” </w:t>
      </w:r>
      <w:r>
        <w:rPr>
          <w:rFonts w:ascii="Times New Roman;serif" w:hAnsi="Times New Roman;serif"/>
          <w:b w:val="false"/>
          <w:color w:val="000000"/>
          <w:sz w:val="24"/>
        </w:rPr>
        <w:t>means the Federal Bankruptcy Reform Act of 1978, as heretofore and hereafter amended, and codified as 11 U.S.C. §§ 101 et seq. and the regulations issued thereunder.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Base Rate</w:t>
      </w:r>
      <w:r>
        <w:rPr>
          <w:color w:val="000000"/>
        </w:rPr>
        <w:t xml:space="preserve">” </w:t>
      </w:r>
      <w:r>
        <w:rPr>
          <w:rFonts w:ascii="Times New Roman;serif" w:hAnsi="Times New Roman;serif"/>
          <w:b w:val="false"/>
          <w:color w:val="000000"/>
          <w:sz w:val="24"/>
        </w:rPr>
        <w:t>means the rate of interest per annum equal to the last rate quoted by The Wall Street Journal Money Rates Section as the “Prime Rate”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Issuer and approved by the Controlling Party) or any similar release by the Federal Reserve Board (as determined by the Issuer and approved by the Controlling Party). Each change in the Prime Rate shall be effective from and including the date such change is publicly announced or quoted as being effective.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Benchmark</w:t>
      </w:r>
      <w:r>
        <w:rPr>
          <w:color w:val="000000"/>
        </w:rPr>
        <w:t xml:space="preserve">” </w:t>
      </w:r>
      <w:r>
        <w:rPr>
          <w:rFonts w:ascii="Times New Roman;serif" w:hAnsi="Times New Roman;serif"/>
          <w:b w:val="false"/>
          <w:color w:val="000000"/>
          <w:sz w:val="24"/>
        </w:rPr>
        <w:t xml:space="preserve">means, initially, the Term SOFR Reference Rate;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4"/>
          <w:u w:val="single"/>
        </w:rPr>
        <w:t>Section 2.17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Benchmark Replacement</w:t>
      </w:r>
      <w:r>
        <w:rPr>
          <w:color w:val="000000"/>
        </w:rPr>
        <w:t xml:space="preserve">” </w:t>
      </w:r>
      <w:r>
        <w:rPr>
          <w:rFonts w:ascii="Times New Roman;serif" w:hAnsi="Times New Roman;serif"/>
          <w:b w:val="false"/>
          <w:color w:val="000000"/>
          <w:sz w:val="24"/>
        </w:rPr>
        <w:t>means with respect to any Benchmark Transition Event, the sum of: (a) the alternate benchmark rate that has been selected by the Issuer and approved by the Controlling Party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and (b) the related Benchmark Replacement Adjustment.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Benchmark Replacement as determined above would be less than the Floor, the Benchmark Replacement will be deemed to be the Floor for the purposes of this Indenture and the other Note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Benchmark Replacement Adjustment</w:t>
      </w:r>
      <w:r>
        <w:rPr>
          <w:color w:val="000000"/>
        </w:rPr>
        <w:t xml:space="preserve">” </w:t>
      </w:r>
      <w:r>
        <w:rPr>
          <w:rFonts w:ascii="Times New Roman;serif" w:hAnsi="Times New Roman;serif"/>
          <w:b w:val="false"/>
          <w:color w:val="000000"/>
          <w:sz w:val="24"/>
        </w:rPr>
        <w:t xml:space="preserve">means, with respect to any replacement of the then-current Benchmark with an Unadjusted Benchmark Replacement, the spread adjustment, or method for calculating or determining such spread adjustment, (which may be a positive or negative value or zero) that has been selected by the Issuer and approved by the Controlling Party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w:t>
      </w:r>
    </w:p>
    <w:p>
      <w:pPr>
        <w:pStyle w:val="TextBody"/>
        <w:bidi w:val="0"/>
        <w:spacing w:before="0" w:after="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adjustment, for the replacement of such Benchmark with the applicable Unadjusted Benchmark Replacement for Dollar-denominated syndicated credit facilities at such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Benchmark Replacement Date</w:t>
      </w:r>
      <w:r>
        <w:rPr>
          <w:color w:val="000000"/>
        </w:rPr>
        <w:t xml:space="preserve">” </w:t>
      </w:r>
      <w:r>
        <w:rPr>
          <w:rFonts w:ascii="Times New Roman;serif" w:hAnsi="Times New Roman;serif"/>
          <w:b w:val="false"/>
          <w:color w:val="000000"/>
          <w:sz w:val="24"/>
        </w:rPr>
        <w:t>means the earliest to occur of the following events with respect to the then-current Benchmark:</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in the case of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in the case of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 xml:space="preserve">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non-representativeness will be determined by reference to the most recent statement or publication referenced in such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and even if any Available Tenor of such Benchmark (or such component thereof) continues to be provided on such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For the avoidance of doubt, the “Benchmark Replacement Date” will be deemed to have occurred in the case of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color w:val="000000"/>
        </w:rPr>
        <w:t> </w:t>
      </w:r>
      <w:r>
        <w:rPr>
          <w:rFonts w:ascii="Times New Roman;serif" w:hAnsi="Times New Roman;serif"/>
          <w:b w:val="false"/>
          <w:color w:val="000000"/>
          <w:sz w:val="24"/>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erif" w:hAnsi="Times New Roman;serif"/>
          <w:b w:val="false"/>
          <w:i/>
          <w:color w:val="000000"/>
          <w:sz w:val="24"/>
        </w:rPr>
        <w:t>provided</w:t>
      </w:r>
      <w:r>
        <w:rPr>
          <w:rFonts w:ascii="Times New Roman;serif" w:hAnsi="Times New Roman;serif"/>
          <w:b w:val="false"/>
          <w:color w:val="000000"/>
          <w:sz w:val="24"/>
        </w:rPr>
        <w:t>,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at the </w:t>
      </w:r>
    </w:p>
    <w:p>
      <w:pPr>
        <w:pStyle w:val="TextBody"/>
        <w:bidi w:val="0"/>
        <w:spacing w:before="0" w:after="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Benchmark Unavailability Period</w:t>
      </w:r>
      <w:r>
        <w:rPr>
          <w:color w:val="000000"/>
        </w:rPr>
        <w:t xml:space="preserve">” </w:t>
      </w:r>
      <w:r>
        <w:rPr>
          <w:rFonts w:ascii="Times New Roman;serif" w:hAnsi="Times New Roman;serif"/>
          <w:b w:val="false"/>
          <w:color w:val="000000"/>
          <w:sz w:val="24"/>
        </w:rPr>
        <w:t xml:space="preserve">means, the period (if any) (a) beginning at the time that a Benchmark Replacement Date has occurred if, at such time, no Benchmark Replacement has replaced the then-current Benchmark for all purposes hereunder and under any Note Document in accordance with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 xml:space="preserve">and (b) ending at the time that a Benchmark Replacement has replaced the then-current Benchmark for all purposes hereunder and under any Note Document in accordance with </w:t>
      </w:r>
      <w:r>
        <w:rPr>
          <w:rFonts w:ascii="Times New Roman;serif" w:hAnsi="Times New Roman;serif"/>
          <w:b w:val="false"/>
          <w:color w:val="000000"/>
          <w:sz w:val="24"/>
          <w:u w:val="single"/>
        </w:rPr>
        <w:t>Section 2.17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Board of Governors of the Federal Reserve System of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Board of Directors</w:t>
      </w:r>
      <w:r>
        <w:rPr>
          <w:color w:val="000000"/>
        </w:rPr>
        <w:t xml:space="preserve">” </w:t>
      </w:r>
      <w:r>
        <w:rPr>
          <w:rFonts w:ascii="Times New Roman;serif" w:hAnsi="Times New Roman;serif"/>
          <w:b w:val="false"/>
          <w:color w:val="000000"/>
          <w:sz w:val="24"/>
        </w:rPr>
        <w:t>means, with respect to any person, (a) in the case of any corporation, the board of directors of such person, (b) in the case of any limited liability company, the board of managers, manager, member, sole member, or managing member of such person, (c) in the case of any partnership, the general partner of such person and (d) in any other case, the functional equivalent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Business Day</w:t>
      </w:r>
      <w:r>
        <w:rPr>
          <w:color w:val="000000"/>
        </w:rPr>
        <w:t xml:space="preserve">” </w:t>
      </w:r>
      <w:r>
        <w:rPr>
          <w:rFonts w:ascii="Times New Roman;serif" w:hAnsi="Times New Roman;serif"/>
          <w:b w:val="false"/>
          <w:color w:val="000000"/>
          <w:sz w:val="24"/>
        </w:rPr>
        <w:t>means any day other than a Saturday, Sunday or other day on which financial institutions are authorized to close under the Requirements of Law of, or are in fact closed in, Houston, Texas, the State of New York or a place of payment and, if such day relates to any SOFR Note, means any such day that is also a U.S. Government Securities Business Day.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Calculation Agent</w:t>
      </w:r>
      <w:r>
        <w:rPr>
          <w:color w:val="000000"/>
        </w:rPr>
        <w:t xml:space="preserve">” </w:t>
      </w:r>
      <w:r>
        <w:rPr>
          <w:rFonts w:ascii="Times New Roman;serif" w:hAnsi="Times New Roman;serif"/>
          <w:b w:val="false"/>
          <w:color w:val="000000"/>
          <w:sz w:val="24"/>
        </w:rPr>
        <w:t xml:space="preserve">means the agent appointed by the Issuer and approved by the Controlling Party for the purposes of determining Term SOFR or the Term SOFR Reference Rate (or other applicable benchmark rate). U.S. Bank shall be the initial Calculation Agent.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Call Premium</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3.07(b)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Call Premium Deficit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11.08(b)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Called Principal</w:t>
      </w:r>
      <w:r>
        <w:rPr>
          <w:color w:val="000000"/>
        </w:rPr>
        <w:t xml:space="preserve">” </w:t>
      </w:r>
      <w:r>
        <w:rPr>
          <w:rFonts w:ascii="Times New Roman;serif" w:hAnsi="Times New Roman;serif"/>
          <w:b w:val="false"/>
          <w:color w:val="000000"/>
          <w:sz w:val="24"/>
        </w:rPr>
        <w:t>means, with respect to any Note, the amount of principal of such Note that is to be redeemed.</w:t>
      </w:r>
    </w:p>
    <w:p>
      <w:pPr>
        <w:pStyle w:val="TextBody"/>
        <w:bidi w:val="0"/>
        <w:spacing w:before="0" w:after="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Capital Assets</w:t>
      </w:r>
      <w:r>
        <w:rPr>
          <w:color w:val="000000"/>
        </w:rPr>
        <w:t xml:space="preserve">” </w:t>
      </w:r>
      <w:r>
        <w:rPr>
          <w:rFonts w:ascii="Times New Roman;serif" w:hAnsi="Times New Roman;serif"/>
          <w:b w:val="false"/>
          <w:color w:val="000000"/>
          <w:sz w:val="24"/>
        </w:rPr>
        <w:t>means, with respect to any person, all equipment, rolling stock, aircraft, fixed assets and Real Property or improvements of such person, or replacements or substitutions therefor or additions thereto, that, in accordance with GAAP, have been or should be reflected as additions to property, plant or equipment on the balance sheet of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Capital Expenditures</w:t>
      </w:r>
      <w:r>
        <w:rPr>
          <w:color w:val="000000"/>
        </w:rPr>
        <w:t xml:space="preserve">” </w:t>
      </w:r>
      <w:r>
        <w:rPr>
          <w:rFonts w:ascii="Times New Roman;serif" w:hAnsi="Times New Roman;serif"/>
          <w:b w:val="false"/>
          <w:color w:val="000000"/>
          <w:sz w:val="24"/>
        </w:rPr>
        <w:t>means, for any period, the aggregate of, without duplication, all expenditures (whether paid in cash or accrued as liabilities) by Issuer and its Restricted Subsidiaries during such period that, in conformity with GAAP, are or are required to be included as additions during such period to property, plant or equipment reflected in the consolidated balance sheet of Issuer and its Restricted Subsidiaries.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Capital Lease Obligations</w:t>
      </w:r>
      <w:r>
        <w:rPr>
          <w:color w:val="000000"/>
        </w:rPr>
        <w:t xml:space="preserve">” </w:t>
      </w:r>
      <w:r>
        <w:rPr>
          <w:rFonts w:ascii="Times New Roman;serif" w:hAnsi="Times New Roman;serif"/>
          <w:b w:val="false"/>
          <w:color w:val="000000"/>
          <w:sz w:val="24"/>
        </w:rPr>
        <w:t>means, at the time any determination thereof is to be made, the amount of the liability in respect of a Capital Lease that would at such time be required to be capitalized and reflected as a liability on a balance sheet (excluding the footnotes thereto) prepared in accordance with GAAP.</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Capital Leases</w:t>
      </w:r>
      <w:r>
        <w:rPr>
          <w:color w:val="000000"/>
        </w:rPr>
        <w:t xml:space="preserve">” </w:t>
      </w:r>
      <w:r>
        <w:rPr>
          <w:rFonts w:ascii="Times New Roman;serif" w:hAnsi="Times New Roman;serif"/>
          <w:b w:val="false"/>
          <w:color w:val="000000"/>
          <w:sz w:val="24"/>
        </w:rPr>
        <w:t xml:space="preserve">means all leases that are required to be, in accordance with GAAP, recorded as capitalized leases; </w:t>
      </w:r>
      <w:r>
        <w:rPr>
          <w:rFonts w:ascii="Times New Roman;serif" w:hAnsi="Times New Roman;serif"/>
          <w:b w:val="false"/>
          <w:i/>
          <w:color w:val="000000"/>
          <w:sz w:val="24"/>
        </w:rPr>
        <w:t>provided</w:t>
      </w:r>
      <w:r>
        <w:rPr>
          <w:rFonts w:ascii="Times New Roman;serif" w:hAnsi="Times New Roman;serif"/>
          <w:b w:val="false"/>
          <w:color w:val="000000"/>
          <w:sz w:val="24"/>
        </w:rPr>
        <w:t>, that, the adoption or issuance of any accounting standards after the Closing Date will not cause any lease that was not or would not have been a Capital Lease prior to such adoption or issuance to be deemed a Capital Lease.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Cash Election</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2.13(g)(i)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Cash Equivalents</w:t>
      </w:r>
      <w:r>
        <w:rPr>
          <w:color w:val="000000"/>
        </w:rPr>
        <w:t xml:space="preserve">” </w:t>
      </w:r>
      <w:r>
        <w:rPr>
          <w:rFonts w:ascii="Times New Roman;serif" w:hAnsi="Times New Roman;serif"/>
          <w:b w:val="false"/>
          <w:color w:val="000000"/>
          <w:sz w:val="24"/>
        </w:rPr>
        <w:t xml:space="preserve">means (a) securities issued or directly and fully guaranteed or insured by the United States Government or any agency or instrumentality thereof having maturities of not more than one year from the date of acquisition, (b) certificates of deposit and eurodollar time deposits with maturities of one year or less from the date of acquisition, bankers’ acceptances with maturities not exceeding one year and overnight bank deposits, in each case, with any Holder or with any domestic commercial bank having capital and surplus in excess of $500,000,000, (c) repurchase obligations with a term of not more than thirty (30) days for underlying securities of the types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entered into with any financial institution meeting the qualifications specified in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above, (d) commercial paper issued by any Holder, the parent corporation of any Holder or any Subsidiary of such Holder’s parent corporation, and commercial paper rated at least A-2 or the equivalent thereof by S&amp;P or at least P-2 or the equivalent thereof by Moody’s and in each case maturing within one year after the date of acquisition thereof, (e) money market funds that (i) comply with the criteria set forth in Securities and Exchange Commission Rule 2a-7 under the Investment Company Act of 1940, (ii) are rated AA by S&amp;P and Aa by Moody’s and (iii) have portfolio assets of at least $5,000,000,000, (f) money market funds existing on the Closing Date that are listed on </w:t>
      </w:r>
      <w:r>
        <w:rPr>
          <w:rFonts w:ascii="Times New Roman;serif" w:hAnsi="Times New Roman;serif"/>
          <w:b w:val="false"/>
          <w:color w:val="000000"/>
          <w:sz w:val="24"/>
          <w:u w:val="single"/>
        </w:rPr>
        <w:t>Schedule 1.02</w:t>
      </w:r>
      <w:r>
        <w:rPr>
          <w:rFonts w:ascii="Times New Roman;serif" w:hAnsi="Times New Roman;serif"/>
          <w:b w:val="false"/>
          <w:color w:val="000000"/>
          <w:sz w:val="24"/>
        </w:rPr>
        <w:t xml:space="preserve">, and (g) in the case of Foreign Subsidiaries, investments that are substantially equivalent to the foregoing investments described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above that are available in the currency of the jurisdiction in which such Foreign Subsidiary is organized.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Cash Management Agreement</w:t>
      </w:r>
      <w:r>
        <w:rPr>
          <w:color w:val="000000"/>
        </w:rPr>
        <w:t xml:space="preserve">” </w:t>
      </w:r>
      <w:r>
        <w:rPr>
          <w:rFonts w:ascii="Times New Roman;serif" w:hAnsi="Times New Roman;serif"/>
          <w:b w:val="false"/>
          <w:color w:val="000000"/>
          <w:sz w:val="24"/>
        </w:rPr>
        <w:t>means any agreement to provide to any Group Member any cash management services, including treasury, depository, overdraft, credit or debit card, electronic funds transfer and other cash management arrangements.</w:t>
      </w:r>
    </w:p>
    <w:p>
      <w:pPr>
        <w:pStyle w:val="TextBody"/>
        <w:bidi w:val="0"/>
        <w:spacing w:before="0" w:after="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Casualty Event</w:t>
      </w:r>
      <w:r>
        <w:rPr>
          <w:color w:val="000000"/>
        </w:rPr>
        <w:t xml:space="preserve">” </w:t>
      </w:r>
      <w:r>
        <w:rPr>
          <w:rFonts w:ascii="Times New Roman;serif" w:hAnsi="Times New Roman;serif"/>
          <w:b w:val="false"/>
          <w:color w:val="000000"/>
          <w:sz w:val="24"/>
        </w:rPr>
        <w:t>means any involuntary loss of title, any involuntary loss of, damage to or any destruction of, or any condemnation or other taking (including by any Governmental Authority) of, any property of any Group Member. “</w:t>
      </w:r>
      <w:r>
        <w:rPr>
          <w:rFonts w:ascii="Times New Roman;serif" w:hAnsi="Times New Roman;serif"/>
          <w:b/>
          <w:color w:val="000000"/>
          <w:sz w:val="24"/>
        </w:rPr>
        <w:t>Casualty Event</w:t>
      </w:r>
      <w:r>
        <w:rPr>
          <w:color w:val="000000"/>
        </w:rPr>
        <w:t xml:space="preserve">” </w:t>
      </w:r>
      <w:r>
        <w:rPr>
          <w:rFonts w:ascii="Times New Roman;serif" w:hAnsi="Times New Roman;serif"/>
          <w:b w:val="false"/>
          <w:color w:val="000000"/>
          <w:sz w:val="24"/>
        </w:rPr>
        <w:t>shall include but not be limited to any taking of all or any part of any Real Property of any Person or any part thereof, in or by condemnation or other eminent domain proceedings pursuant to any Requirement of Law, or by reason of the temporary requisition of the use or occupancy of all or any part of any Real Property of any Person or any part thereof by any Governmental Authority, civil or military, or any settlement in lieu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Casualty Event Threshold</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3.08(c)(i)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CERCLA</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10.07(f)</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CFC</w:t>
      </w:r>
      <w:r>
        <w:rPr>
          <w:color w:val="000000"/>
        </w:rPr>
        <w:t xml:space="preserve">” </w:t>
      </w:r>
      <w:r>
        <w:rPr>
          <w:rFonts w:ascii="Times New Roman;serif" w:hAnsi="Times New Roman;serif"/>
          <w:b w:val="false"/>
          <w:color w:val="000000"/>
          <w:sz w:val="24"/>
        </w:rPr>
        <w:t>means a Foreign Subsidiary directly or indirectly owned (within the meaning of Section 958(a) of the Code) by the Issuer which Foreign Subsidiary is a controlled foreign corporation within the meaning of Section 957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CFC Holding Company</w:t>
      </w:r>
      <w:r>
        <w:rPr>
          <w:color w:val="000000"/>
        </w:rPr>
        <w:t xml:space="preserve">” </w:t>
      </w:r>
      <w:r>
        <w:rPr>
          <w:rFonts w:ascii="Times New Roman;serif" w:hAnsi="Times New Roman;serif"/>
          <w:b w:val="false"/>
          <w:color w:val="000000"/>
          <w:sz w:val="24"/>
        </w:rPr>
        <w:t xml:space="preserve">means any Subsidiary that owns no material assets other than (i) Equity Interests or (ii) Equity Interests and Indebtedness, in each case of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of one or more (a) CFCs or (b) other Subsidiaries that are CFC Holding Companies.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Change of Control</w:t>
      </w:r>
      <w:r>
        <w:rPr>
          <w:color w:val="000000"/>
        </w:rPr>
        <w:t xml:space="preserve">” </w:t>
      </w:r>
      <w:r>
        <w:rPr>
          <w:rFonts w:ascii="Times New Roman;serif" w:hAnsi="Times New Roman;serif"/>
          <w:b w:val="false"/>
          <w:color w:val="000000"/>
          <w:sz w:val="24"/>
        </w:rPr>
        <w:t>means the occurrence of any of the following events after the Restatement Effective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direct or indirect sale, transfer, conveyance or other disposition (other than by way of merger or consolidation), in one or a series of related transactions, of all or substantially all of the properties or assets of the Issuer and its Restricted Subsidiaries, taken as a whole, to any “person” (as that term is used in Section 13(d)(3) of the Exchange Act) (other than any Permitted Holder);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any “person” or “group” (as such terms are used in Section 13(d) and 14(d) of the Exchange Act and the rules of the SEC thereunder as in effect on the date hereof) (other than the Permitted Holders), has acquired or owned, directly or indirectly, beneficially or of record, by way of merger, consolidation or otherwise, Equity Interests representing fifty percent (50%) or more (on a fully-diluted basis and giving effect to the conversion and exercise of all outstanding rights, warrants (including the Warrants), options, convertible securities, exchangeable securities, indebtedness or other rights, in each case, exercisable for or convertible or exchangeable into, directly or indirectly, Equity Interests (or convertible or exchangeable securities) of the Issuer, whether at the time of issuance or upon the passage of time or the occurrence of some future event (whether or not such securities are then currently convertible or exercisable and taking into account all such securities that such “person” or “group” has the right to acquire pursuant to any option right)) of the aggregate ordinary voting power represented by the issued and outstanding Equity Interests of the Issuer (irrespective of whether, at the time, Equity Interests of any other class or classes of the Issuer shall have or might have voting power by reason of the happening of any contingency). For this purpose, a person or group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deemed to have “beneficial ownership” of all securities that any such person or group has the right to acquire, whether such right is exercisable immediately or only after the passage of time (such right, an “</w:t>
      </w:r>
      <w:r>
        <w:rPr>
          <w:rFonts w:ascii="Times New Roman;serif" w:hAnsi="Times New Roman;serif"/>
          <w:b/>
          <w:color w:val="000000"/>
          <w:sz w:val="24"/>
        </w:rPr>
        <w:t>option right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such person or group shall not include any holder of Warrants); 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during any period of 12 (twelve) consecutive months, a majority of the members of the board of directors or other equivalent governing body of the Issuer cease to be composed of individuals (i) who were members of that board or equivalent governing body at the time of the Restatement Effective Date, (ii) whose election or nomination to that board or equivalent governing body was approved by individuals referred to in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constituting at the time of such election or nomination at least a majority of that board or equivalent governing body, (iii) whose election or nomination to that board or other equivalent governing body was approved by individuals referred to in </w:t>
      </w:r>
      <w:r>
        <w:rPr>
          <w:rFonts w:ascii="Times New Roman;serif" w:hAnsi="Times New Roman;serif"/>
          <w:b w:val="false"/>
          <w:color w:val="000000"/>
          <w:sz w:val="24"/>
          <w:u w:val="single"/>
        </w:rPr>
        <w:t>sub-clauses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constituting at the time of such election or nomination at least a majority of that board or equivalent governing body or (iv) whose election or nomination to that board or equivalent governing body was approved by any Permitted Holder.</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the preceding or any provision of Rule 13d-3 or 13d-5 of the Exchange Act, (i) a Person or group shall not be deemed to beneficially own Equity Interests subject to an equity or asset purchase agreement, merger agreement, option agreement, warrant agreement or similar agreement (or voting or option or similar agreement related thereto) until the consummation of the acquisition of the Equity Interests in connection with the transactions contemplated by such agreement, (ii) if any group (other than a Permitted Holder) includes one or more Permitted Holders, the issued and outstanding Equity Interests of the Issuer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Equity Interests of another Person as a result of its ownership of Equity Interests or other securities of such other Person’s parent entity (or related contractual rights) unless it owns 50% or more of the total voting power of the Equity Interests entitled to vote for the election of directors of such parent entity having a majority of the aggregate votes on the Board of such parent entity and (iv) the right to acquire Equity Interests (as long as such Person does not have the right to direct the voting of the Equity Interests subject to such right) or any veto power in connection with the acquisition or disposition of Equity Interests will not cause a party to be a beneficial owner.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Change of Control Offer</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3.09(b)(ii)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Change of Control Payment Date</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3.09(b)(ii)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Change of Control Purchase Price</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3.09(a)</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Change of Control Triggering Event</w:t>
      </w:r>
      <w:r>
        <w:rPr>
          <w:color w:val="000000"/>
        </w:rPr>
        <w:t xml:space="preserve">” </w:t>
      </w:r>
      <w:r>
        <w:rPr>
          <w:rFonts w:ascii="Times New Roman;serif" w:hAnsi="Times New Roman;serif"/>
          <w:b w:val="false"/>
          <w:color w:val="000000"/>
          <w:sz w:val="24"/>
        </w:rPr>
        <w:t xml:space="preserve">means the occurrence of both a Change of Control and a Rating Event.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Closing Date</w:t>
      </w:r>
      <w:r>
        <w:rPr>
          <w:color w:val="000000"/>
        </w:rPr>
        <w:t xml:space="preserve">” </w:t>
      </w:r>
      <w:r>
        <w:rPr>
          <w:rFonts w:ascii="Times New Roman;serif" w:hAnsi="Times New Roman;serif"/>
          <w:b w:val="false"/>
          <w:color w:val="000000"/>
          <w:sz w:val="24"/>
        </w:rPr>
        <w:t>means the date on which the Initial Notes were originally issued.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Closing Date Transactions</w:t>
      </w:r>
      <w:r>
        <w:rPr>
          <w:color w:val="000000"/>
        </w:rPr>
        <w:t xml:space="preserve">” </w:t>
      </w:r>
      <w:r>
        <w:rPr>
          <w:rFonts w:ascii="Times New Roman;serif" w:hAnsi="Times New Roman;serif"/>
          <w:b w:val="false"/>
          <w:color w:val="000000"/>
          <w:sz w:val="24"/>
        </w:rPr>
        <w:t>means the “Transactions”</w:t>
      </w:r>
      <w:r>
        <w:rPr>
          <w:color w:val="000000"/>
        </w:rPr>
        <w:t xml:space="preserve"> </w:t>
      </w:r>
      <w:r>
        <w:rPr>
          <w:rFonts w:ascii="Times New Roman;serif" w:hAnsi="Times New Roman;serif"/>
          <w:b w:val="false"/>
          <w:color w:val="000000"/>
          <w:sz w:val="24"/>
        </w:rPr>
        <w:t>under and as defined in the Prior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Collateral</w:t>
      </w:r>
      <w:r>
        <w:rPr>
          <w:color w:val="000000"/>
        </w:rPr>
        <w:t xml:space="preserve">” </w:t>
      </w:r>
      <w:r>
        <w:rPr>
          <w:rFonts w:ascii="Times New Roman;serif" w:hAnsi="Times New Roman;serif"/>
          <w:b w:val="false"/>
          <w:color w:val="000000"/>
          <w:sz w:val="24"/>
        </w:rPr>
        <w:t xml:space="preserve">means, collectively, all of the Security Agreement Collateral, all of the Mortgaged Properties and all other property of whatever kind and </w:t>
      </w:r>
      <w:r>
        <w:rPr>
          <w:rFonts w:ascii="Times New Roman;serif" w:hAnsi="Times New Roman;serif"/>
          <w:b w:val="false"/>
          <w:color w:val="000000"/>
          <w:sz w:val="24"/>
          <w:u w:val="single"/>
        </w:rPr>
        <w:t>nature</w:t>
      </w:r>
      <w:r>
        <w:rPr>
          <w:rFonts w:ascii="Times New Roman;serif" w:hAnsi="Times New Roman;serif"/>
          <w:b w:val="false"/>
          <w:color w:val="000000"/>
          <w:sz w:val="24"/>
        </w:rPr>
        <w:t>, whether now owned or hereinafter acquired, subject or purported to be subject from time to time to a Lien under any Security Document, but in any event excluding the Excluded Property and Excluded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Collateral Agent</w:t>
      </w:r>
      <w:r>
        <w:rPr>
          <w:color w:val="000000"/>
        </w:rPr>
        <w:t xml:space="preserve">” </w:t>
      </w:r>
      <w:r>
        <w:rPr>
          <w:rFonts w:ascii="Times New Roman;serif" w:hAnsi="Times New Roman;serif"/>
          <w:b w:val="false"/>
          <w:color w:val="000000"/>
          <w:sz w:val="24"/>
        </w:rPr>
        <w:t xml:space="preserve">has the meaning assigned to such term in the preamble hereto, and includes each other person appointed as a successor thereto pursuant to </w:t>
      </w:r>
      <w:r>
        <w:rPr>
          <w:rFonts w:ascii="Times New Roman;serif" w:hAnsi="Times New Roman;serif"/>
          <w:b w:val="false"/>
          <w:color w:val="000000"/>
          <w:sz w:val="24"/>
          <w:u w:val="single"/>
        </w:rPr>
        <w:t>Article IX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Common Stock</w:t>
      </w:r>
      <w:r>
        <w:rPr>
          <w:color w:val="000000"/>
        </w:rPr>
        <w:t xml:space="preserve">” </w:t>
      </w:r>
      <w:r>
        <w:rPr>
          <w:rFonts w:ascii="Times New Roman;serif" w:hAnsi="Times New Roman;serif"/>
          <w:b w:val="false"/>
          <w:color w:val="000000"/>
          <w:sz w:val="24"/>
        </w:rPr>
        <w:t>means the common stock of the Issuer, par value $0.01 per share.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Compliance Certificate</w:t>
      </w:r>
      <w:r>
        <w:rPr>
          <w:color w:val="000000"/>
        </w:rPr>
        <w:t xml:space="preserve">” </w:t>
      </w:r>
      <w:r>
        <w:rPr>
          <w:rFonts w:ascii="Times New Roman;serif" w:hAnsi="Times New Roman;serif"/>
          <w:b w:val="false"/>
          <w:color w:val="000000"/>
          <w:sz w:val="24"/>
        </w:rPr>
        <w:t xml:space="preserve">means a certificate of a Financial Officer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Conforming Changes</w:t>
      </w:r>
      <w:r>
        <w:rPr>
          <w:color w:val="000000"/>
        </w:rPr>
        <w:t xml:space="preserve">” </w:t>
      </w:r>
      <w:r>
        <w:rPr>
          <w:rFonts w:ascii="Times New Roman;serif" w:hAnsi="Times New Roman;serif"/>
          <w:b w:val="false"/>
          <w:color w:val="000000"/>
          <w:sz w:val="24"/>
        </w:rPr>
        <w:t xml:space="preserve">means, with respect to either the use or administration of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the applicability and length of lookback periods, the applicability of </w:t>
      </w:r>
      <w:r>
        <w:rPr>
          <w:rFonts w:ascii="Times New Roman;serif" w:hAnsi="Times New Roman;serif"/>
          <w:b w:val="false"/>
          <w:color w:val="000000"/>
          <w:sz w:val="24"/>
          <w:u w:val="single"/>
        </w:rPr>
        <w:t>Section 2.17</w:t>
      </w:r>
      <w:r>
        <w:rPr>
          <w:color w:val="000000"/>
        </w:rPr>
        <w:t xml:space="preserve"> </w:t>
      </w:r>
      <w:r>
        <w:rPr>
          <w:rFonts w:ascii="Times New Roman;serif" w:hAnsi="Times New Roman;serif"/>
          <w:b w:val="false"/>
          <w:color w:val="000000"/>
          <w:sz w:val="24"/>
        </w:rPr>
        <w:t>and other technical, administrative or operational matters) that the Issuer (with the approval of the Controlling Party) decides may be appropriate to reflect the adoption and implementation of any such rate or to permit the use and administration thereof in a manner substantially consistent with market practice (or, if the Issuer (with the approval of the Controlling Party) decides that adoption of any portion of such market practice is not administratively feasible or if the Issuer (with the approval of the Controlling Party) determines that no market practice for the administration of any such rate exists, in such other manner of administration as the Issuer (with the approval of the Controlling Party) decides is reasonably necessary in connection with the administration of this Indenture and the other Note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Current Assets</w:t>
      </w:r>
      <w:r>
        <w:rPr>
          <w:color w:val="000000"/>
        </w:rPr>
        <w:t xml:space="preserve">” </w:t>
      </w:r>
      <w:r>
        <w:rPr>
          <w:rFonts w:ascii="Times New Roman;serif" w:hAnsi="Times New Roman;serif"/>
          <w:b w:val="false"/>
          <w:color w:val="000000"/>
          <w:sz w:val="24"/>
        </w:rPr>
        <w:t xml:space="preserve">means, as at any date of determination, the total assets of Issuer and its Restricted Subsidiaries which may properly be classified as current assets (excluding deferred tax assets without duplication of amounts otherwise added in calculating </w:t>
      </w:r>
    </w:p>
    <w:p>
      <w:pPr>
        <w:pStyle w:val="TextBody"/>
        <w:bidi w:val="0"/>
        <w:spacing w:before="0" w:after="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Excess Cash Flow) on a consolidated balance sheet of Issuer and its Restricted Subsidiaries in accordance with GAAP, excluding cash and Cash Equivalents; </w:t>
      </w:r>
      <w:r>
        <w:rPr>
          <w:rFonts w:ascii="Times New Roman;serif" w:hAnsi="Times New Roman;serif"/>
          <w:b w:val="false"/>
          <w:i/>
          <w:color w:val="000000"/>
          <w:sz w:val="24"/>
        </w:rPr>
        <w:t>provided</w:t>
      </w:r>
      <w:r>
        <w:rPr>
          <w:rFonts w:ascii="Times New Roman;serif" w:hAnsi="Times New Roman;serif"/>
          <w:b w:val="false"/>
          <w:color w:val="000000"/>
          <w:sz w:val="24"/>
        </w:rPr>
        <w:t>, that, Consolidated Current Assets shall be calculated without giving effect to the impact of purchase accounting.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Current Liabilities</w:t>
      </w:r>
      <w:r>
        <w:rPr>
          <w:color w:val="000000"/>
        </w:rPr>
        <w:t xml:space="preserve">” </w:t>
      </w:r>
      <w:r>
        <w:rPr>
          <w:rFonts w:ascii="Times New Roman;serif" w:hAnsi="Times New Roman;serif"/>
          <w:b w:val="false"/>
          <w:color w:val="000000"/>
          <w:sz w:val="24"/>
        </w:rPr>
        <w:t xml:space="preserve">means, as at any date of determination, the total liabilities (excluding deferred taxes and taxes payable, in each case, without duplication of amounts otherwise deducted in calculating Excess Cash Flow) of Issuer and its Restricted Subsidiaries which may properly be classified as current liabilities (other than the current portion of any Indebtedness and other long term liabilities, and accrued interest thereon) on a consolidated balance sheet of Issuer and its Restricted Subsidiaries in accordance with GAAP; </w:t>
      </w:r>
      <w:r>
        <w:rPr>
          <w:rFonts w:ascii="Times New Roman;serif" w:hAnsi="Times New Roman;serif"/>
          <w:b w:val="false"/>
          <w:i/>
          <w:color w:val="000000"/>
          <w:sz w:val="24"/>
        </w:rPr>
        <w:t>provided</w:t>
      </w:r>
      <w:r>
        <w:rPr>
          <w:rFonts w:ascii="Times New Roman;serif" w:hAnsi="Times New Roman;serif"/>
          <w:b w:val="false"/>
          <w:color w:val="000000"/>
          <w:sz w:val="24"/>
        </w:rPr>
        <w:t>, that, Consolidated Current Liabilities shall be calculated without giving effect to the impact of purchase accounting.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EBITDA</w:t>
      </w:r>
      <w:r>
        <w:rPr>
          <w:color w:val="000000"/>
        </w:rPr>
        <w:t xml:space="preserve">” </w:t>
      </w:r>
      <w:r>
        <w:rPr>
          <w:rFonts w:ascii="Times New Roman;serif" w:hAnsi="Times New Roman;serif"/>
          <w:b w:val="false"/>
          <w:color w:val="000000"/>
          <w:sz w:val="24"/>
        </w:rPr>
        <w:t>means, for any period for Issuer and its Restricted Subsidiaries, the sum 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Consolidated Net Income for such period (excluding therefrom any unusual or extraordinary items of gain or loss);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without duplication, those amounts which, in the determination of Consolidated Net Income for such period, have been deducted for: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Consolidated Interest Expense;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provisions for federal, state, local and foreign income, value added, franchise, margin and similar Taxes;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depreciation, amortization (including, without limitation, amortization of goodwill and other intangible assets), impairment of goodwill and other non-cash charges or expenses (excluding any such non-cash charge or expense to the extent that it represents amortization of a prepaid cash expense that was paid in a prior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non-cash compensation expense, or other non-cash expenses or charges, arising from the granting of stock options, the granting of stock appreciation rights and similar arrangements (including any repricing, amendment, modification, substitution or change of any such stock option, stock appreciation rights or similar arrangements);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    any (A) financial advisory fees, underwriting fees, accounting fees, legal fees and other similar advisory and consulting fees and related out-of-pocket advisory and consulting expenses, and (B) prepayment premiums, breakage costs and interest rate indemnities, redeployment costs or funding costs, with respect to each of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incurred by the Issuer and its Restricted Subsidiaries as a result of, or in connection with, any issuance, incurrence, refinancing, redemption, repayment or prepayment of Indebtedness, to the extent permitted under this Indenture; and</w:t>
      </w:r>
    </w:p>
    <w:p>
      <w:pPr>
        <w:pStyle w:val="TextBody"/>
        <w:bidi w:val="0"/>
        <w:spacing w:before="0" w:after="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    any (A) financial advisory fees, accounting fees, legal fees and other similar advisory and consulting fees and related out-of-pocket advisory and consulting expenses, and (B) all cash and non-cash restructuring and integration charges, costs, and expenses, in each case incurred by the Issuer and its Restricted Subsidiaries as a result of any Permitted Acquisition or other internal restructuring and deducted from net income, and, in the case of the items described in this </w:t>
      </w:r>
      <w:r>
        <w:rPr>
          <w:rFonts w:ascii="Times New Roman;serif" w:hAnsi="Times New Roman;serif"/>
          <w:b w:val="false"/>
          <w:color w:val="000000"/>
          <w:sz w:val="24"/>
          <w:u w:val="single"/>
        </w:rPr>
        <w:t>sub-clause (B)</w:t>
      </w:r>
      <w:r>
        <w:rPr>
          <w:rFonts w:ascii="Times New Roman;serif" w:hAnsi="Times New Roman;serif"/>
          <w:b w:val="false"/>
          <w:color w:val="000000"/>
          <w:sz w:val="24"/>
        </w:rPr>
        <w:t xml:space="preserve">, which are factually supportable, identifiable and documented, and which are not objected to by the Trustee (acting at the direction of the Controlling Parties);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such costs and expenses under this </w:t>
      </w:r>
      <w:r>
        <w:rPr>
          <w:rFonts w:ascii="Times New Roman;serif" w:hAnsi="Times New Roman;serif"/>
          <w:b w:val="false"/>
          <w:color w:val="000000"/>
          <w:sz w:val="24"/>
          <w:u w:val="single"/>
        </w:rPr>
        <w:t>sub-clause (B)</w:t>
      </w:r>
      <w:r>
        <w:rPr>
          <w:color w:val="000000"/>
        </w:rPr>
        <w:t xml:space="preserve"> </w:t>
      </w:r>
      <w:r>
        <w:rPr>
          <w:rFonts w:ascii="Times New Roman;serif" w:hAnsi="Times New Roman;serif"/>
          <w:b w:val="false"/>
          <w:color w:val="000000"/>
          <w:sz w:val="24"/>
        </w:rPr>
        <w:t xml:space="preserve">shall not exceed ten percent (10%) of Consolidated EBITDA; </w:t>
      </w:r>
      <w:r>
        <w:rPr>
          <w:rFonts w:ascii="Times New Roman;serif" w:hAnsi="Times New Roman;serif"/>
          <w:b w:val="false"/>
          <w:i/>
          <w:color w:val="000000"/>
          <w:sz w:val="24"/>
        </w:rPr>
        <w:t>minus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amount which, in the determination of Consolidated Net Income for such period, has been added for any non-cash income or non-cash gains, all as determined in accordance with GAAP; </w:t>
      </w:r>
      <w:r>
        <w:rPr>
          <w:rFonts w:ascii="Times New Roman;serif" w:hAnsi="Times New Roman;serif"/>
          <w:b w:val="false"/>
          <w:i/>
          <w:color w:val="000000"/>
          <w:sz w:val="24"/>
        </w:rPr>
        <w:t>minus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aggregate amount of cash payments made during such period in respect of any non-cash accrual, reserve or other non-cash charge or expense accounted for in a prior period which were added to Consolidated Net Income to determine Consolidated EBITDA for such prior period and which do not otherwise reduce Consolidated Net Income for the current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For purposes of calculating Consolidated EBITDA for any Test Period pursuant to any determination of the Total Net Leverage Ratio, Secured Net Leverage Ratio, or ratio of Consolidated Total Indebtedness to Consolidated EBITDA, if during such period (or in the case of pro-forma calculations, during the period from the last day of such period to and including the date as of which such calculation is made) the Issuer or one or more of its Restricted Subsidiaries shall have made a Subject Transaction, Consolidated EBITDA for such period shall be calculated after giving effect thereto on a pro-forma basis. Other than for purposes of calculating Excess Cash Flow, Consolidated EBITDA shall be calculated on a Pro Forma Basis to give effect to any Subject Transaction as if it occurred on the first day of the reference period.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Interest Expense</w:t>
      </w:r>
      <w:r>
        <w:rPr>
          <w:color w:val="000000"/>
        </w:rPr>
        <w:t xml:space="preserve">” </w:t>
      </w:r>
      <w:r>
        <w:rPr>
          <w:rFonts w:ascii="Times New Roman;serif" w:hAnsi="Times New Roman;serif"/>
          <w:b w:val="false"/>
          <w:color w:val="000000"/>
          <w:sz w:val="24"/>
        </w:rPr>
        <w:t xml:space="preserve">means, for any period the sum of (a) the amount of interest expense, both expensed and capitalized (excluding amortization and write offs of debt discount and debt issuance costs and any other non-cash interest expense or accretions of discounts), net of interest income, of Issuer and its Restricted Subsidiaries, determined on a consolidated basis in accordance with GAAP, for such period and (b) dividends paid in cash during such period on preferred stock issued by Issuer or any of its Restricted Subsidiaries; </w:t>
      </w:r>
      <w:r>
        <w:rPr>
          <w:rFonts w:ascii="Times New Roman;serif" w:hAnsi="Times New Roman;serif"/>
          <w:b w:val="false"/>
          <w:i/>
          <w:color w:val="000000"/>
          <w:sz w:val="24"/>
        </w:rPr>
        <w:t>provided</w:t>
      </w:r>
      <w:r>
        <w:rPr>
          <w:rFonts w:ascii="Times New Roman;serif" w:hAnsi="Times New Roman;serif"/>
          <w:b w:val="false"/>
          <w:color w:val="000000"/>
          <w:sz w:val="24"/>
        </w:rPr>
        <w:t>, that, for purposes of calculating Consolidated Interest Expense for any period for determining the Total Net Leverage Ratio, if during such period (or in the case of pro-forma calculations, during the period from the last day of such period to and including the date as of which such calculation is made) Issuer or one or more of its Restricted Subsidiaries shall have made a Subject Transaction, then Consolidated Interest Expense for such period shall be calculated after giving effect thereto on a Pro Forma Basis.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Net Income</w:t>
      </w:r>
      <w:r>
        <w:rPr>
          <w:color w:val="000000"/>
        </w:rPr>
        <w:t xml:space="preserve">” </w:t>
      </w:r>
      <w:r>
        <w:rPr>
          <w:rFonts w:ascii="Times New Roman;serif" w:hAnsi="Times New Roman;serif"/>
          <w:b w:val="false"/>
          <w:color w:val="000000"/>
          <w:sz w:val="24"/>
        </w:rPr>
        <w:t xml:space="preserve">means, for any period, the net income (or net loss) after taxes of the Issuer and its Restricted Subsidiaries for such period, determined on a consolidated basis in accordance with GAAP;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there shall be excluded from the </w:t>
      </w:r>
    </w:p>
    <w:p>
      <w:pPr>
        <w:pStyle w:val="TextBody"/>
        <w:bidi w:val="0"/>
        <w:spacing w:before="0" w:after="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calculation of Consolidated Net Income for such period (a) the income (or loss) of any Person in which any other Person (other than the Issuer or any of its Wholly Owned Subsidiaries) has an ownership interest, except to the extent that any such income is actually received in cash by the Issuer or such Wholly Owned Restricted Subsidiary in the form of dividends or other equity distributions during such period, (b) the income (or loss) of any Person accrued prior to the date it becomes a Restricted Subsidiary or is merged with or into or consolidated with the Issuer or any of its Restricted Subsidiaries or that Person’s assets are acquired by the Issuer or any of its Restricted Subsidiaries and (c) the income of any Subsidiary of the Issuer to the extent that the declaration or payment of dividends or similar distributions by that Subsidiary of that income is not at the time permitted by operation of the terms of its charter or any agreement, instrument, judgment, decree, order, statute, rule or governmental regulation applicable to that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Operating Cash Flow</w:t>
      </w:r>
      <w:r>
        <w:rPr>
          <w:color w:val="000000"/>
        </w:rPr>
        <w:t xml:space="preserve">” </w:t>
      </w:r>
      <w:r>
        <w:rPr>
          <w:rFonts w:ascii="Times New Roman;serif" w:hAnsi="Times New Roman;serif"/>
          <w:b w:val="false"/>
          <w:color w:val="000000"/>
          <w:sz w:val="24"/>
        </w:rPr>
        <w:t>for any period means the operating cash flow of the Issuer and its Restricted Subsidiaries, in each case for such period determined on a consolidated basis in accordance with GAAP; provided that there shall be excluded in calculating such operating cash flow, to the extent otherwise included therein, without duplication: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operating cash flow of any Person (other than a Restricted Subsidiary) in which any Person other than the Issuer and the Restricted Subsidiaries has an ownership interest, except to the extent that cash in an amount equal to any such income has actually been received by the Issuer or any of its Restricted Subsidiaries during such period;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except to the extent includible in the operating cash flow of the Issuer pursuant to the foregoing </w:t>
      </w:r>
      <w:r>
        <w:rPr>
          <w:rFonts w:ascii="Times New Roman;serif" w:hAnsi="Times New Roman;serif"/>
          <w:b w:val="false"/>
          <w:color w:val="000000"/>
          <w:sz w:val="24"/>
          <w:u w:val="single"/>
        </w:rPr>
        <w:t>clause (a)</w:t>
      </w:r>
      <w:r>
        <w:rPr>
          <w:rFonts w:ascii="Times New Roman;serif" w:hAnsi="Times New Roman;serif"/>
          <w:b w:val="false"/>
          <w:color w:val="000000"/>
          <w:sz w:val="24"/>
        </w:rPr>
        <w:t>, the operating cash flow of any Person that accrued prior to the date that (i) such Person becomes a Restricted Subsidiary or is merged into or consolidated with the Issuer or any Restricted Subsidiary or (ii) the assets of such Person are acquired by the Issuer or any Restricted Subsidiary;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operating cash flow of any Restricted Subsidiary other than a Subsidiary Guarantor during such period to the extent that the declaration or payment of dividends or similar distributions by such Restricted Subsidiary of that operating cash flow is not permitted by operation of the terms of its charter or any agreement, instrument, judgment, decree, order, statute, rule or governmental regulation applicable to such Restricted Subsidiary during such period, unless such restriction with respect to the payment of dividends has been legally waived.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Secured Indebtedness</w:t>
      </w:r>
      <w:r>
        <w:rPr>
          <w:color w:val="000000"/>
        </w:rPr>
        <w:t xml:space="preserve">” </w:t>
      </w:r>
      <w:r>
        <w:rPr>
          <w:rFonts w:ascii="Times New Roman;serif" w:hAnsi="Times New Roman;serif"/>
          <w:b w:val="false"/>
          <w:color w:val="000000"/>
          <w:sz w:val="24"/>
        </w:rPr>
        <w:t>means, as of any date of determination, all Indebtedness of the Issuer and its Restricted Subsidiaries that is secured by a Lien on the assets constituting Collateral, determined on a consolidated basis in accordance with GAAP, but excluding any obligations in respect of hedging arrangements.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Total Assets</w:t>
      </w:r>
      <w:r>
        <w:rPr>
          <w:color w:val="000000"/>
        </w:rPr>
        <w:t xml:space="preserve">” </w:t>
      </w:r>
      <w:r>
        <w:rPr>
          <w:rFonts w:ascii="Times New Roman;serif" w:hAnsi="Times New Roman;serif"/>
          <w:b w:val="false"/>
          <w:color w:val="000000"/>
          <w:sz w:val="24"/>
        </w:rPr>
        <w:t xml:space="preserve">means, at any date, the total consolidated assets of the Issuer and its Subsidiaries determined on a consolidated basis in accordance with GAAP (and excluding all intercompany items) as of the date of the most recent financial statements delivered in accordance with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color w:val="000000"/>
        </w:rPr>
        <w:t xml:space="preserve"> </w:t>
      </w:r>
      <w:r>
        <w:rPr>
          <w:rFonts w:ascii="Times New Roman;serif" w:hAnsi="Times New Roman;serif"/>
          <w:b w:val="false"/>
          <w:color w:val="000000"/>
          <w:sz w:val="24"/>
        </w:rPr>
        <w:t>of this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Consolidated Total Indebtedness</w:t>
      </w:r>
      <w:r>
        <w:rPr>
          <w:color w:val="000000"/>
        </w:rPr>
        <w:t xml:space="preserve">” </w:t>
      </w:r>
      <w:r>
        <w:rPr>
          <w:rFonts w:ascii="Times New Roman;serif" w:hAnsi="Times New Roman;serif"/>
          <w:b w:val="false"/>
          <w:color w:val="000000"/>
          <w:sz w:val="24"/>
        </w:rPr>
        <w:t xml:space="preserve">means, as of any date of determination, all Indebtedness of the Issuer and its Restricted Subsidiaries, determined on a consolidated basis in accordance with GAAP, but excluding (a) any obligations in respect of hedging arrangements and (b) solely for purposes of (x) calculating compliance with any financial maintenance covenant set forth in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(including the Total Net Leverage Ratio and any Interest Coverage Ratio), (y) determining the satisfaction of any incurrence-based test, ratio or basket set forth in this Indenture or any other Note Document and (z) calculating the Secured Net Leverage Ratio, all Capital Lease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Contingent Obligation</w:t>
      </w:r>
      <w:r>
        <w:rPr>
          <w:color w:val="000000"/>
        </w:rPr>
        <w:t xml:space="preserve">” </w:t>
      </w:r>
      <w:r>
        <w:rPr>
          <w:rFonts w:ascii="Times New Roman;serif" w:hAnsi="Times New Roman;serif"/>
          <w:b w:val="false"/>
          <w:color w:val="000000"/>
          <w:sz w:val="24"/>
        </w:rPr>
        <w:t>means, as to any person, any obligation or agreement of such person guaranteeing or intended to guarantee any Indebtedness, leases, Dividends or other obligations (“</w:t>
      </w:r>
      <w:r>
        <w:rPr>
          <w:rFonts w:ascii="Times New Roman;serif" w:hAnsi="Times New Roman;serif"/>
          <w:b/>
          <w:color w:val="000000"/>
          <w:sz w:val="24"/>
        </w:rPr>
        <w:t>primary obligations</w:t>
      </w:r>
      <w:r>
        <w:rPr>
          <w:color w:val="000000"/>
        </w:rPr>
        <w:t>”</w:t>
      </w:r>
      <w:r>
        <w:rPr>
          <w:rFonts w:ascii="Times New Roman;serif" w:hAnsi="Times New Roman;serif"/>
          <w:b w:val="false"/>
          <w:color w:val="000000"/>
          <w:sz w:val="24"/>
        </w:rPr>
        <w:t>) of any other person (the “</w:t>
      </w:r>
      <w:r>
        <w:rPr>
          <w:rFonts w:ascii="Times New Roman;serif" w:hAnsi="Times New Roman;serif"/>
          <w:b/>
          <w:color w:val="000000"/>
          <w:sz w:val="24"/>
        </w:rPr>
        <w:t>primary obligor</w:t>
      </w:r>
      <w:r>
        <w:rPr>
          <w:color w:val="000000"/>
        </w:rPr>
        <w:t>”</w:t>
      </w:r>
      <w:r>
        <w:rPr>
          <w:rFonts w:ascii="Times New Roman;serif" w:hAnsi="Times New Roman;serif"/>
          <w:b w:val="false"/>
          <w:color w:val="000000"/>
          <w:sz w:val="24"/>
        </w:rPr>
        <w:t>) in any manner, whether directly or indirectly, including, without limitation, any such obligation or agreement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(d) with respect to bankers’ acceptances, letters of credit and similar credit arrangements, until a reimbursement obligation arises (which reimbursement obligation shall constitute Indebtedness); or (e) otherwise to assure or hold harmless the holder of such primary obligation against loss in respect thereof;</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term “Contingent Obligation” shall not include endorsements of instruments for deposit or collection in the ordinary course of business or any product warranties or other similar contingent obligations incurred in the ordinary course of business, including indemnities.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whether singly or jointly, pursuant to the terms of the instrument evidencing such Contingent Obligation) or, if not stated or determinable, the maximum reasonably anticipated liability in respect thereof (assuming such person is required to perform thereunder) as determined by such person in good faith.</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ownership of voting securities, by contract or otherwise, and the terms “</w:t>
      </w:r>
      <w:r>
        <w:rPr>
          <w:rFonts w:ascii="Times New Roman;serif" w:hAnsi="Times New Roman;serif"/>
          <w:b/>
          <w:color w:val="000000"/>
          <w:sz w:val="24"/>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color w:val="000000"/>
          <w:sz w:val="24"/>
        </w:rPr>
        <w:t>Controlled</w:t>
      </w:r>
      <w:r>
        <w:rPr>
          <w:color w:val="000000"/>
        </w:rPr>
        <w:t xml:space="preserve">” </w:t>
      </w:r>
      <w:r>
        <w:rPr>
          <w:rFonts w:ascii="Times New Roman;serif" w:hAnsi="Times New Roman;serif"/>
          <w:b w:val="false"/>
          <w:color w:val="000000"/>
          <w:sz w:val="24"/>
        </w:rPr>
        <w:t>shall have meanings correlative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Controlled Investment Affiliate</w:t>
      </w:r>
      <w:r>
        <w:rPr>
          <w:color w:val="000000"/>
        </w:rPr>
        <w:t xml:space="preserve">” </w:t>
      </w:r>
      <w:r>
        <w:rPr>
          <w:rFonts w:ascii="Times New Roman;serif" w:hAnsi="Times New Roman;serif"/>
          <w:b w:val="false"/>
          <w:color w:val="000000"/>
          <w:sz w:val="24"/>
        </w:rPr>
        <w:t>means, as to any Person, any other Person, other than any Investor, which directly or indirectly is in control of, is controlled by, or is under common control with such Person and is organized by such Person (or any Person controlling such Person) primarily for making direct or indirect equity or debt investments in the Issuer or its Subsidiaries.</w:t>
      </w:r>
    </w:p>
    <w:p>
      <w:pPr>
        <w:pStyle w:val="TextBody"/>
        <w:bidi w:val="0"/>
        <w:spacing w:before="0" w:after="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Controlling Party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Controlling Parties</w:t>
      </w:r>
      <w:r>
        <w:rPr>
          <w:color w:val="000000"/>
        </w:rPr>
        <w:t xml:space="preserve">” </w:t>
      </w:r>
      <w:r>
        <w:rPr>
          <w:rFonts w:ascii="Times New Roman;serif" w:hAnsi="Times New Roman;serif"/>
          <w:b w:val="false"/>
          <w:color w:val="000000"/>
          <w:sz w:val="24"/>
        </w:rPr>
        <w:t xml:space="preserve">means (a) prior to the Disposition Date, the Specified Holders, and (b) from and after the Disposition Date, (i) except as provided in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Holders of at least a majority in aggregate principal amount of the outstanding Notes and (ii) solely for the purpose of exercising remedies pursuant to </w:t>
      </w:r>
      <w:r>
        <w:rPr>
          <w:rFonts w:ascii="Times New Roman;serif" w:hAnsi="Times New Roman;serif"/>
          <w:b w:val="false"/>
          <w:color w:val="000000"/>
          <w:sz w:val="24"/>
          <w:u w:val="single"/>
        </w:rPr>
        <w:t>Section 8.01</w:t>
      </w:r>
      <w:r>
        <w:rPr>
          <w:rFonts w:ascii="Times New Roman;serif" w:hAnsi="Times New Roman;serif"/>
          <w:b w:val="false"/>
          <w:color w:val="000000"/>
          <w:sz w:val="24"/>
        </w:rPr>
        <w:t>, Holders of at least 30% of the aggregate principal amount of the outstanding Notes.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Covenant Defeasance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Cumulative Amount</w:t>
      </w:r>
      <w:r>
        <w:rPr>
          <w:color w:val="000000"/>
        </w:rPr>
        <w:t xml:space="preserve">” </w:t>
      </w:r>
      <w:r>
        <w:rPr>
          <w:rFonts w:ascii="Times New Roman;serif" w:hAnsi="Times New Roman;serif"/>
          <w:b w:val="false"/>
          <w:color w:val="000000"/>
          <w:sz w:val="24"/>
        </w:rPr>
        <w:t>means, on any date of determination (the “</w:t>
      </w:r>
      <w:r>
        <w:rPr>
          <w:rFonts w:ascii="Times New Roman;serif" w:hAnsi="Times New Roman;serif"/>
          <w:b/>
          <w:color w:val="000000"/>
          <w:sz w:val="24"/>
        </w:rPr>
        <w:t>Reference Date</w:t>
      </w:r>
      <w:r>
        <w:rPr>
          <w:color w:val="000000"/>
        </w:rPr>
        <w:t>”</w:t>
      </w:r>
      <w:r>
        <w:rPr>
          <w:rFonts w:ascii="Times New Roman;serif" w:hAnsi="Times New Roman;serif"/>
          <w:b w:val="false"/>
          <w:color w:val="000000"/>
          <w:sz w:val="24"/>
        </w:rPr>
        <w:t>), the sum of (without duplication):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$5,000,000;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Available Retained ECF Amount;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 amount equal to the fair market value (as determined by the Issuer) of any assets contributed to the Issuer or any of its Restricted Subsidiaries after the Closing Date;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to the extent not already included in the calculation of Consolidated Net Income of the Issuer and its Restricted Subsidiaries, the aggregate amount of all returns, profits, distributions and similar amounts received in Cash Equivalents, and cash dividends and other cash distributions received by any Group Member from any joint ventures or Unrestricted Subsidiaries during the period from the Business Day immediately following the Closing Date through and including the Reference Date to the extent the original Investment therein was made in reliance on the Cumulative Amount and in an amount not to exceed the amount of the original Investment;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to the extent not already included in the calculation of Consolidated Net Income of the Issuer and its Restricted Subsidiaries, the aggregate amount of all Net Cash Proceeds received by any Group Member in connection with the sale, transfer or other disposition of its ownership interest in any joint venture or Unrestricted Subsidiary during the period from the Business Day immediately following the Closing Date through and including the Reference Date to the extent the original Investment therein was made in reliance on the Cumulative Amount and in an amount not to exceed the amount of the original Investment;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the aggregate amount of all Net Cash Proceeds received by any Group Member in connection with the sale, transfer or other disposition of its ownership interest in, or cash amounts of any returns, dividends, profits, distributions and similar amounts received on, any Investment (including in any joint venture or Unrestricted Subsidiary) made pursuant to </w:t>
      </w:r>
      <w:r>
        <w:rPr>
          <w:rFonts w:ascii="Times New Roman;serif" w:hAnsi="Times New Roman;serif"/>
          <w:b w:val="false"/>
          <w:color w:val="000000"/>
          <w:sz w:val="24"/>
          <w:u w:val="single"/>
        </w:rPr>
        <w:t>Section 6.03(x)</w:t>
      </w:r>
      <w:r>
        <w:rPr>
          <w:rFonts w:ascii="Times New Roman;serif" w:hAnsi="Times New Roman;serif"/>
          <w:b w:val="false"/>
          <w:color w:val="000000"/>
          <w:sz w:val="24"/>
        </w:rPr>
        <w:t xml:space="preserve">, during the period from the Business Day immediately following the Closing Date through and including the Reference Date to the extent the original Investment therein was made in reliance on the Cumulative Amount and in an amount not to exceed the amount of the original Investment; </w:t>
      </w:r>
      <w:r>
        <w:rPr>
          <w:rFonts w:ascii="Times New Roman;serif" w:hAnsi="Times New Roman;serif"/>
          <w:b w:val="false"/>
          <w:i/>
          <w:color w:val="000000"/>
          <w:sz w:val="24"/>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in the event that the Issuer re-designates any Unrestricted Subsidiary as a Restricted Subsidiary after the Closing Date (which, for purposes hereof, shall be deemed to also include (A) the merger, consolidation, liquidation or similar amalgamation of any Unrestricted Subsidiary into the Issuer or any Restricted Subsidiary of the Issuer, so long as the Issuer or such Restricted Subsidiary is the surviving Person, and (B) the transfer of any assets of an Unrestricted Subsidiary to the Issuer or any Restricted Subsidiary of the Issuer), the fair market value (as determined in good faith by the Issuer) of the Investment in such Unrestricted Subsidiary or such transferred assets at the time of such re-designation, in each case to the extent the original Investment was made in reliance on the Cumulative Amount and in an amount not to exceed the amount of the original Investment; </w:t>
      </w:r>
      <w:r>
        <w:rPr>
          <w:rFonts w:ascii="Times New Roman;serif" w:hAnsi="Times New Roman;serif"/>
          <w:b w:val="false"/>
          <w:i/>
          <w:color w:val="000000"/>
          <w:sz w:val="24"/>
        </w:rPr>
        <w:t>minus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(i) the aggregate amount of Investments made pursuant to </w:t>
      </w:r>
      <w:r>
        <w:rPr>
          <w:rFonts w:ascii="Times New Roman;serif" w:hAnsi="Times New Roman;serif"/>
          <w:b w:val="false"/>
          <w:color w:val="000000"/>
          <w:sz w:val="24"/>
          <w:u w:val="single"/>
        </w:rPr>
        <w:t>Section 6.03(x)</w:t>
      </w:r>
      <w:r>
        <w:rPr>
          <w:color w:val="000000"/>
        </w:rPr>
        <w:t xml:space="preserve"> </w:t>
      </w:r>
      <w:r>
        <w:rPr>
          <w:rFonts w:ascii="Times New Roman;serif" w:hAnsi="Times New Roman;serif"/>
          <w:b w:val="false"/>
          <w:color w:val="000000"/>
          <w:sz w:val="24"/>
        </w:rPr>
        <w:t xml:space="preserve">in reliance on the Cumulative Amount, (ii) the aggregate amount of Dividends made pursuant to </w:t>
      </w:r>
      <w:r>
        <w:rPr>
          <w:rFonts w:ascii="Times New Roman;serif" w:hAnsi="Times New Roman;serif"/>
          <w:b w:val="false"/>
          <w:color w:val="000000"/>
          <w:sz w:val="24"/>
          <w:u w:val="single"/>
        </w:rPr>
        <w:t>Section 6.06(o)</w:t>
      </w:r>
      <w:r>
        <w:rPr>
          <w:color w:val="000000"/>
        </w:rPr>
        <w:t xml:space="preserve"> </w:t>
      </w:r>
      <w:r>
        <w:rPr>
          <w:rFonts w:ascii="Times New Roman;serif" w:hAnsi="Times New Roman;serif"/>
          <w:b w:val="false"/>
          <w:color w:val="000000"/>
          <w:sz w:val="24"/>
        </w:rPr>
        <w:t xml:space="preserve">in reliance on the Cumulative Amount and (iii) the aggregate amount of prepayments of indebtedness pursuant to </w:t>
      </w:r>
      <w:r>
        <w:rPr>
          <w:rFonts w:ascii="Times New Roman;serif" w:hAnsi="Times New Roman;serif"/>
          <w:b w:val="false"/>
          <w:color w:val="000000"/>
          <w:sz w:val="24"/>
          <w:u w:val="single"/>
        </w:rPr>
        <w:t>Section 6.09(a)</w:t>
      </w:r>
      <w:r>
        <w:rPr>
          <w:color w:val="000000"/>
        </w:rPr>
        <w:t xml:space="preserve"> </w:t>
      </w:r>
      <w:r>
        <w:rPr>
          <w:rFonts w:ascii="Times New Roman;serif" w:hAnsi="Times New Roman;serif"/>
          <w:b w:val="false"/>
          <w:color w:val="000000"/>
          <w:sz w:val="24"/>
        </w:rPr>
        <w:t>in reliance on the Cumulative Amount, in each case during the period from and including the Business Day immediately following the Closing Date through and including the Reference Date (without taking account of the intended usage of the Cumulative Amount on such Reference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Cure Amount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Cure Expiration Date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Cure Quarter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Custodian</w:t>
      </w:r>
      <w:r>
        <w:rPr>
          <w:color w:val="000000"/>
        </w:rPr>
        <w:t xml:space="preserve">” </w:t>
      </w:r>
      <w:r>
        <w:rPr>
          <w:rFonts w:ascii="Times New Roman;serif" w:hAnsi="Times New Roman;serif"/>
          <w:b w:val="false"/>
          <w:color w:val="000000"/>
          <w:sz w:val="24"/>
        </w:rPr>
        <w:t>means the Person appointed as custodian for the Depositary with respect to the Global Notes, or any successor entity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Debt Issuance</w:t>
      </w:r>
      <w:r>
        <w:rPr>
          <w:color w:val="000000"/>
        </w:rPr>
        <w:t xml:space="preserve">” </w:t>
      </w:r>
      <w:r>
        <w:rPr>
          <w:rFonts w:ascii="Times New Roman;serif" w:hAnsi="Times New Roman;serif"/>
          <w:b w:val="false"/>
          <w:color w:val="000000"/>
          <w:sz w:val="24"/>
        </w:rPr>
        <w:t xml:space="preserve">means the incurrence by the Issuer or any of its Restricted Subsidiaries of any Indebtedness after the Closing Date (other than Indebtedness permitted by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to the extent not Notes Refinancing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Debtor Relief Law</w:t>
      </w:r>
      <w:r>
        <w:rPr>
          <w:color w:val="000000"/>
        </w:rPr>
        <w:t xml:space="preserve">” </w:t>
      </w:r>
      <w:r>
        <w:rPr>
          <w:rFonts w:ascii="Times New Roman;serif" w:hAnsi="Times New Roman;serif"/>
          <w:b w:val="false"/>
          <w:color w:val="000000"/>
          <w:sz w:val="24"/>
        </w:rPr>
        <w:t>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any other matters which are set out as qualifications or reservations as to matters of law of general application in any legal opinion provided in connection with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Default</w:t>
      </w:r>
      <w:r>
        <w:rPr>
          <w:color w:val="000000"/>
        </w:rPr>
        <w:t xml:space="preserve">” </w:t>
      </w:r>
      <w:r>
        <w:rPr>
          <w:rFonts w:ascii="Times New Roman;serif" w:hAnsi="Times New Roman;serif"/>
          <w:b w:val="false"/>
          <w:color w:val="000000"/>
          <w:sz w:val="24"/>
        </w:rPr>
        <w:t>means any event, occurrence or condition which is, or upon notice, lapse of time or both would constitute, an Event of Default.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Definitive Note</w:t>
      </w:r>
      <w:r>
        <w:rPr>
          <w:color w:val="000000"/>
        </w:rPr>
        <w:t xml:space="preserve">” </w:t>
      </w:r>
      <w:r>
        <w:rPr>
          <w:rFonts w:ascii="Times New Roman;serif" w:hAnsi="Times New Roman;serif"/>
          <w:b w:val="false"/>
          <w:color w:val="000000"/>
          <w:sz w:val="24"/>
        </w:rPr>
        <w:t xml:space="preserve">means a certificated Initial Note, PIK Note or Additional Note (bearing the Restricted Notes Legend (as defined in </w:t>
      </w:r>
      <w:r>
        <w:rPr>
          <w:rFonts w:ascii="Times New Roman;serif" w:hAnsi="Times New Roman;serif"/>
          <w:b w:val="false"/>
          <w:color w:val="000000"/>
          <w:sz w:val="24"/>
          <w:u w:val="single"/>
        </w:rPr>
        <w:t>Appendix A</w:t>
      </w:r>
      <w:r>
        <w:rPr>
          <w:rFonts w:ascii="Times New Roman;serif" w:hAnsi="Times New Roman;serif"/>
          <w:b w:val="false"/>
          <w:color w:val="000000"/>
          <w:sz w:val="24"/>
        </w:rPr>
        <w:t xml:space="preserve">) if the transfer of such Note is </w:t>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restricted by applicable law) that does not include the Global Notes Legend (as defined in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Deposit Trustee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11.05(a)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Depositary</w:t>
      </w:r>
      <w:r>
        <w:rPr>
          <w:color w:val="000000"/>
        </w:rPr>
        <w:t xml:space="preserve">” </w:t>
      </w:r>
      <w:r>
        <w:rPr>
          <w:rFonts w:ascii="Times New Roman;serif" w:hAnsi="Times New Roman;serif"/>
          <w:b w:val="false"/>
          <w:color w:val="000000"/>
          <w:sz w:val="24"/>
        </w:rPr>
        <w:t xml:space="preserve">means with respect to the Notes issuable or issued in whole or in part in global form, the Person specified in </w:t>
      </w:r>
      <w:r>
        <w:rPr>
          <w:rFonts w:ascii="Times New Roman;serif" w:hAnsi="Times New Roman;serif"/>
          <w:b w:val="false"/>
          <w:color w:val="000000"/>
          <w:sz w:val="24"/>
          <w:u w:val="single"/>
        </w:rPr>
        <w:t xml:space="preserve">Section 2.03(b) </w:t>
      </w:r>
      <w:r>
        <w:rPr>
          <w:rFonts w:ascii="Times New Roman;serif" w:hAnsi="Times New Roman;serif"/>
          <w:b w:val="false"/>
          <w:color w:val="000000"/>
          <w:sz w:val="24"/>
        </w:rPr>
        <w:t>hereof as the Depositary with respect to the Global Notes, and any and all successors thereto appointed as depositary hereunder and having become such pursuant to the applicable provision of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Designated Noncash Consideration</w:t>
      </w:r>
      <w:r>
        <w:rPr>
          <w:color w:val="000000"/>
        </w:rPr>
        <w:t xml:space="preserve">” </w:t>
      </w:r>
      <w:r>
        <w:rPr>
          <w:rFonts w:ascii="Times New Roman;serif" w:hAnsi="Times New Roman;serif"/>
          <w:b w:val="false"/>
          <w:color w:val="000000"/>
          <w:sz w:val="24"/>
        </w:rPr>
        <w:t xml:space="preserve">means, as of any date of determination, the fair market value at the time received (as determined in good faith by the Issuer) of any non-cash consideration received by the Issuer or any of its Restricted Subsidiaries in connection with an Asset Sale that is designated in writing as Designated Noncash Consideration,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 xml:space="preserve">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DIP Financing</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DIP Right of First Offer</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5.17(a)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Discounted Value</w:t>
      </w:r>
      <w:r>
        <w:rPr>
          <w:color w:val="000000"/>
        </w:rPr>
        <w:t xml:space="preserve">” </w:t>
      </w:r>
      <w:r>
        <w:rPr>
          <w:rFonts w:ascii="Times New Roman;serif" w:hAnsi="Times New Roman;serif"/>
          <w:b w:val="false"/>
          <w:color w:val="000000"/>
          <w:sz w:val="24"/>
        </w:rPr>
        <w:t>means, with respect to the Called Principal of any of the Notes, the amount obtained by discounting all Remaining Scheduled Payments with respect to such Called Principal from their respective scheduled due dates to the Settlement Date with respect to such Called Principal, in accordance with accepted financial practice and at a discount factor (applied on the same periodic basis as that on which interest on the Notes is payable) equal to the Reinvestment Yield with respect to such Called Principal.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Disposition Date</w:t>
      </w:r>
      <w:r>
        <w:rPr>
          <w:color w:val="000000"/>
        </w:rPr>
        <w:t xml:space="preserve">” </w:t>
      </w:r>
      <w:r>
        <w:rPr>
          <w:rFonts w:ascii="Times New Roman;serif" w:hAnsi="Times New Roman;serif"/>
          <w:b w:val="false"/>
          <w:color w:val="000000"/>
          <w:sz w:val="24"/>
        </w:rPr>
        <w:t>means the first date occurring after the Closing Date on which any Specified Holder ceases to “beneficially own” at least $30,000,000 of the aggregate principal amount of the then outstanding Notes. The Disposition Date shall not be deemed to have occurred unless the Issuer, the Trustee and the Collateral Agent have received written notice from a Specified Holder that the Disposition Date has occurred (it being understood that the Issuer, the Trustee and the Collateral Agent will be entitled to rely on any such written notice from a Specified Holder (or the absence of any such written notice from a Specified Holder) for purposes of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Disqualified Capital Stock</w:t>
      </w:r>
      <w:r>
        <w:rPr>
          <w:color w:val="000000"/>
        </w:rPr>
        <w:t xml:space="preserve">” </w:t>
      </w:r>
      <w:r>
        <w:rPr>
          <w:rFonts w:ascii="Times New Roman;serif" w:hAnsi="Times New Roman;serif"/>
          <w:b w:val="false"/>
          <w:color w:val="000000"/>
          <w:sz w:val="24"/>
        </w:rPr>
        <w:t xml:space="preserve">means any Equity Interest which, by its terms (or by the terms of any security or any other Equity Interests into which it is convertible or for which it is exchangeable) or upon the happening of any event or condition, would (a) mature or be mandatorily redeemable (other than solely for Qualified Capital Stock) pursuant to a sinking fund obligation or otherwise (except as a result of a customarily defined change of control or </w:t>
      </w: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asset sale and only so long as any rights of the holders thereof after such change of control or asset sale shall be subject to the prior repayment, redemption or repurchase in full of the Obligations (other than contingent indemnification obligations and unasserted expense reimbursement obligations)), (b) be redeemable at the option of the holder thereof (other than solely for Qualified Capital Stock), in whole or in part, (c) provide for scheduled payments of dividends in cash or (d) be or become convertible into or exchangeable for Indebtedness or any other Disqualified Capital Stock, in whole or in part, in each case on or prior to the date that is ninety-one (91) days after the Maturity Date at the time of issuance.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Dividend</w:t>
      </w:r>
      <w:r>
        <w:rPr>
          <w:color w:val="000000"/>
        </w:rPr>
        <w:t xml:space="preserve">” </w:t>
      </w:r>
      <w:r>
        <w:rPr>
          <w:rFonts w:ascii="Times New Roman;serif" w:hAnsi="Times New Roman;serif"/>
          <w:b w:val="false"/>
          <w:color w:val="000000"/>
          <w:sz w:val="24"/>
        </w:rPr>
        <w:t>means, with respect to any person, that such person has declared or paid a dividend or returned any equity capital to the holders of its Equity Interests or authorized or made any other distribution, payment or delivery of property (other than Qualified Capital Stock of such person) or cash to the holders of its Equity Interests as such, or redeemed, retired, purchased or otherwise acquired, directly or indirectly, for consideration any of its Equity Interests outstanding (or any options or warrants issued by such person with respect to its Equity Interests), or set aside or otherwise reserved, directly or indirectly, any funds for any of the foregoing purposes.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Dollars</w:t>
      </w:r>
      <w:r>
        <w:rPr>
          <w:rFonts w:ascii="Times New Roman;serif" w:hAnsi="Times New Roman;serif"/>
          <w:b w:val="false"/>
          <w:color w:val="000000"/>
          <w:sz w:val="24"/>
        </w:rPr>
        <w:t>,” “</w:t>
      </w:r>
      <w:r>
        <w:rPr>
          <w:rFonts w:ascii="Times New Roman;serif" w:hAnsi="Times New Roman;serif"/>
          <w:b/>
          <w:color w:val="000000"/>
          <w:sz w:val="24"/>
        </w:rPr>
        <w:t>dollars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means lawful money of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Domestic Subsidiary</w:t>
      </w:r>
      <w:r>
        <w:rPr>
          <w:color w:val="000000"/>
        </w:rPr>
        <w:t xml:space="preserve">” </w:t>
      </w:r>
      <w:r>
        <w:rPr>
          <w:rFonts w:ascii="Times New Roman;serif" w:hAnsi="Times New Roman;serif"/>
          <w:b w:val="false"/>
          <w:color w:val="000000"/>
          <w:sz w:val="24"/>
        </w:rPr>
        <w:t>means any Subsidiary that is organized under the laws of the United States, any state thereof or the District of Columbia.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DTC</w:t>
      </w:r>
      <w:r>
        <w:rPr>
          <w:color w:val="000000"/>
        </w:rPr>
        <w:t xml:space="preserve">” </w:t>
      </w:r>
      <w:r>
        <w:rPr>
          <w:rFonts w:ascii="Times New Roman;serif" w:hAnsi="Times New Roman;serif"/>
          <w:b w:val="false"/>
          <w:color w:val="000000"/>
          <w:sz w:val="24"/>
        </w:rPr>
        <w:t>means The Depository Trust Company and any successor.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Earn-Outs</w:t>
      </w:r>
      <w:r>
        <w:rPr>
          <w:color w:val="000000"/>
        </w:rPr>
        <w:t xml:space="preserve">” </w:t>
      </w:r>
      <w:r>
        <w:rPr>
          <w:rFonts w:ascii="Times New Roman;serif" w:hAnsi="Times New Roman;serif"/>
          <w:b w:val="false"/>
          <w:color w:val="000000"/>
          <w:sz w:val="24"/>
        </w:rPr>
        <w:t>means, with respect to a Permitted Acquisition, or any other acquisition of any assets or Property by any Group Member, that portion of the purchase consideration therefor and that portion of all other payments and liabilities (whether payable in cash or by exchange of Equity Interests or of any Property or otherwise), directly or indirectly, payable by any Group Member in exchange for, or as part of, or in connection with, such Permitted Acquisition, or such other acquisition, as the case may be, that is deferred for payment to a future time after the consummation of such Permitted Acquisition or such other acquisition, as the case may be, and includes any and all payments representing the purchase price and any assumptions of Indebtedness, Earn-Outs and other agreements to make any payment the amount of which is, or the terms of payment of which are, in any respect subject to or contingent upon the revenues, income, cash flow or profits (or the like) of any person or business.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ECF Payment Amount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3.08(d)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ECF Payment Date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3.08(d)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Electronic Signature</w:t>
      </w:r>
      <w:r>
        <w:rPr>
          <w:color w:val="000000"/>
        </w:rPr>
        <w:t xml:space="preserve">” </w:t>
      </w:r>
      <w:r>
        <w:rPr>
          <w:rFonts w:ascii="Times New Roman;serif" w:hAnsi="Times New Roman;serif"/>
          <w:b w:val="false"/>
          <w:color w:val="000000"/>
          <w:sz w:val="24"/>
        </w:rPr>
        <w:t xml:space="preserve">means the process of attaching to or logically associating with an Approved Electronic Communication an electronic symbol, encryption, digital signature or process (including the name or an abbreviation of the name of the party transmitting the </w:t>
      </w:r>
    </w:p>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Approved Electronic Communication) with the intent to sign, authenticate or accept such Approved Electronic Communication.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Eligible Equity Issuance</w:t>
      </w:r>
      <w:r>
        <w:rPr>
          <w:color w:val="000000"/>
        </w:rPr>
        <w:t xml:space="preserve">” </w:t>
      </w:r>
      <w:r>
        <w:rPr>
          <w:rFonts w:ascii="Times New Roman;serif" w:hAnsi="Times New Roman;serif"/>
          <w:b w:val="false"/>
          <w:color w:val="000000"/>
          <w:sz w:val="24"/>
        </w:rPr>
        <w:t>means an issuance and sale of Qualified Capital Stock of Issuer following the Closing Date (other than to the extent the proceeds thereof are applied or are to be applied as a Cure Amount) to the equity holders of Issuer.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Employee Benefit Plan</w:t>
      </w:r>
      <w:r>
        <w:rPr>
          <w:color w:val="000000"/>
        </w:rPr>
        <w:t xml:space="preserve">” </w:t>
      </w:r>
      <w:r>
        <w:rPr>
          <w:rFonts w:ascii="Times New Roman;serif" w:hAnsi="Times New Roman;serif"/>
          <w:b w:val="false"/>
          <w:color w:val="000000"/>
          <w:sz w:val="24"/>
        </w:rPr>
        <w:t>means each “employee benefit plan” (as such term is defined in Section 3(3) of ERISA) that is maintained or contributed to by a Group Member or with respect to which a Group Member has any liability (including on account of an ERISA Affiliate).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Environment</w:t>
      </w:r>
      <w:r>
        <w:rPr>
          <w:color w:val="000000"/>
        </w:rPr>
        <w:t xml:space="preserve">” </w:t>
      </w:r>
      <w:r>
        <w:rPr>
          <w:rFonts w:ascii="Times New Roman;serif" w:hAnsi="Times New Roman;serif"/>
          <w:b w:val="false"/>
          <w:color w:val="000000"/>
          <w:sz w:val="24"/>
        </w:rPr>
        <w:t>means ambient air, indoor air, drinking water supplies, sediment, natural resources (including flora and fauna), surface water and groundwater (including potable water, navigable water and wetlands) and the land surface and subsurface.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Environmental Law</w:t>
      </w:r>
      <w:r>
        <w:rPr>
          <w:color w:val="000000"/>
        </w:rPr>
        <w:t xml:space="preserve">” </w:t>
      </w:r>
      <w:r>
        <w:rPr>
          <w:rFonts w:ascii="Times New Roman;serif" w:hAnsi="Times New Roman;serif"/>
          <w:b w:val="false"/>
          <w:color w:val="000000"/>
          <w:sz w:val="24"/>
        </w:rPr>
        <w:t>means all applicable Requirements of Law relating to pollution or protection of the Environment, or to any Hazardous Material.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Environmental Permit</w:t>
      </w:r>
      <w:r>
        <w:rPr>
          <w:color w:val="000000"/>
        </w:rPr>
        <w:t xml:space="preserve">” </w:t>
      </w:r>
      <w:r>
        <w:rPr>
          <w:rFonts w:ascii="Times New Roman;serif" w:hAnsi="Times New Roman;serif"/>
          <w:b w:val="false"/>
          <w:color w:val="000000"/>
          <w:sz w:val="24"/>
        </w:rPr>
        <w:t>means any permit, license, approval, registration, consent or other authorization required by or from a Governmental Authority under Environmental Law.</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Equity Cure Contribution</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Equity Funded Portion</w:t>
      </w:r>
      <w:r>
        <w:rPr>
          <w:color w:val="000000"/>
        </w:rPr>
        <w:t xml:space="preserve">” </w:t>
      </w:r>
      <w:r>
        <w:rPr>
          <w:rFonts w:ascii="Times New Roman;serif" w:hAnsi="Times New Roman;serif"/>
          <w:b w:val="false"/>
          <w:color w:val="000000"/>
          <w:sz w:val="24"/>
        </w:rPr>
        <w:t xml:space="preserve">shall mean an amount equal to (a) the working capital or other purchase price adjustment with respect to any acquisition or other Investment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(b) the percentage of the consideration for such acquisition or other Investment that is financed solely with the proceeds of equity issuances by and equity contributions to the Issuer, but solely to the extent such equity issuance or equity contribution, as applicable, does not constitute a Cure Amount or otherwise increases Indebtedness, Investment, Dividend or Restricted Debt Payment capacity hereunder, including, without limitation, pursuant to an increase in the Cumulative Amount.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Equity Interest</w:t>
      </w:r>
      <w:r>
        <w:rPr>
          <w:color w:val="000000"/>
        </w:rPr>
        <w:t xml:space="preserve">” </w:t>
      </w:r>
      <w:r>
        <w:rPr>
          <w:rFonts w:ascii="Times New Roman;serif" w:hAnsi="Times New Roman;serif"/>
          <w:b w:val="false"/>
          <w:color w:val="000000"/>
          <w:sz w:val="24"/>
        </w:rPr>
        <w:t xml:space="preserve">means, with respect to any person, any and all shares, interests, participations or other equivalents, including membership interests (however designated, whether voting or nonvoting), of equity of such person, including warrants, options and other rights to purchase and including, if such person is a limited liability company, membership interests or if such person is a partnership, partnership interests (whether general or limited) and any other interest or participation that confers on a person the right to receive a share of the profits and losses of, or distributions of property of, such partnership, whether outstanding on the date hereof or issued after the Closing Date; </w:t>
      </w:r>
      <w:r>
        <w:rPr>
          <w:rFonts w:ascii="Times New Roman;serif" w:hAnsi="Times New Roman;serif"/>
          <w:b w:val="false"/>
          <w:i/>
          <w:color w:val="000000"/>
          <w:sz w:val="24"/>
        </w:rPr>
        <w:t>provided</w:t>
      </w:r>
      <w:r>
        <w:rPr>
          <w:rFonts w:ascii="Times New Roman;serif" w:hAnsi="Times New Roman;serif"/>
          <w:b w:val="false"/>
          <w:color w:val="000000"/>
          <w:sz w:val="24"/>
        </w:rPr>
        <w:t>, that, “Equity Interest” shall not include at any time debt securities convertible or exchangeable into such equity.</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ERISA</w:t>
      </w:r>
      <w:r>
        <w:rPr>
          <w:color w:val="000000"/>
        </w:rPr>
        <w:t xml:space="preserve">” </w:t>
      </w:r>
      <w:r>
        <w:rPr>
          <w:rFonts w:ascii="Times New Roman;serif" w:hAnsi="Times New Roman;serif"/>
          <w:b w:val="false"/>
          <w:color w:val="000000"/>
          <w:sz w:val="24"/>
        </w:rPr>
        <w:t>means the Employee Retirement Income Security Act of 1974, as the same may be amended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ERISA Affiliate</w:t>
      </w:r>
      <w:r>
        <w:rPr>
          <w:color w:val="000000"/>
        </w:rPr>
        <w:t xml:space="preserve">” </w:t>
      </w:r>
      <w:r>
        <w:rPr>
          <w:rFonts w:ascii="Times New Roman;serif" w:hAnsi="Times New Roman;serif"/>
          <w:b w:val="false"/>
          <w:color w:val="000000"/>
          <w:sz w:val="24"/>
        </w:rPr>
        <w:t>means, with respect to any person, any trade or business (whether or not incorporated) that, together with such person, is treated as a single employer under Section 414(b) or (c) of the Code or, solely for purposes of Section 412 of the Code, Section 414(m) or (o) of the Code.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ERISA Event</w:t>
      </w:r>
      <w:r>
        <w:rPr>
          <w:color w:val="000000"/>
        </w:rPr>
        <w:t xml:space="preserve">” </w:t>
      </w:r>
      <w:r>
        <w:rPr>
          <w:rFonts w:ascii="Times New Roman;serif" w:hAnsi="Times New Roman;serif"/>
          <w:b w:val="false"/>
          <w:color w:val="000000"/>
          <w:sz w:val="24"/>
        </w:rPr>
        <w:t>means (a) any “reportable event,” as defined in Section 4043(c) of ERISA or the regulations issued thereunder, with respect to a Plan (other than an event for which the thirty (30)-day notice period is waived by regulation); (b) with respect to a Plan, the failure to satisfy the minimum funding standard of Section 412 or 430 of the Code and Section 302 or 303 of ERISA, whether or not waived; (c) the failure to make by its due date a required installment under Section 430(j) of the Code with respect to any Plan or the failure to make any required contribution to a Multiemployer Plan; (d) the determination that any Plan is, or is expected to be, in “at risk” status (as defined in Section 430 of the Code or Section 303 of ERISA); (e) the incurrence by any Group Member or any of its ERISA Affiliates of any liability under Title IV of ERISA with respect to the termination of any Plan; (f) the receipt by any Group Member or any of its ERISA Affiliates from the PBGC or a plan administrator of any notice relating to the intention to terminate any Plan or Plans or Multiemployer Plan or Multiemployer Plans or to appoint a trustee to administer any Plan or Multiemployer Plan, or the occurrence of any event or condition which would reasonably be expected to constitute grounds under ERISA for the termination of, or the appointment of a trustee to administer, any Plan or Multiemployer Plan; (g) the incurrence by any Group Member or its ERISA Affiliates of liability resulting from the complete or partial withdrawal from any Multiemployer Plan; (h) the receipt by any Group Member or its ERISA Affiliates of any notice, concerning a determination that a Multiemployer Plan is, or is reasonably expected to be, insolvent (within the meaning of Section 4245 of ERISA) or in “critical” or “endangered” status, under Section 432 of the Code or Section 305 of ERISA; (i) the withdrawal of any Group Member or its ERISA Affiliates from a Plan subject to Section 4063 of ERISA during a plan year in which such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Group Member.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Event of Default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Excess Cash Flow</w:t>
      </w:r>
      <w:r>
        <w:rPr>
          <w:color w:val="000000"/>
        </w:rPr>
        <w:t xml:space="preserve">” </w:t>
      </w:r>
      <w:r>
        <w:rPr>
          <w:rFonts w:ascii="Times New Roman;serif" w:hAnsi="Times New Roman;serif"/>
          <w:b w:val="false"/>
          <w:color w:val="000000"/>
          <w:sz w:val="24"/>
        </w:rPr>
        <w:t xml:space="preserve">means, with respect to the Issuer and its Restricted Subsidiaries, as of any date of determination, for the most recently ended fiscal year for which financial statements are required to be delivered pursuant to </w:t>
      </w:r>
      <w:r>
        <w:rPr>
          <w:rFonts w:ascii="Times New Roman;serif" w:hAnsi="Times New Roman;serif"/>
          <w:b w:val="false"/>
          <w:color w:val="000000"/>
          <w:sz w:val="24"/>
          <w:u w:val="single"/>
        </w:rPr>
        <w:t>Section 5.03(a)</w:t>
      </w:r>
      <w:r>
        <w:rPr>
          <w:rFonts w:ascii="Times New Roman;serif" w:hAnsi="Times New Roman;serif"/>
          <w:b w:val="false"/>
          <w:color w:val="000000"/>
          <w:sz w:val="24"/>
        </w:rPr>
        <w:t>, the sum of the amounts for such period of, without duplication: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Consolidated Operating Cash Flow; </w:t>
      </w:r>
      <w:r>
        <w:rPr>
          <w:rFonts w:ascii="Times New Roman;serif" w:hAnsi="Times New Roman;serif"/>
          <w:b w:val="false"/>
          <w:i/>
          <w:color w:val="000000"/>
          <w:sz w:val="24"/>
        </w:rPr>
        <w:t>plus</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without duplication and excluding any amounts that already increased Consolidated Operating Cash Flow pursuant to the definition thereof, cash proceeds received from the exercise of stock options; </w:t>
      </w:r>
      <w:r>
        <w:rPr>
          <w:rFonts w:ascii="Times New Roman;serif" w:hAnsi="Times New Roman;serif"/>
          <w:b w:val="false"/>
          <w:i/>
          <w:color w:val="000000"/>
          <w:sz w:val="24"/>
        </w:rPr>
        <w:t>plus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 amount equal to 66.7% of the Net Cash Proceeds (after commissions to agents and other associated ATM expenses) received by the Issuer and its Restricted Subsidiaries under any “at-the-market” equity distribution program during such Excess Cash Flow Period; </w:t>
      </w:r>
      <w:r>
        <w:rPr>
          <w:rFonts w:ascii="Times New Roman;serif" w:hAnsi="Times New Roman;serif"/>
          <w:b w:val="false"/>
          <w:i/>
          <w:color w:val="000000"/>
          <w:sz w:val="24"/>
        </w:rPr>
        <w:t>minus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without duplication, the sum of the amounts of:</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amount of any employment taxes paid in cash in such Excess Cash Flow Period in connection with any long-term employee equity incentive compensation program or other stock-based employee compensation program,</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repurchases of Common Stock in connection with any stock-based employee compensation in such Excess Cash Flow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Capital Expenditures during such Excess Cash Flow Period used or useful in the business engaged in by the Issuer and its Subsidiaries on the Closing Date,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any repayments, retirements, redemptions or other repurchases of any ABL Obligations in such Excess Cash Flow Period;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any such repayments, retirements, redemptions or other repurchases in excess of $15,000,000 in any Excess Cash Flow Period shall not be deducted from Excess Cash Flow pursuant to this </w:t>
      </w:r>
      <w:r>
        <w:rPr>
          <w:rFonts w:ascii="Times New Roman;serif" w:hAnsi="Times New Roman;serif"/>
          <w:b w:val="false"/>
          <w:color w:val="000000"/>
          <w:sz w:val="24"/>
          <w:u w:val="single"/>
        </w:rPr>
        <w:t>clause (iv)</w:t>
      </w:r>
      <w:r>
        <w:rPr>
          <w:color w:val="000000"/>
        </w:rPr>
        <w:t xml:space="preserve"> </w:t>
      </w:r>
      <w:r>
        <w:rPr>
          <w:rFonts w:ascii="Times New Roman;serif" w:hAnsi="Times New Roman;serif"/>
          <w:b w:val="false"/>
          <w:color w:val="000000"/>
          <w:sz w:val="24"/>
        </w:rPr>
        <w:t>unless accompanied by a permanent reduction in the commitments under the ABL Credit Agreement,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any charges in respect of Capital Lease Obligations or other lease obligations in such Excess Cash Flow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debt issuance costs including in respect of Refinanced Debt in such Excess Cash Flow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    payments on short-term Indebtedness and payments on long-term liabilities (other than Indebtedness) in such Excess Cash Flow Period,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(viii)    any decrease in cash as a result of impacts of foreign exchange rates (but plus any amount of an increase in cash as a result thereto) in such Excess Cash Flow Period,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(ix)    any contingent liability payments (including Earn-Outs) and any Investments, in each case, made in cash and permitted to be made hereunder in such Excess Cash Flow Period,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(x)    any Taxes paid by the Issuer and its Restricted Subsidiaries in such Excess Cash Flow Period. </w:t>
      </w: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Excess Cash Flow Period</w:t>
      </w:r>
      <w:r>
        <w:rPr>
          <w:color w:val="000000"/>
        </w:rPr>
        <w:t xml:space="preserve">” </w:t>
      </w:r>
      <w:r>
        <w:rPr>
          <w:rFonts w:ascii="Times New Roman;serif" w:hAnsi="Times New Roman;serif"/>
          <w:b w:val="false"/>
          <w:color w:val="000000"/>
          <w:sz w:val="24"/>
        </w:rPr>
        <w:t>means each fiscal year of Issuer commencing with the fiscal year ending December 31, 2026.</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Excess Net Cash Proceeds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3.08(a)(i)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Exchange Act</w:t>
      </w:r>
      <w:r>
        <w:rPr>
          <w:color w:val="000000"/>
        </w:rPr>
        <w:t xml:space="preserve">” </w:t>
      </w:r>
      <w:r>
        <w:rPr>
          <w:rFonts w:ascii="Times New Roman;serif" w:hAnsi="Times New Roman;serif"/>
          <w:b w:val="false"/>
          <w:color w:val="000000"/>
          <w:sz w:val="24"/>
        </w:rPr>
        <w:t xml:space="preserve">means the Securities Exchange Act of 1934, as amended.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Excluded Equity Interests</w:t>
      </w:r>
      <w:r>
        <w:rPr>
          <w:color w:val="000000"/>
        </w:rPr>
        <w:t xml:space="preserve">” </w:t>
      </w:r>
      <w:r>
        <w:rPr>
          <w:rFonts w:ascii="Times New Roman;serif" w:hAnsi="Times New Roman;serif"/>
          <w:b w:val="false"/>
          <w:color w:val="000000"/>
          <w:sz w:val="24"/>
        </w:rPr>
        <w:t xml:space="preserve">means Equity Interests (a) in excess of sixty-five percent (65%) of the Voting Stock issued by any CFC or CFC Holding Company, in each case, owned directly by a Note Party (but, for the avoidance of doubt, not including any Equity Interests that are not Voting Stock issued by any such CFC or CFC Holding Company), (b) in any Subsidiary of a CFC, (c) in a joint venture or other non-Wholly Owned Subsidiary which cannot be pledged without the consent of third parties, or the pledge of which is prohibited by the terms of, or would create a right of termination of one or more third parties under, any applicable Organizational Documents, joint venture agreement or shareholders’ agreement (by any agreement binding on such Equity Interests at the time of acquisition thereof (or on the Restatement Effective Date, as applicable) and not entered into in contemplation thereof (or in contemplation of the Transactions, as applicable) and unless such consent has been obtained, in each case only, for so long as such prohibition or restriction remains in effect) after giving effect to the applicable anti-assignment provisions of the Uniform Commercial Code or other applicable law, (d) in Persons other than Wholly Owned Restricted Subsidiaries to the extent prohibited by the Organizational Documents of such entity or requiring third party consents (in each case only for so long as such prohibition or restriction remains in effect), (e) in any Unrestricted Subsidiary, (f) with respect to which the cost of obtaining a security interest therein exceeds the practical benefit to the Holders afforded thereby, as mutually and reasonably determined by the Issuer and the Controlling Party, and (g) with respect to which a pledge therein is prohibited or restricted by applicable law (including any requirement to obtain the consent of any Governmental Authority (unless such consent has been obtained)), in each case only for so long as such prohibition or restriction remains in effect;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each case set forth above, such equity will immediately cease to constitute Excluded Equity Interests when the relevant property ceases to meet this definition and, with respect to any such equity, a security interest under any applicable Security Document shall attach immediately and automatically without further action;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in no event will any Equity Interests of the Issuer be Excluded Equity Interests.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Excluded Property</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Excluded Subsidiary</w:t>
      </w:r>
      <w:r>
        <w:rPr>
          <w:color w:val="000000"/>
        </w:rPr>
        <w:t xml:space="preserve">” </w:t>
      </w:r>
      <w:r>
        <w:rPr>
          <w:rFonts w:ascii="Times New Roman;serif" w:hAnsi="Times New Roman;serif"/>
          <w:b w:val="false"/>
          <w:color w:val="000000"/>
          <w:sz w:val="24"/>
        </w:rPr>
        <w:t xml:space="preserve">means (a) any Restricted Subsidiary that is not a Wholly Owned Subsidiary, (b) any CFC, (c) CFC Holding Company, (d) any Subsidiary of a CFC, (e) any Immaterial Subsidiary, (f) any Unrestricted Subsidiary, (g) any merger Subsidiary formed in connection with a Permitted Acquisition so long as such merger Subsidiary is merged out of existence pursuant to such Permitted Acquisition within sixty (60) days of its formation or such later date as permitted by the Trustee (acting at the direction of the Controlling Party, acting reasonably), (h) any Subsidiary to the extent a Guarantee or other guarantee of the Obligations is </w:t>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prohibited or restricted by any contractual obligation as in existence on the Restatement Effective Date or at the time such Person becomes a Subsidiary (in each case, not entered into in contemplation thereof and for so long as such prohibition or restriction remains in effect) or by applicable Requirements of Law (including any requirement to obtain Governmental Authority or third party consent, license or authorization to the extent such consent, license or authorization has not been received after use of commercially reasonable efforts to acquire the same) and (i) any Subsidiary to the extent the Controlling Party and the Issuer mutually and reasonably determine the cost, consequence and/or burden of obtaining a Guarantee outweigh the benefit thereof to the Holders;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Issuer shall not be an Excluded Subsidiary;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Issuer may, subject to the prior written consent of the Trustee (acting at the direction of the Controlling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no such consent shall be required if such designated Subsidiary is a Domestic Subsidiary that qualifies as an Immaterial Subsidiary), designate any Subsidiary that otherwise qualifies as an “Excluded Subsidiary” pursuant to any one or more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above as not being an Excluded Subsidiary by written notice to the Trustee and, following such designation, may (so long as at such time no Default or Event of Default shall have occurred and be continuing and such Subsidiary otherwise qualifies as an Excluded Subsidiary) re-designate such Subsidiary as an Excluded Subsidiary by written notice to the Trustee, upon which re-designation such Subsidiary shall be automatically released from its Guarantee;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 Restricted Subsidiary shall qualify as an Excluded Subsidiary pursuant to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above unless it becomes a non-Wholly Owned Subsidiary pursuant to a transaction (x) where such Restricted Subsidiary becomes a joint venture with a non-Affiliate for bona fide business purposes (other than financing), (y) for fair market value, and (z) the purpose of which was not to evade the requirements of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 Restricted Subsidiary shall qualify as an Excluded Subsidiary if such Restricted Subsidiary is a borrower or guarantor under the ABL Documents (or any refinancing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 Restricted Subsidiary shall qualify as an Excluded Subsidiary pursuant to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above if such Subsidiary previously were (or should have been) a Note Party and became a Subsidiary of a Foreign Subsidiary pursuant to a transaction (x) not consummated for bona fide business purposes, (y) not consummated for fair market value, or (z) the purpose of which was to evade the requirements of </w:t>
      </w:r>
      <w:r>
        <w:rPr>
          <w:rFonts w:ascii="Times New Roman;serif" w:hAnsi="Times New Roman;serif"/>
          <w:b w:val="false"/>
          <w:color w:val="000000"/>
          <w:sz w:val="24"/>
          <w:u w:val="single"/>
        </w:rPr>
        <w:t>Section 5.12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FCPA</w:t>
      </w:r>
      <w:r>
        <w:rPr>
          <w:color w:val="000000"/>
        </w:rPr>
        <w:t xml:space="preserve">” </w:t>
      </w:r>
      <w:r>
        <w:rPr>
          <w:rFonts w:ascii="Times New Roman;serif" w:hAnsi="Times New Roman;serif"/>
          <w:b w:val="false"/>
          <w:color w:val="000000"/>
          <w:sz w:val="24"/>
        </w:rPr>
        <w:t>means the United States Foreign Corrupt Practices Act of 1977,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Fitch</w:t>
      </w:r>
      <w:r>
        <w:rPr>
          <w:color w:val="000000"/>
        </w:rPr>
        <w:t xml:space="preserve">” </w:t>
      </w:r>
      <w:r>
        <w:rPr>
          <w:rFonts w:ascii="Times New Roman;serif" w:hAnsi="Times New Roman;serif"/>
          <w:b w:val="false"/>
          <w:color w:val="000000"/>
          <w:sz w:val="24"/>
        </w:rPr>
        <w:t>means Fitch Ratings Limited.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Federal Funds Rate</w:t>
      </w:r>
      <w:r>
        <w:rPr>
          <w:color w:val="000000"/>
        </w:rPr>
        <w:t xml:space="preserve">” </w:t>
      </w:r>
      <w:r>
        <w:rPr>
          <w:rFonts w:ascii="Times New Roman;serif" w:hAnsi="Times New Roman;serif"/>
          <w:b w:val="false"/>
          <w:color w:val="000000"/>
          <w:sz w:val="24"/>
        </w:rPr>
        <w:t xml:space="preserve">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if such day is not a Business Day, the Federal Funds Effective Rate for such day shall be such rate on such transactions on the next preceding Business Day as so published on the next succeeding Business Day, and (b) if no such rate is so published on such next succeeding Business Day, the Federal Funds Effective Rate for such day shall be the average rate quoted to </w:t>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Calculation Agent on such day on such transactions by three (3) financial institutions of recognized standing as determined by the Calculation Agent;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if the Federal Funds Rate for any day is less than zero, the Federal Funds Rate for such day will be deemed to be zero.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Federal Reserve Board</w:t>
      </w:r>
      <w:r>
        <w:rPr>
          <w:color w:val="000000"/>
        </w:rPr>
        <w:t xml:space="preserve">” </w:t>
      </w:r>
      <w:r>
        <w:rPr>
          <w:rFonts w:ascii="Times New Roman;serif" w:hAnsi="Times New Roman;serif"/>
          <w:b w:val="false"/>
          <w:color w:val="000000"/>
          <w:sz w:val="24"/>
        </w:rPr>
        <w:t>means the Board of Governors of the Federal Reserve System of the United States.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Financial Covenant</w:t>
      </w:r>
      <w:r>
        <w:rPr>
          <w:color w:val="000000"/>
        </w:rPr>
        <w:t xml:space="preserve">” </w:t>
      </w:r>
      <w:r>
        <w:rPr>
          <w:rFonts w:ascii="Times New Roman;serif" w:hAnsi="Times New Roman;serif"/>
          <w:b w:val="false"/>
          <w:color w:val="000000"/>
          <w:sz w:val="24"/>
        </w:rPr>
        <w:t xml:space="preserve">means, individually or collectively as the context may require, the financial covenants set forth in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6.08(b)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Financial Officer</w:t>
      </w:r>
      <w:r>
        <w:rPr>
          <w:color w:val="000000"/>
        </w:rPr>
        <w:t xml:space="preserve">” </w:t>
      </w:r>
      <w:r>
        <w:rPr>
          <w:rFonts w:ascii="Times New Roman;serif" w:hAnsi="Times New Roman;serif"/>
          <w:b w:val="false"/>
          <w:color w:val="000000"/>
          <w:sz w:val="24"/>
        </w:rPr>
        <w:t>of any person means the chief financial officer, chief executive officer, vice president of finance, treasurer, assistant treasurer, controller, or, in each case, anyone acting in such capacity or any similar capacity.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Flood Hazard Property</w:t>
      </w:r>
      <w:r>
        <w:rPr>
          <w:color w:val="000000"/>
        </w:rPr>
        <w:t xml:space="preserve">” </w:t>
      </w:r>
      <w:r>
        <w:rPr>
          <w:rFonts w:ascii="Times New Roman;serif" w:hAnsi="Times New Roman;serif"/>
          <w:b w:val="false"/>
          <w:color w:val="000000"/>
          <w:sz w:val="24"/>
        </w:rPr>
        <w:t>means any Material Real Property subject to a Mortgage having a “Structure” (as defined in the Flood Insurance Laws) thereon that is located in an area designated by the Federal Emergency Management Agency as a special flood hazard area.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Flood Insurance Laws</w:t>
      </w:r>
      <w:r>
        <w:rPr>
          <w:color w:val="000000"/>
        </w:rPr>
        <w:t xml:space="preserve">” </w:t>
      </w:r>
      <w:r>
        <w:rPr>
          <w:rFonts w:ascii="Times New Roman;serif" w:hAnsi="Times New Roman;serif"/>
          <w:b w:val="false"/>
          <w:color w:val="000000"/>
          <w:sz w:val="24"/>
        </w:rPr>
        <w:t>means, collectively, (a) the National Flood Insurance Act of 1968 as now or hereafter in effect or any successor or supplemental statutes, rules and regulations thereto, (b) the Flood Disaster Protection Act of 1973 as now or hereafter in effect or any successor or supplemental statutes, rules and regulations thereto, (c) the National Flood Insurance Reform Act of 1994 as now or hereafter in effect or any successor or supplemental statutes, rules and regulations thereto, (d) the Flood Insurance Reform Act of 2004 as now or hereafter in effect or any successor or supplemental statutes, rules and regulations thereto, and (e) the Biggert-Waters Flood Insurance Reform Act of 2012 as now or hereafter in effect or any successor or supplemental statutes, rules and regulations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Floor</w:t>
      </w:r>
      <w:r>
        <w:rPr>
          <w:color w:val="000000"/>
        </w:rPr>
        <w:t xml:space="preserve">” </w:t>
      </w:r>
      <w:r>
        <w:rPr>
          <w:rFonts w:ascii="Times New Roman;serif" w:hAnsi="Times New Roman;serif"/>
          <w:b w:val="false"/>
          <w:color w:val="000000"/>
          <w:sz w:val="24"/>
        </w:rPr>
        <w:t>means, in the case of Term SOFR, a rate of interest equal to three percent (3.00%) and in the case of the Alternate Base Rate, a rate of interest equal to four percent (4.00%).</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Foreign Subsidiary</w:t>
      </w:r>
      <w:r>
        <w:rPr>
          <w:color w:val="000000"/>
        </w:rPr>
        <w:t xml:space="preserve">” </w:t>
      </w:r>
      <w:r>
        <w:rPr>
          <w:rFonts w:ascii="Times New Roman;serif" w:hAnsi="Times New Roman;serif"/>
          <w:b w:val="false"/>
          <w:color w:val="000000"/>
          <w:sz w:val="24"/>
        </w:rPr>
        <w:t>means a Subsidiary that is organized under the laws of a jurisdiction other than the United States, any state thereof or the District of Columbia.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GAAP</w:t>
      </w:r>
      <w:r>
        <w:rPr>
          <w:color w:val="000000"/>
        </w:rPr>
        <w:t xml:space="preserve">” </w:t>
      </w:r>
      <w:r>
        <w:rPr>
          <w:rFonts w:ascii="Times New Roman;serif" w:hAnsi="Times New Roman;serif"/>
          <w:b w:val="false"/>
          <w:color w:val="000000"/>
          <w:sz w:val="24"/>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applied on a consistent basis.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Global Notes</w:t>
      </w:r>
      <w:r>
        <w:rPr>
          <w:color w:val="000000"/>
        </w:rPr>
        <w:t xml:space="preserve">” </w:t>
      </w:r>
      <w:r>
        <w:rPr>
          <w:rFonts w:ascii="Times New Roman;serif" w:hAnsi="Times New Roman;serif"/>
          <w:b w:val="false"/>
          <w:color w:val="000000"/>
          <w:sz w:val="24"/>
        </w:rPr>
        <w:t xml:space="preserve">means the Notes that are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issued in global form and registered in the name of the Depositary or its nominee.</w:t>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Governmental Authority</w:t>
      </w:r>
      <w:r>
        <w:rPr>
          <w:color w:val="000000"/>
        </w:rPr>
        <w:t xml:space="preserve">” </w:t>
      </w:r>
      <w:r>
        <w:rPr>
          <w:rFonts w:ascii="Times New Roman;serif" w:hAnsi="Times New Roman;serif"/>
          <w:b w:val="false"/>
          <w:color w:val="000000"/>
          <w:sz w:val="24"/>
        </w:rPr>
        <w:t>means the government of the United States or any other nation, or of any political subdivision thereof, whether state, provincial, local or otherwise,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Group Members</w:t>
      </w:r>
      <w:r>
        <w:rPr>
          <w:color w:val="000000"/>
        </w:rPr>
        <w:t xml:space="preserve">” </w:t>
      </w:r>
      <w:r>
        <w:rPr>
          <w:rFonts w:ascii="Times New Roman;serif" w:hAnsi="Times New Roman;serif"/>
          <w:b w:val="false"/>
          <w:color w:val="000000"/>
          <w:sz w:val="24"/>
        </w:rPr>
        <w:t>means the Issuer and its Restricted Subsidiaries; and “</w:t>
      </w:r>
      <w:r>
        <w:rPr>
          <w:rFonts w:ascii="Times New Roman;serif" w:hAnsi="Times New Roman;serif"/>
          <w:b/>
          <w:color w:val="000000"/>
          <w:sz w:val="24"/>
        </w:rPr>
        <w:t>Group Member</w:t>
      </w:r>
      <w:r>
        <w:rPr>
          <w:color w:val="000000"/>
        </w:rPr>
        <w:t xml:space="preserve">” </w:t>
      </w:r>
      <w:r>
        <w:rPr>
          <w:rFonts w:ascii="Times New Roman;serif" w:hAnsi="Times New Roman;serif"/>
          <w:b w:val="false"/>
          <w:color w:val="000000"/>
          <w:sz w:val="24"/>
        </w:rPr>
        <w:t>means any one of them.</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guarantee</w:t>
      </w:r>
      <w:r>
        <w:rPr>
          <w:color w:val="000000"/>
        </w:rPr>
        <w:t xml:space="preserve">” </w:t>
      </w:r>
      <w:r>
        <w:rPr>
          <w:rFonts w:ascii="Times New Roman;serif" w:hAnsi="Times New Roman;serif"/>
          <w:b w:val="false"/>
          <w:color w:val="000000"/>
          <w:sz w:val="24"/>
        </w:rPr>
        <w:t xml:space="preserve">means a direct or indirect guarantee by any Person of any Indebtedness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Guarantees</w:t>
      </w:r>
      <w:r>
        <w:rPr>
          <w:color w:val="000000"/>
        </w:rPr>
        <w:t xml:space="preserve">” </w:t>
      </w:r>
      <w:r>
        <w:rPr>
          <w:rFonts w:ascii="Times New Roman;serif" w:hAnsi="Times New Roman;serif"/>
          <w:b w:val="false"/>
          <w:color w:val="000000"/>
          <w:sz w:val="24"/>
        </w:rPr>
        <w:t xml:space="preserve">means the guarantees issued pursuant to </w:t>
      </w:r>
      <w:r>
        <w:rPr>
          <w:rFonts w:ascii="Times New Roman;serif" w:hAnsi="Times New Roman;serif"/>
          <w:b w:val="false"/>
          <w:color w:val="000000"/>
          <w:sz w:val="24"/>
          <w:u w:val="single"/>
        </w:rPr>
        <w:t>Article VII</w:t>
      </w:r>
      <w:r>
        <w:rPr>
          <w:color w:val="000000"/>
        </w:rPr>
        <w:t xml:space="preserve"> </w:t>
      </w:r>
      <w:r>
        <w:rPr>
          <w:rFonts w:ascii="Times New Roman;serif" w:hAnsi="Times New Roman;serif"/>
          <w:b w:val="false"/>
          <w:color w:val="000000"/>
          <w:sz w:val="24"/>
        </w:rPr>
        <w:t>by the Issuer and the Subsidiary Guarantors.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Guarantors</w:t>
      </w:r>
      <w:r>
        <w:rPr>
          <w:color w:val="000000"/>
        </w:rPr>
        <w:t xml:space="preserve">” </w:t>
      </w:r>
      <w:r>
        <w:rPr>
          <w:rFonts w:ascii="Times New Roman;serif" w:hAnsi="Times New Roman;serif"/>
          <w:b w:val="false"/>
          <w:color w:val="000000"/>
          <w:sz w:val="24"/>
        </w:rPr>
        <w:t>means each of the Issuer’s Subsidiaries that is a party hereto as of the Restatement Effective Date and any Additional Guarantors.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Hazardous Material</w:t>
      </w:r>
      <w:r>
        <w:rPr>
          <w:color w:val="000000"/>
        </w:rPr>
        <w:t xml:space="preserve">” </w:t>
      </w:r>
      <w:r>
        <w:rPr>
          <w:rFonts w:ascii="Times New Roman;serif" w:hAnsi="Times New Roman;serif"/>
          <w:b w:val="false"/>
          <w:color w:val="000000"/>
          <w:sz w:val="24"/>
        </w:rPr>
        <w:t>means any material or chemical regulated as hazardous or toxic or which could result in liability under any Environmental Law, including the following: toxic or hazardous substances; hazardous wastes; polychlorinated biphenyls (“</w:t>
      </w:r>
      <w:r>
        <w:rPr>
          <w:rFonts w:ascii="Times New Roman;serif" w:hAnsi="Times New Roman;serif"/>
          <w:b/>
          <w:color w:val="000000"/>
          <w:sz w:val="24"/>
        </w:rPr>
        <w:t>PCBs</w:t>
      </w:r>
      <w:r>
        <w:rPr>
          <w:color w:val="000000"/>
        </w:rPr>
        <w:t>”</w:t>
      </w:r>
      <w:r>
        <w:rPr>
          <w:rFonts w:ascii="Times New Roman;serif" w:hAnsi="Times New Roman;serif"/>
          <w:b w:val="false"/>
          <w:color w:val="000000"/>
          <w:sz w:val="24"/>
        </w:rPr>
        <w:t>) or any substance or compound containing PCBs; friable asbestos or friable asbestos-containing materials; radon or any other radioactive materials including any source, special nuclear or by-product material; petroleum, petroleum products, by-products or breakdown products, crude oil or any fraction of the foregoing; per- and polyfluoroalkyl substances; and any pollutant or contaminant or other substance subject to regulation under any Environmental Laws due to their dangerous or deleterious properties or characteristics, or which can give rise to liability under any Environmental Laws due to their dangerous or deleterious properties or characteristics.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Hedging Agreement</w:t>
      </w:r>
      <w:r>
        <w:rPr>
          <w:color w:val="000000"/>
        </w:rPr>
        <w:t xml:space="preserve">” </w:t>
      </w:r>
      <w:r>
        <w:rPr>
          <w:rFonts w:ascii="Times New Roman;serif" w:hAnsi="Times New Roman;serif"/>
          <w:b w:val="false"/>
          <w:color w:val="000000"/>
          <w:sz w:val="24"/>
        </w:rPr>
        <w:t>means any swap, cap, collar, forward purchase or similar agreement or arrangement dealing with interest rates, currency exchange rates or commodity prices, either generally or under specific contingencies.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Hedging Obligations</w:t>
      </w:r>
      <w:r>
        <w:rPr>
          <w:color w:val="000000"/>
        </w:rPr>
        <w:t xml:space="preserve">” </w:t>
      </w:r>
      <w:r>
        <w:rPr>
          <w:rFonts w:ascii="Times New Roman;serif" w:hAnsi="Times New Roman;serif"/>
          <w:b w:val="false"/>
          <w:color w:val="000000"/>
          <w:sz w:val="24"/>
        </w:rPr>
        <w:t>means obligations under or with respect to Hedging Agreements.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Holder</w:t>
      </w:r>
      <w:r>
        <w:rPr>
          <w:color w:val="000000"/>
        </w:rPr>
        <w:t xml:space="preserve">” </w:t>
      </w:r>
      <w:r>
        <w:rPr>
          <w:rFonts w:ascii="Times New Roman;serif" w:hAnsi="Times New Roman;serif"/>
          <w:b w:val="false"/>
          <w:color w:val="000000"/>
          <w:sz w:val="24"/>
        </w:rPr>
        <w:t>means a Person in whose name a Note is registered on the Registrar’s books.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Immaterial Subsidiary</w:t>
      </w:r>
      <w:r>
        <w:rPr>
          <w:color w:val="000000"/>
        </w:rPr>
        <w:t xml:space="preserve">” </w:t>
      </w:r>
      <w:r>
        <w:rPr>
          <w:rFonts w:ascii="Times New Roman;serif" w:hAnsi="Times New Roman;serif"/>
          <w:b w:val="false"/>
          <w:color w:val="000000"/>
          <w:sz w:val="24"/>
        </w:rPr>
        <w:t xml:space="preserve">means each Restricted Subsidiary which, as of the most recently ended Test Period, contributed five percent (5%) or less of Consolidated Total </w:t>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Assets or Consolidated EBITDA for such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as of the most recently ended Test Period, the aggregate amount of Consolidated Total Assets or Consolidated EBITDA attributable to all Restricted Subsidiaries that are Immaterial Subsidiaries exceeds five percent (5%) of Consolidated Total Assets and Consolidated EBITDA for any such period, the Issuer shall designate sufficient Restricted Subsidiaries to eliminate such excess, and such designated Subsidiaries shall no longer constitute Immaterial Subsidiaries under this Indenture;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the Issuer may designate and re-designate a Subsidiary as an Immaterial Subsidiary at any time, subject to the limitations set forth in this definition.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Immediate Family Members</w:t>
      </w:r>
      <w:r>
        <w:rPr>
          <w:color w:val="000000"/>
        </w:rPr>
        <w:t xml:space="preserve">” </w:t>
      </w:r>
      <w:r>
        <w:rPr>
          <w:rFonts w:ascii="Times New Roman;serif" w:hAnsi="Times New Roman;serif"/>
          <w:b w:val="false"/>
          <w:color w:val="000000"/>
          <w:sz w:val="24"/>
        </w:rPr>
        <w:t>means with respect to any individual, such individual’s child, stepchild, grandchild or more remote descendant, parent, stepparent, grandparent, spouse, former spouse, qualified domestic partner, sibling, mother-in-law, father-in-law, son-in-law and daughter-in-law (including, in each case, adoptive relationships)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Indebtedness</w:t>
      </w:r>
      <w:r>
        <w:rPr>
          <w:color w:val="000000"/>
        </w:rPr>
        <w:t xml:space="preserve">” </w:t>
      </w:r>
      <w:r>
        <w:rPr>
          <w:rFonts w:ascii="Times New Roman;serif" w:hAnsi="Times New Roman;serif"/>
          <w:b w:val="false"/>
          <w:color w:val="000000"/>
          <w:sz w:val="24"/>
        </w:rPr>
        <w:t>means, of any Person, at any particular date, (a) all indebtedness of such Person for borrowed money or for the deferred purchase price of property or services (other than current trade payables or liabilities and deferred payment for services to employees or former employees incurred in the ordinary course of business and payable in accordance with customary practices, earn-outs, and other deferred compensation arrangements), (b) the face amount of all letters of credit issued for the account of such Person and, without duplication, all drafts drawn thereunder (but, for the avoidance of doubt, determined without double-counting any “back-to-back” letter of credit arrangements whereby a letter of credit serves as collateral for drawings made under another letter of credit), (c) all liabilities (other than obligations of such Person in respect of Leases) secured by any Lien on any property owned by such Person, to the extent attributable to such Person’s interest in such property, even though such Person has not assumed or become liable for the payment thereof, (d) Capital Lease Obligations, (e) obligations under any Earn-Out payable in cash (which for all purposes of this Indenture shall be valued at the amount reasonably likely to be payable with respect to such Earn-Out as expected to be reported on such Person’s financial statements), (f) Disqualified Capital Stock, (g) all indebtedness of such Person arising under acceptance facilities; but excluding (x) any obligation resulting from the existence of deferred revenue, including customer deposits and interest thereon in the ordinary course of business, (y) deferred rent and (z) trade and other accounts and accrued expenses payable in the ordinary course of business in accordance with customary trade terms and in the case of both</w:t>
      </w:r>
      <w:r>
        <w:rPr>
          <w:color w:val="000000"/>
          <w:u w:val="single"/>
        </w:rPr>
        <w:t xml:space="preserve"> </w:t>
      </w:r>
      <w:r>
        <w:rPr>
          <w:rFonts w:ascii="Times New Roman;serif" w:hAnsi="Times New Roman;serif"/>
          <w:b w:val="false"/>
          <w:color w:val="000000"/>
          <w:sz w:val="24"/>
          <w:u w:val="single"/>
        </w:rPr>
        <w:t>clauses (x)</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(z)</w:t>
      </w:r>
      <w:r>
        <w:rPr>
          <w:color w:val="000000"/>
        </w:rPr>
        <w:t xml:space="preserve"> </w:t>
      </w:r>
      <w:r>
        <w:rPr>
          <w:rFonts w:ascii="Times New Roman;serif" w:hAnsi="Times New Roman;serif"/>
          <w:b w:val="false"/>
          <w:color w:val="000000"/>
          <w:sz w:val="24"/>
        </w:rPr>
        <w:t xml:space="preserve">above, which are not overdue for a period of more than one hundred and twenty (120) days or, if overdue for more than one hundred and twenty (120) days, as to which a dispute exists and adequate reserves in conformity with GAAP have been established on the books of such Person and (h) all Contingent Obligations of such person in respect of Indebtedness or obligations of others of the kinds referred to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above.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Indenture</w:t>
      </w:r>
      <w:r>
        <w:rPr>
          <w:color w:val="000000"/>
        </w:rPr>
        <w:t xml:space="preserve">” </w:t>
      </w:r>
      <w:r>
        <w:rPr>
          <w:rFonts w:ascii="Times New Roman;serif" w:hAnsi="Times New Roman;serif"/>
          <w:b w:val="false"/>
          <w:color w:val="000000"/>
          <w:sz w:val="24"/>
        </w:rPr>
        <w:t>means this Indenture, as amended or supplemented from time to time.</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Initial Financial Statements</w:t>
      </w:r>
      <w:r>
        <w:rPr>
          <w:color w:val="000000"/>
        </w:rPr>
        <w:t xml:space="preserve">” </w:t>
      </w:r>
      <w:r>
        <w:rPr>
          <w:rFonts w:ascii="Times New Roman;serif" w:hAnsi="Times New Roman;serif"/>
          <w:b w:val="false"/>
          <w:color w:val="000000"/>
          <w:sz w:val="24"/>
        </w:rPr>
        <w:t xml:space="preserve">means, collectively, consolidated and consolidating balance sheet and statements of income, stockholders equity and cash flows of the Issuer and its consolidated Subsidiaries (a) as of and for the fiscal year ended December 31, 2025, reported on by its independent public accountants, and (b) as of and for the fiscal quarter and the portion of the fiscal year ended June 30, 2026.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Initial Notes</w:t>
      </w:r>
      <w:r>
        <w:rPr>
          <w:color w:val="000000"/>
        </w:rPr>
        <w:t xml:space="preserve">” </w:t>
      </w:r>
      <w:r>
        <w:rPr>
          <w:rFonts w:ascii="Times New Roman;serif" w:hAnsi="Times New Roman;serif"/>
          <w:b w:val="false"/>
          <w:color w:val="000000"/>
          <w:sz w:val="24"/>
        </w:rPr>
        <w:t>has the meaning assigned to such term in the recitals 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Insolvency Event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Insurance Collateral LC Obligations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6.01(u)</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Intellectual Property</w:t>
      </w:r>
      <w:r>
        <w:rPr>
          <w:color w:val="000000"/>
        </w:rPr>
        <w:t xml:space="preserve">” </w:t>
      </w:r>
      <w:r>
        <w:rPr>
          <w:rFonts w:ascii="Times New Roman;serif" w:hAnsi="Times New Roman;serif"/>
          <w:b w:val="false"/>
          <w:color w:val="000000"/>
          <w:sz w:val="24"/>
        </w:rPr>
        <w:t>has the meaning assigned to such term in the Security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Intercompany Note</w:t>
      </w:r>
      <w:r>
        <w:rPr>
          <w:color w:val="000000"/>
        </w:rPr>
        <w:t xml:space="preserve">” </w:t>
      </w:r>
      <w:r>
        <w:rPr>
          <w:rFonts w:ascii="Times New Roman;serif" w:hAnsi="Times New Roman;serif"/>
          <w:b w:val="false"/>
          <w:color w:val="000000"/>
          <w:sz w:val="24"/>
        </w:rPr>
        <w:t>means an intercompany note in form acceptable to the Trustee and in form and substance reasonably acceptable to the Issuer.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Intercreditor Agreement</w:t>
      </w:r>
      <w:r>
        <w:rPr>
          <w:color w:val="000000"/>
        </w:rPr>
        <w:t xml:space="preserve">” </w:t>
      </w:r>
      <w:r>
        <w:rPr>
          <w:rFonts w:ascii="Times New Roman;serif" w:hAnsi="Times New Roman;serif"/>
          <w:b w:val="false"/>
          <w:color w:val="000000"/>
          <w:sz w:val="24"/>
        </w:rPr>
        <w:t>means, as the context may require, the ABL/Note Intercreditor Agreement and/or any Other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Interest Election Request</w:t>
      </w:r>
      <w:r>
        <w:rPr>
          <w:color w:val="000000"/>
        </w:rPr>
        <w:t xml:space="preserve">” </w:t>
      </w:r>
      <w:r>
        <w:rPr>
          <w:rFonts w:ascii="Times New Roman;serif" w:hAnsi="Times New Roman;serif"/>
          <w:b w:val="false"/>
          <w:color w:val="000000"/>
          <w:sz w:val="24"/>
        </w:rPr>
        <w:t xml:space="preserve">means an interest election request substantially in the form of </w:t>
      </w:r>
      <w:r>
        <w:rPr>
          <w:rFonts w:ascii="Times New Roman;serif" w:hAnsi="Times New Roman;serif"/>
          <w:b w:val="false"/>
          <w:color w:val="000000"/>
          <w:sz w:val="24"/>
          <w:u w:val="single"/>
        </w:rPr>
        <w:t>Exhibit 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Interest Payment Date</w:t>
      </w:r>
      <w:r>
        <w:rPr>
          <w:color w:val="000000"/>
        </w:rPr>
        <w:t xml:space="preserve">” </w:t>
      </w:r>
      <w:r>
        <w:rPr>
          <w:rFonts w:ascii="Times New Roman;serif" w:hAnsi="Times New Roman;serif"/>
          <w:b w:val="false"/>
          <w:color w:val="000000"/>
          <w:sz w:val="24"/>
        </w:rPr>
        <w:t>means (a) with respect to any ABR Note, the last Business Day of each March, June, September and December to occur during any period in which such Note is outstanding, (b) with respect to any SOFR Note, the last day of the Interest Period and, in the case of a SOFR Note with an Interest Period of more than three (3) months’ duration, each day prior to the last day of such Interest Period that occurs at intervals of three (3) months’ duration after the first day of such Interest Period and (c) the Maturity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Interest Period</w:t>
      </w:r>
      <w:r>
        <w:rPr>
          <w:color w:val="000000"/>
        </w:rPr>
        <w:t xml:space="preserve">” </w:t>
      </w:r>
      <w:r>
        <w:rPr>
          <w:rFonts w:ascii="Times New Roman;serif" w:hAnsi="Times New Roman;serif"/>
          <w:b w:val="false"/>
          <w:color w:val="000000"/>
          <w:sz w:val="24"/>
        </w:rPr>
        <w:t xml:space="preserve">means, with respect to any SOFR Note, the period commencing on the date of issuance of a Note and ending on the numerically corresponding day in the calendar month that is one, three or six (6) months thereafter (in each case, subject to the availability thereof), as the Issuer may elect in writing to the Trustee at least five (5) Business Days prior to the start of the relevant Interest Period pursuant to </w:t>
      </w:r>
      <w:r>
        <w:rPr>
          <w:rFonts w:ascii="Times New Roman;serif" w:hAnsi="Times New Roman;serif"/>
          <w:b w:val="false"/>
          <w:color w:val="000000"/>
          <w:sz w:val="24"/>
          <w:u w:val="single"/>
        </w:rPr>
        <w:t>Section 2.13(b)</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SOFR Note shall extend beyond the Maturity Date. For purposes hereof, the date of a Note initially shall be the date on which </w:t>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Note is issued and thereafter shall be the effective date of the most recent conversion or continuation of such Note.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Investments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Investors</w:t>
      </w:r>
      <w:r>
        <w:rPr>
          <w:color w:val="000000"/>
        </w:rPr>
        <w:t xml:space="preserve">” </w:t>
      </w:r>
      <w:r>
        <w:rPr>
          <w:rFonts w:ascii="Times New Roman;serif" w:hAnsi="Times New Roman;serif"/>
          <w:b w:val="false"/>
          <w:color w:val="000000"/>
          <w:sz w:val="24"/>
        </w:rPr>
        <w:t>means, collectively, the Backstop Parties, and any of their respective Affiliates or limited partners, but not including, however, any portfolio company of any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IRS</w:t>
      </w:r>
      <w:r>
        <w:rPr>
          <w:color w:val="000000"/>
        </w:rPr>
        <w:t xml:space="preserve">” </w:t>
      </w:r>
      <w:r>
        <w:rPr>
          <w:rFonts w:ascii="Times New Roman;serif" w:hAnsi="Times New Roman;serif"/>
          <w:b w:val="false"/>
          <w:color w:val="000000"/>
          <w:sz w:val="24"/>
        </w:rPr>
        <w:t>means the U.S. Internal Revenue Service.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Issuer</w:t>
      </w:r>
      <w:r>
        <w:rPr>
          <w:color w:val="000000"/>
        </w:rPr>
        <w:t xml:space="preserve">” </w:t>
      </w:r>
      <w:r>
        <w:rPr>
          <w:rFonts w:ascii="Times New Roman;serif" w:hAnsi="Times New Roman;serif"/>
          <w:b w:val="false"/>
          <w:color w:val="000000"/>
          <w:sz w:val="24"/>
        </w:rPr>
        <w:t>has the meaning assigned to such term in the preamble 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Junior Secured Indebtedness</w:t>
      </w:r>
      <w:r>
        <w:rPr>
          <w:color w:val="000000"/>
        </w:rPr>
        <w:t xml:space="preserve">” </w:t>
      </w:r>
      <w:r>
        <w:rPr>
          <w:rFonts w:ascii="Times New Roman;serif" w:hAnsi="Times New Roman;serif"/>
          <w:b w:val="false"/>
          <w:color w:val="000000"/>
          <w:sz w:val="24"/>
        </w:rPr>
        <w:t>means senior Indebtedness of the Note Parties for borrowed money that is secured by (a) Liens on the Collateral on a junior basis to the Liens securing the Obligations and any Permitted Pari Passu Refinancing Debt in accordance with an Other Intercreditor Agreement, (b) Liens on the ABL Priority Collateral on a junior basis to the Liens securing the ABL Obligations in accordance with the ABL/Note Intercreditor Agreement and (c) Liens on the Notes Priority Collateral on a senior basis to the Liens securing ABL Obligations in accordance with the ABL/Note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LCT Election</w:t>
      </w:r>
      <w:r>
        <w:rPr>
          <w:color w:val="000000"/>
        </w:rPr>
        <w:t xml:space="preserve">” </w:t>
      </w:r>
      <w:r>
        <w:rPr>
          <w:rFonts w:ascii="Times New Roman;serif" w:hAnsi="Times New Roman;serif"/>
          <w:b w:val="false"/>
          <w:color w:val="000000"/>
          <w:sz w:val="24"/>
        </w:rPr>
        <w:t xml:space="preserve">means the Issuer’s election to test the permissibility of a Limited Condition Acquisition in accordance with the methodology set forth in </w:t>
      </w:r>
      <w:r>
        <w:rPr>
          <w:rFonts w:ascii="Times New Roman;serif" w:hAnsi="Times New Roman;serif"/>
          <w:b w:val="false"/>
          <w:color w:val="000000"/>
          <w:sz w:val="24"/>
          <w:u w:val="single"/>
        </w:rPr>
        <w:t>Section 1.06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LCT Test Date</w:t>
      </w:r>
      <w:r>
        <w:rPr>
          <w:color w:val="000000"/>
        </w:rPr>
        <w:t xml:space="preserve">” </w:t>
      </w:r>
      <w:r>
        <w:rPr>
          <w:rFonts w:ascii="Times New Roman;serif" w:hAnsi="Times New Roman;serif"/>
          <w:b w:val="false"/>
          <w:color w:val="000000"/>
          <w:sz w:val="24"/>
        </w:rPr>
        <w:t xml:space="preserve">has meaning given to that term in </w:t>
      </w:r>
      <w:r>
        <w:rPr>
          <w:rFonts w:ascii="Times New Roman;serif" w:hAnsi="Times New Roman;serif"/>
          <w:b w:val="false"/>
          <w:color w:val="000000"/>
          <w:sz w:val="24"/>
          <w:u w:val="single"/>
        </w:rPr>
        <w:t>Section 1.06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Leases</w:t>
      </w:r>
      <w:r>
        <w:rPr>
          <w:color w:val="000000"/>
        </w:rPr>
        <w:t xml:space="preserve">” </w:t>
      </w:r>
      <w:r>
        <w:rPr>
          <w:rFonts w:ascii="Times New Roman;serif" w:hAnsi="Times New Roman;serif"/>
          <w:b w:val="false"/>
          <w:color w:val="000000"/>
          <w:sz w:val="24"/>
        </w:rPr>
        <w:t>means any and all leases, subleases, tenancies, options, concession agreements, rental agreements, occupancy agreements, access agreements and any other agreements (including all amendments, extensions, replacements, renewals, modifications and/or guarantees thereof), whether or not of record and whether now in existence or hereafter entered into, affecting the use or occupancy of all or any portion of any Real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Legal Defeasance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Lien</w:t>
      </w:r>
      <w:r>
        <w:rPr>
          <w:color w:val="000000"/>
        </w:rPr>
        <w:t xml:space="preserve">” </w:t>
      </w:r>
      <w:r>
        <w:rPr>
          <w:rFonts w:ascii="Times New Roman;serif" w:hAnsi="Times New Roman;serif"/>
          <w:b w:val="false"/>
          <w:color w:val="000000"/>
          <w:sz w:val="24"/>
        </w:rPr>
        <w:t xml:space="preserve">means, with respect to any property, (a) any mortgage, deed of trust, lien, license, pledge, encumbrance, claim, charge, assignment for security, hypothecation, security interest or encumbrance of any kind or any arrangement to provide priority or preference, including any easement, right-of-way or other encumbrance on title to owned Real Property, in each of the foregoing cases whether voluntary or imposed by law; (b) the interest of a vendor or a lessor under any conditional sale agreement, Capital Lease or title retention agreement (or any financing lease having substantially the same economic effect as any of the foregoing) relating to such property; </w:t>
      </w:r>
      <w:r>
        <w:rPr>
          <w:rFonts w:ascii="Times New Roman;serif" w:hAnsi="Times New Roman;serif"/>
          <w:b w:val="false"/>
          <w:i/>
          <w:color w:val="000000"/>
          <w:sz w:val="24"/>
        </w:rPr>
        <w:t>provided</w:t>
      </w:r>
      <w:r>
        <w:rPr>
          <w:rFonts w:ascii="Times New Roman;serif" w:hAnsi="Times New Roman;serif"/>
          <w:b w:val="false"/>
          <w:color w:val="000000"/>
          <w:sz w:val="24"/>
        </w:rPr>
        <w:t>, that, in no event shall an operating lease be deemed to be a Lien; and (c) in the case of securities, any purchase option, call or similar right of a third party with respect to such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Limited Condition Acquisition</w:t>
      </w:r>
      <w:r>
        <w:rPr>
          <w:color w:val="000000"/>
        </w:rPr>
        <w:t xml:space="preserve">” </w:t>
      </w:r>
      <w:r>
        <w:rPr>
          <w:rFonts w:ascii="Times New Roman;serif" w:hAnsi="Times New Roman;serif"/>
          <w:b w:val="false"/>
          <w:color w:val="000000"/>
          <w:sz w:val="24"/>
        </w:rPr>
        <w:t xml:space="preserve">means any Investment, or any acquisition of any assets, business or person, permitted hereunder (subject to </w:t>
      </w:r>
      <w:r>
        <w:rPr>
          <w:rFonts w:ascii="Times New Roman;serif" w:hAnsi="Times New Roman;serif"/>
          <w:b w:val="false"/>
          <w:color w:val="000000"/>
          <w:sz w:val="24"/>
          <w:u w:val="single"/>
        </w:rPr>
        <w:t>Section 1.06</w:t>
      </w:r>
      <w:r>
        <w:rPr>
          <w:color w:val="000000"/>
        </w:rPr>
        <w:t xml:space="preserve"> </w:t>
      </w:r>
      <w:r>
        <w:rPr>
          <w:rFonts w:ascii="Times New Roman;serif" w:hAnsi="Times New Roman;serif"/>
          <w:b w:val="false"/>
          <w:color w:val="000000"/>
          <w:sz w:val="24"/>
        </w:rPr>
        <w:t xml:space="preserve">and including, for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avoidance of doubt, any Permitted Acquisition) by Issuer or one or more of its Restricted Subsidiaries, including, without limitation, by way of merger or amalgamation, whose consummation is not conditioned on the availability of, or on obtaining, third party financing.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Make-Whole Amount</w:t>
      </w:r>
      <w:r>
        <w:rPr>
          <w:color w:val="000000"/>
        </w:rPr>
        <w:t xml:space="preserve">” </w:t>
      </w:r>
      <w:r>
        <w:rPr>
          <w:rFonts w:ascii="Times New Roman;serif" w:hAnsi="Times New Roman;serif"/>
          <w:b w:val="false"/>
          <w:color w:val="000000"/>
          <w:sz w:val="24"/>
        </w:rPr>
        <w:t xml:space="preserve">means, with respect to the Called Principal of any Note, an amount equal to the Discounted Value of the Remaining Scheduled Payments with respect to the Called Principal of such Note; </w:t>
      </w:r>
      <w:r>
        <w:rPr>
          <w:rFonts w:ascii="Times New Roman;serif" w:hAnsi="Times New Roman;serif"/>
          <w:b w:val="false"/>
          <w:i/>
          <w:color w:val="000000"/>
          <w:sz w:val="24"/>
        </w:rPr>
        <w:t>provided</w:t>
      </w:r>
      <w:r>
        <w:rPr>
          <w:rFonts w:ascii="Times New Roman;serif" w:hAnsi="Times New Roman;serif"/>
          <w:b w:val="false"/>
          <w:color w:val="000000"/>
          <w:sz w:val="24"/>
        </w:rPr>
        <w:t>, that, the Make-Whole Amount shall in no event be less than zero. The Issuer will calculate the Make-Whole Amount and, prior to the redemption date or repurchase date, as applicable, provide an Officer’s Certificate to the Trustee setting forth the Make-Whole Amount and showing the calculation of each in reasonable detail.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Make-Whole Event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3.10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Make-Whole Expiry Date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3.07(a)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Management Stockholder</w:t>
      </w:r>
      <w:r>
        <w:rPr>
          <w:color w:val="000000"/>
        </w:rPr>
        <w:t xml:space="preserve">” </w:t>
      </w:r>
      <w:r>
        <w:rPr>
          <w:rFonts w:ascii="Times New Roman;serif" w:hAnsi="Times New Roman;serif"/>
          <w:b w:val="false"/>
          <w:color w:val="000000"/>
          <w:sz w:val="24"/>
        </w:rPr>
        <w:t>means members of management (and their Controlled Investment Affiliates and Immediate Family Members and any permitted transferees thereof) of the Issuers who are holders of Equity Interests of the Issuer on the Restatement Effective Date or will become holders of such Equity Interests in connection with the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Material Adverse Effect</w:t>
      </w:r>
      <w:r>
        <w:rPr>
          <w:color w:val="000000"/>
        </w:rPr>
        <w:t xml:space="preserve">” </w:t>
      </w:r>
      <w:r>
        <w:rPr>
          <w:rFonts w:ascii="Times New Roman;serif" w:hAnsi="Times New Roman;serif"/>
          <w:b w:val="false"/>
          <w:color w:val="000000"/>
          <w:sz w:val="24"/>
        </w:rPr>
        <w:t>means a material adverse effect on (a) the business, assets, results of operations or financial condition of the Issuer and its Restricted Subsidiaries, taken as a whole, (b) the rights and remedies of the Trustee, the Collateral Agent or the Holders under the Note Documents (other than to the extent a result of the action or inaction of the Trustee, the Collateral Agent, the Holders or their respective affiliates, officers, employees, agents, attorneys or representatives) or (c) the ability of the Note Parties, taken as a whole, to perform their payment obligations under the Note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Material Real Property</w:t>
      </w:r>
      <w:r>
        <w:rPr>
          <w:color w:val="000000"/>
        </w:rPr>
        <w:t xml:space="preserve">” </w:t>
      </w:r>
      <w:r>
        <w:rPr>
          <w:rFonts w:ascii="Times New Roman;serif" w:hAnsi="Times New Roman;serif"/>
          <w:b w:val="false"/>
          <w:color w:val="000000"/>
          <w:sz w:val="24"/>
        </w:rPr>
        <w:t xml:space="preserve">means any Real Property (a) owned by any Group Member that has a fair market value (as reasonably determined by the Issuer) equal to or in excess of $8,000,000, determined (i) in the case of any such Real Property owned by any Group Member on the Closing Date, as of the Closing Date, (ii) in the case of any such Real Property owned by any Restricted Subsidiary that becomes a Group Member after the Closing Date, as of the date such Restricted Subsidiary becomes a Group Member, or (iii) in the case of any such Real Property acquired by any Group Member after the Closing Date or, in the case of any Group Member referred to in </w:t>
      </w:r>
      <w:r>
        <w:rPr>
          <w:rFonts w:ascii="Times New Roman;serif" w:hAnsi="Times New Roman;serif"/>
          <w:b w:val="false"/>
          <w:color w:val="000000"/>
          <w:sz w:val="24"/>
          <w:u w:val="single"/>
        </w:rPr>
        <w:t>clause (ii)</w:t>
      </w:r>
      <w:r>
        <w:rPr>
          <w:rFonts w:ascii="Times New Roman;serif" w:hAnsi="Times New Roman;serif"/>
          <w:b w:val="false"/>
          <w:color w:val="000000"/>
          <w:sz w:val="24"/>
        </w:rPr>
        <w:t>, after it becomes a Group Member, as of the date of acquisition thereof or (b) leased by any Group Member that has an annual payments equal to or in excess of $1,000,000.</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Maturity Date</w:t>
      </w:r>
      <w:r>
        <w:rPr>
          <w:color w:val="000000"/>
        </w:rPr>
        <w:t xml:space="preserve">” </w:t>
      </w:r>
      <w:r>
        <w:rPr>
          <w:rFonts w:ascii="Times New Roman;serif" w:hAnsi="Times New Roman;serif"/>
          <w:b w:val="false"/>
          <w:color w:val="000000"/>
          <w:sz w:val="24"/>
        </w:rPr>
        <w:t xml:space="preserve">means March 12, 2030; </w:t>
      </w:r>
      <w:r>
        <w:rPr>
          <w:rFonts w:ascii="Times New Roman;serif" w:hAnsi="Times New Roman;serif"/>
          <w:b w:val="false"/>
          <w:i/>
          <w:color w:val="000000"/>
          <w:sz w:val="24"/>
        </w:rPr>
        <w:t>provided</w:t>
      </w:r>
      <w:r>
        <w:rPr>
          <w:rFonts w:ascii="Times New Roman;serif" w:hAnsi="Times New Roman;serif"/>
          <w:b w:val="false"/>
          <w:color w:val="000000"/>
          <w:sz w:val="24"/>
        </w:rPr>
        <w:t>, that, in each case, if such date is not a Business Day, the “Maturity Date” shall be the Business Day immediately preceding such date.</w:t>
      </w:r>
    </w:p>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Maximum Additional Debt Amount</w:t>
      </w:r>
      <w:r>
        <w:rPr>
          <w:color w:val="000000"/>
        </w:rPr>
        <w:t xml:space="preserve">” </w:t>
      </w:r>
      <w:r>
        <w:rPr>
          <w:rFonts w:ascii="Times New Roman;serif" w:hAnsi="Times New Roman;serif"/>
          <w:b w:val="false"/>
          <w:color w:val="000000"/>
          <w:sz w:val="24"/>
        </w:rPr>
        <w:t>means an aggregate amount equal to $25,000,000.</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Moody’s</w:t>
      </w:r>
      <w:r>
        <w:rPr>
          <w:color w:val="000000"/>
        </w:rPr>
        <w:t xml:space="preserve">” </w:t>
      </w:r>
      <w:r>
        <w:rPr>
          <w:rFonts w:ascii="Times New Roman;serif" w:hAnsi="Times New Roman;serif"/>
          <w:b w:val="false"/>
          <w:color w:val="000000"/>
          <w:sz w:val="24"/>
        </w:rPr>
        <w:t>means Moody’s Investors Service Inc.</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Mortgage</w:t>
      </w:r>
      <w:r>
        <w:rPr>
          <w:color w:val="000000"/>
        </w:rPr>
        <w:t xml:space="preserve">” </w:t>
      </w:r>
      <w:r>
        <w:rPr>
          <w:rFonts w:ascii="Times New Roman;serif" w:hAnsi="Times New Roman;serif"/>
          <w:b w:val="false"/>
          <w:color w:val="000000"/>
          <w:sz w:val="24"/>
        </w:rPr>
        <w:t>means any mortgage, deed of trust or other agreement, in recordable form, which conveys or evidences a Lien in favor of the Collateral Agent, for the benefit of the Collateral Agent and the other Secured Parties, on any Material Real Property, which shall be in form reasonably satisfactory to the Collateral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Mortgage Policy</w:t>
      </w:r>
      <w:r>
        <w:rPr>
          <w:color w:val="000000"/>
        </w:rPr>
        <w:t xml:space="preserve">” </w:t>
      </w:r>
      <w:r>
        <w:rPr>
          <w:rFonts w:ascii="Times New Roman;serif" w:hAnsi="Times New Roman;serif"/>
          <w:b w:val="false"/>
          <w:color w:val="000000"/>
          <w:sz w:val="24"/>
        </w:rPr>
        <w:t>means a fully paid ALTA extended coverage lender’s policy of title insurance in a commercially reasonable amount (not to exceed one hundred ten percent (110%) of the fair market value of the Material Real Property (determined as set forth in the definition of such term) to which such policy pertains) issued by a nationally recognized title insurance company in the applicable jurisdiction, insuring the relevant Mortgage as having created a valid and subsisting Lien on the real property described therein with the ranking or the priority that it is expressed to have in such Mortgage, subject only to Permitted Liens, together with such endorsements as may be reasonably necessary, and otherwise in form reasonably acceptable to the Collateral Agent.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Mortgaged Property</w:t>
      </w:r>
      <w:r>
        <w:rPr>
          <w:color w:val="000000"/>
        </w:rPr>
        <w:t xml:space="preserve">” </w:t>
      </w:r>
      <w:r>
        <w:rPr>
          <w:rFonts w:ascii="Times New Roman;serif" w:hAnsi="Times New Roman;serif"/>
          <w:b w:val="false"/>
          <w:color w:val="000000"/>
          <w:sz w:val="24"/>
        </w:rPr>
        <w:t xml:space="preserve">means any Real Property that is subject to a Mortgage, </w:t>
      </w:r>
      <w:r>
        <w:rPr>
          <w:rFonts w:ascii="Times New Roman;serif" w:hAnsi="Times New Roman;serif"/>
          <w:b w:val="false"/>
          <w:i/>
          <w:color w:val="000000"/>
          <w:sz w:val="24"/>
        </w:rPr>
        <w:t>provided</w:t>
      </w:r>
      <w:r>
        <w:rPr>
          <w:rFonts w:ascii="Times New Roman;serif" w:hAnsi="Times New Roman;serif"/>
          <w:b w:val="false"/>
          <w:color w:val="000000"/>
          <w:sz w:val="24"/>
        </w:rPr>
        <w:t>, that, only Material Real Property shall be required to be Mortgaged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Motor Vehicle Sale and Leaseback Transaction</w:t>
      </w:r>
      <w:r>
        <w:rPr>
          <w:color w:val="000000"/>
        </w:rPr>
        <w:t xml:space="preserve">” </w:t>
      </w:r>
      <w:r>
        <w:rPr>
          <w:rFonts w:ascii="Times New Roman;serif" w:hAnsi="Times New Roman;serif"/>
          <w:b w:val="false"/>
          <w:color w:val="000000"/>
          <w:sz w:val="24"/>
        </w:rPr>
        <w:t>means a Sale Leaseback Transaction or other similar transaction, in each case, in respect of Motor Vehicles, pursuant to which (i) the Issuer or Restricted Subsidiary transfers title in one or more Motor Vehicles to a third party for minimal consideration, leases the Motor Vehicle back and has the right to receive sale proceeds (less commissions) upon a sale by such third party of such Motor Vehicle, (ii) no material lease payments are made by the Issuer or such Restricted Subsidiary and (iii) the fair market value of all Motor Vehicles subject to such transaction, when combined with the fair market value of the Motor Vehicles transferred in any other Motor Vehicle Sale and Leaseback Transaction, does not exceed $20,000,000 in the aggregate at any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Motor Vehicles</w:t>
      </w:r>
      <w:r>
        <w:rPr>
          <w:color w:val="000000"/>
        </w:rPr>
        <w:t xml:space="preserve">” </w:t>
      </w:r>
      <w:r>
        <w:rPr>
          <w:rFonts w:ascii="Times New Roman;serif" w:hAnsi="Times New Roman;serif"/>
          <w:b w:val="false"/>
          <w:color w:val="000000"/>
          <w:sz w:val="24"/>
        </w:rPr>
        <w:t xml:space="preserve">means motor vehicles (including automobiles and trucks), trailers, containers and related equipment owned or leased by the Issuer or any of its Subsidiaries.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Multiemployer Plan</w:t>
      </w:r>
      <w:r>
        <w:rPr>
          <w:color w:val="000000"/>
        </w:rPr>
        <w:t xml:space="preserve">” </w:t>
      </w:r>
      <w:r>
        <w:rPr>
          <w:rFonts w:ascii="Times New Roman;serif" w:hAnsi="Times New Roman;serif"/>
          <w:b w:val="false"/>
          <w:color w:val="000000"/>
          <w:sz w:val="24"/>
        </w:rPr>
        <w:t>means a “multiemployer plan” within the meaning of Section 4001(a)(3) or Section 3(37) of ERISA which is subject to Title IV of ERISA (a) to which any Group Member is then making or accruing an obligation to make contributions, or (b) with respect to which any Group Member has any liability (including on account of an ERISA Affiliate).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Net Capital Expenditures</w:t>
      </w:r>
      <w:r>
        <w:rPr>
          <w:color w:val="000000"/>
        </w:rPr>
        <w:t xml:space="preserve">” </w:t>
      </w:r>
      <w:r>
        <w:rPr>
          <w:rFonts w:ascii="Times New Roman;serif" w:hAnsi="Times New Roman;serif"/>
          <w:b w:val="false"/>
          <w:color w:val="000000"/>
          <w:sz w:val="24"/>
        </w:rPr>
        <w:t>means Capital Expenditures net of any dispositions of capital assets during the applicable period.</w:t>
      </w:r>
    </w:p>
    <w:p>
      <w:pPr>
        <w:pStyle w:val="TextBody"/>
        <w:bidi w:val="0"/>
        <w:spacing w:before="0" w:after="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Net Cash Proceeds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with respect to any Asset Sale by the Issuer or any of its Restricted Subsidiaries (other than any issuance or sale of Equity Interests), the proceeds thereof in the form of cash, cash equivalents (including Cash Equivalents) and marketable securities (including any such proceeds received by way of deferred payment of principal pursuant to a note or installment receivable or purchase price adjustment receivable, or by the sale, transfer or other disposition of any non-cash consideration received in connection therewith or otherwise, but only as and when received) received by any Group Member, net of, without duplication, (i) fees and expenses (including brokers’ fees or commissions, discounts, legal, accounting and other professional and transactional fees, transfer and similar taxes and the Issuer’s good faith estimate of Taxes paid or payable by any Group Member in connection with such sale or with the repatriation of such proceeds (after taking into account any available tax credits or deductions that currently offset such taxes, and including any payments or payable amounts under tax sharing arrangements permitted under the Note Documents)), (ii) amounts provided as a reserve, in accordance with GAAP, against (x) any liabilities under any indemnification obligations, earn-out obligations or purchase price adjustments associated with such Asset Sale or (y) any other liabilities retained or payable by any Group Member associated with the Properties sold in such Asset Sale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to the extent and at the time any such amounts are released from such reserve, such amounts shall constitute Net Cash Proceeds), (iii) the principal amount, premium or penalty, if any, interest and other amounts on any Indebtedness for borrowed money (other than the Notes) that is secured by a Lien on the Properties sold in such Asset Sale (so long as such Lien was permitted to encumber such Properties under the Note Documents at the time of such sale and was not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or junior Lien on Collateral) and which is repaid with such proceeds (other than any such Indebtedness assumed by the purchaser of such Properties) and (iv) the Issuer’s good faith estimate of the amount of payments required to be made with respect to unassumed liabilities relating to the properties sold within three hundred sixty (360) days of such Asset Sale (</w:t>
      </w:r>
      <w:r>
        <w:rPr>
          <w:rFonts w:ascii="Times New Roman;serif" w:hAnsi="Times New Roman;serif"/>
          <w:b w:val="false"/>
          <w:i/>
          <w:color w:val="000000"/>
          <w:sz w:val="24"/>
        </w:rPr>
        <w:t>provided</w:t>
      </w:r>
      <w:r>
        <w:rPr>
          <w:rFonts w:ascii="Times New Roman;serif" w:hAnsi="Times New Roman;serif"/>
          <w:b w:val="false"/>
          <w:color w:val="000000"/>
          <w:sz w:val="24"/>
        </w:rPr>
        <w:t>, that, to the extent such cash proceeds are not used to make payments in respect of such unassumed liabilities within three hundred sixty (360) days after such Asset Sale, such cash proceeds shall constitute Net Cash Proceeds);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with respect to any Casualty Event, the cash insurance proceeds, condemnation awards and other compensation received by, or on behalf of, any Group Member in respect thereof, net of all costs and expenses incurred in connection with the collection of such proceeds, awards or other compensation in respect of such Casualty Event (including, in respect of any such Casualty Event, transfer and similar Taxes and the Issuer’s good faith estimate of Taxes paid or payable by any Group Member in connection with such Casualty Event or with the repatriation of such proceeds (after taking into account any available tax credits or deductions that currently offset such taxes, and including any payments or payable amounts under tax sharing arrangements permitted under the Note Documents)) net of, without duplication, the principal amount, premium or penalty, if any, interest and other amounts on any Indebtedness for borrowed money (other than the Notes) that is secured by a Lien on property lost, damaged, destroyed or taken in connection with such Casualty Event (so long as such Lien was permitted to encumber such Properties under the Note Documents at the time of such Casualty Event and was not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or junior Lien on Collateral) and which is repaid with such proceeds;</w:t>
      </w:r>
    </w:p>
    <w:p>
      <w:pPr>
        <w:pStyle w:val="TextBody"/>
        <w:bidi w:val="0"/>
        <w:spacing w:before="0" w:after="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with respect to any issuance or sale of Equity Interests by the Issuer or any of its Restricted Subsidiaries, the cash proceeds thereof, net of Taxes paid or payable by any Group Member in connection with such issuance or sale of Equity Interests (including Taxes payable upon the repatriation of any such proceeds to a Group Member), fees, commissions, costs and other expenses incurred in connection therewith;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with respect to any Debt Issuance by the Issuer or any of its Restricted Subsidiaries, the cash proceeds thereof, net of Taxes paid or payable by any Group Member in connection with such Debt Issuance (including Taxes payable upon repatriation of the proceeds to a Group Member), fees, commissions, costs and other expenses incurred in connection therewith.</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Net Cash Proceeds Offer</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3.08(e)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Net Cash Proceeds Payment Date</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3.08(e)(i)(B)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Net Cash Proceeds Purchase Price</w:t>
      </w:r>
      <w:r>
        <w:rPr>
          <w:color w:val="000000"/>
        </w:rPr>
        <w:t xml:space="preserve">” </w:t>
      </w:r>
      <w:r>
        <w:rPr>
          <w:rFonts w:ascii="Times New Roman;serif" w:hAnsi="Times New Roman;serif"/>
          <w:b w:val="false"/>
          <w:color w:val="000000"/>
          <w:sz w:val="24"/>
        </w:rPr>
        <w:t xml:space="preserve">has the meaning given to such term in </w:t>
      </w:r>
      <w:r>
        <w:rPr>
          <w:rFonts w:ascii="Times New Roman;serif" w:hAnsi="Times New Roman;serif"/>
          <w:b w:val="false"/>
          <w:color w:val="000000"/>
          <w:sz w:val="24"/>
          <w:u w:val="single"/>
        </w:rPr>
        <w:t>Section 3.08(e)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 Otherwise Applied</w:t>
      </w:r>
      <w:r>
        <w:rPr>
          <w:color w:val="000000"/>
        </w:rPr>
        <w:t xml:space="preserve">” </w:t>
      </w:r>
      <w:r>
        <w:rPr>
          <w:rFonts w:ascii="Times New Roman;serif" w:hAnsi="Times New Roman;serif"/>
          <w:b w:val="false"/>
          <w:color w:val="000000"/>
          <w:sz w:val="24"/>
        </w:rPr>
        <w:t xml:space="preserve">means, with reference to any amount of proceeds of any transaction or event, that such amount (a) was not required to be applied to repurchase the Notes pursuant to </w:t>
      </w:r>
      <w:r>
        <w:rPr>
          <w:rFonts w:ascii="Times New Roman;serif" w:hAnsi="Times New Roman;serif"/>
          <w:b w:val="false"/>
          <w:color w:val="000000"/>
          <w:sz w:val="24"/>
          <w:u w:val="single"/>
        </w:rPr>
        <w:t>Section 3.08</w:t>
      </w:r>
      <w:r>
        <w:rPr>
          <w:rFonts w:ascii="Times New Roman;serif" w:hAnsi="Times New Roman;serif"/>
          <w:b w:val="false"/>
          <w:color w:val="000000"/>
          <w:sz w:val="24"/>
        </w:rPr>
        <w:t xml:space="preserve">, (b) was not previously applied in determining the permissibility of a transaction under the Note Documents where such permissibility was contingent on receipt of such amount or utilization of such amount for a specified purpose, (c) in the case of Net Cash Proceeds from Eligible Equity Issuances or from Equity Cure Contributions, was not otherwise used for or in connection with (i) Investments made pursuant to </w:t>
      </w:r>
      <w:r>
        <w:rPr>
          <w:rFonts w:ascii="Times New Roman;serif" w:hAnsi="Times New Roman;serif"/>
          <w:b w:val="false"/>
          <w:color w:val="000000"/>
          <w:sz w:val="24"/>
          <w:u w:val="single"/>
        </w:rPr>
        <w:t>Section 6.03(v)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6.03(x)</w:t>
      </w:r>
      <w:r>
        <w:rPr>
          <w:rFonts w:ascii="Times New Roman;serif" w:hAnsi="Times New Roman;serif"/>
          <w:b w:val="false"/>
          <w:color w:val="000000"/>
          <w:sz w:val="24"/>
        </w:rPr>
        <w:t xml:space="preserve">, (ii) Dividends made pursuant to </w:t>
      </w:r>
      <w:r>
        <w:rPr>
          <w:rFonts w:ascii="Times New Roman;serif" w:hAnsi="Times New Roman;serif"/>
          <w:b w:val="false"/>
          <w:color w:val="000000"/>
          <w:sz w:val="24"/>
          <w:u w:val="single"/>
        </w:rPr>
        <w:t>Section 6.06(f)</w:t>
      </w:r>
      <w:r>
        <w:rPr>
          <w:rFonts w:ascii="Times New Roman;serif" w:hAnsi="Times New Roman;serif"/>
          <w:b w:val="false"/>
          <w:color w:val="000000"/>
          <w:sz w:val="24"/>
        </w:rPr>
        <w:t xml:space="preserve">, (iii) prepayments of Indebtedness pursuant to </w:t>
      </w:r>
      <w:r>
        <w:rPr>
          <w:rFonts w:ascii="Times New Roman;serif" w:hAnsi="Times New Roman;serif"/>
          <w:b w:val="false"/>
          <w:color w:val="000000"/>
          <w:sz w:val="24"/>
          <w:u w:val="single"/>
        </w:rPr>
        <w:t>Section 6.09(a)(i)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6.09(a)(ii)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6.09(a)(vii)</w:t>
      </w:r>
      <w:r>
        <w:rPr>
          <w:color w:val="000000"/>
        </w:rPr>
        <w:t xml:space="preserve"> </w:t>
      </w:r>
      <w:r>
        <w:rPr>
          <w:rFonts w:ascii="Times New Roman;serif" w:hAnsi="Times New Roman;serif"/>
          <w:b w:val="false"/>
          <w:color w:val="000000"/>
          <w:sz w:val="24"/>
        </w:rPr>
        <w:t xml:space="preserve">or (iv) the inclusion thereof as an Equity Cure Contribution in the calculation of Consolidated EBITDA for purposes of determining compliance with Total Net Leverage Ratio, pursuant to </w:t>
      </w:r>
      <w:r>
        <w:rPr>
          <w:rFonts w:ascii="Times New Roman;serif" w:hAnsi="Times New Roman;serif"/>
          <w:b w:val="false"/>
          <w:color w:val="000000"/>
          <w:sz w:val="24"/>
          <w:u w:val="single"/>
        </w:rPr>
        <w:t>Section 8.10(a)</w:t>
      </w:r>
      <w:r>
        <w:rPr>
          <w:color w:val="000000"/>
        </w:rPr>
        <w:t xml:space="preserve"> </w:t>
      </w:r>
      <w:r>
        <w:rPr>
          <w:rFonts w:ascii="Times New Roman;serif" w:hAnsi="Times New Roman;serif"/>
          <w:b w:val="false"/>
          <w:color w:val="000000"/>
          <w:sz w:val="24"/>
        </w:rPr>
        <w:t>and (d) was not previously applied to increase the Cumulative Amount pursuant to the definition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 Documents</w:t>
      </w:r>
      <w:r>
        <w:rPr>
          <w:color w:val="000000"/>
        </w:rPr>
        <w:t xml:space="preserve">” </w:t>
      </w:r>
      <w:r>
        <w:rPr>
          <w:rFonts w:ascii="Times New Roman;serif" w:hAnsi="Times New Roman;serif"/>
          <w:b w:val="false"/>
          <w:color w:val="000000"/>
          <w:sz w:val="24"/>
        </w:rPr>
        <w:t>means this Indenture, any amendments hereto, any Intercreditor Agreement, the Notes, the Security Documents, the Rights Offering Backstop Agreement, the Intercompany Note, the Securities Purchase Agreement and other intercreditor agreements and subordination agreements entered into pursuant to the terms hereof that any Note Party is party to and any other document designated as such by the Issuer, in each case as amended, amended and restated, restated, supplemented and/or modified from time to time. For the avoidance of doubt, the Warrants shall not be deemed to be Note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 Parties</w:t>
      </w:r>
      <w:r>
        <w:rPr>
          <w:color w:val="000000"/>
        </w:rPr>
        <w:t xml:space="preserve">” </w:t>
      </w:r>
      <w:r>
        <w:rPr>
          <w:rFonts w:ascii="Times New Roman;serif" w:hAnsi="Times New Roman;serif"/>
          <w:b w:val="false"/>
          <w:color w:val="000000"/>
          <w:sz w:val="24"/>
        </w:rPr>
        <w:t>means the Issuer and the Guarantors; and “</w:t>
      </w:r>
      <w:r>
        <w:rPr>
          <w:rFonts w:ascii="Times New Roman;serif" w:hAnsi="Times New Roman;serif"/>
          <w:b/>
          <w:color w:val="000000"/>
          <w:sz w:val="24"/>
        </w:rPr>
        <w:t>Note Party</w:t>
      </w:r>
      <w:r>
        <w:rPr>
          <w:color w:val="000000"/>
        </w:rPr>
        <w:t xml:space="preserve">” </w:t>
      </w:r>
      <w:r>
        <w:rPr>
          <w:rFonts w:ascii="Times New Roman;serif" w:hAnsi="Times New Roman;serif"/>
          <w:b w:val="false"/>
          <w:color w:val="000000"/>
          <w:sz w:val="24"/>
        </w:rPr>
        <w:t>means any one of them.</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 Register</w:t>
      </w:r>
      <w:r>
        <w:rPr>
          <w:color w:val="000000"/>
        </w:rPr>
        <w:t xml:space="preserve">” </w:t>
      </w:r>
      <w:r>
        <w:rPr>
          <w:rFonts w:ascii="Times New Roman;serif" w:hAnsi="Times New Roman;serif"/>
          <w:b w:val="false"/>
          <w:color w:val="000000"/>
          <w:sz w:val="24"/>
        </w:rPr>
        <w:t xml:space="preserve">has the meaning assigned to such term in Section 2.03(a). </w:t>
      </w:r>
    </w:p>
    <w:p>
      <w:pPr>
        <w:pStyle w:val="TextBody"/>
        <w:bidi w:val="0"/>
        <w:spacing w:before="0" w:after="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Notes</w:t>
      </w:r>
      <w:r>
        <w:rPr>
          <w:color w:val="000000"/>
        </w:rPr>
        <w:t xml:space="preserve">” </w:t>
      </w:r>
      <w:r>
        <w:rPr>
          <w:rFonts w:ascii="Times New Roman;serif" w:hAnsi="Times New Roman;serif"/>
          <w:b w:val="false"/>
          <w:color w:val="000000"/>
          <w:sz w:val="24"/>
        </w:rPr>
        <w:t>means any Initial Note, PIK Note, or Additional Note, as the context may require.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Notes Collateral Account</w:t>
      </w:r>
      <w:r>
        <w:rPr>
          <w:color w:val="000000"/>
        </w:rPr>
        <w:t xml:space="preserve">” </w:t>
      </w:r>
      <w:r>
        <w:rPr>
          <w:rFonts w:ascii="Times New Roman;serif" w:hAnsi="Times New Roman;serif"/>
          <w:b w:val="false"/>
          <w:color w:val="000000"/>
          <w:sz w:val="24"/>
        </w:rPr>
        <w:t>means one or more deposit accounts or securities accounts under the control of the Trustee or the Collateral Agent holding only the proceeds of any sale or disposition of any Notes Priority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Notes Priority Collateral</w:t>
      </w:r>
      <w:r>
        <w:rPr>
          <w:color w:val="000000"/>
        </w:rPr>
        <w:t xml:space="preserve">” </w:t>
      </w:r>
      <w:r>
        <w:rPr>
          <w:rFonts w:ascii="Times New Roman;serif" w:hAnsi="Times New Roman;serif"/>
          <w:b w:val="false"/>
          <w:color w:val="000000"/>
          <w:sz w:val="24"/>
        </w:rPr>
        <w:t>has the meaning assigned to the term “Notes Priority Collateral” in the ABL/Note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Notes Refinancing Indebtedness</w:t>
      </w:r>
      <w:r>
        <w:rPr>
          <w:color w:val="000000"/>
        </w:rPr>
        <w:t xml:space="preserve">” </w:t>
      </w:r>
      <w:r>
        <w:rPr>
          <w:rFonts w:ascii="Times New Roman;serif" w:hAnsi="Times New Roman;serif"/>
          <w:b w:val="false"/>
          <w:color w:val="000000"/>
          <w:sz w:val="24"/>
        </w:rPr>
        <w:t>means (a) Permitted Pari Passu Refinancing Debt, (b) Permitted Junior Refinancing Debt or (c) Permitted Unsecured Refinancing Debt, in each case, to redeem, refinance, replace, defease, discharge, refund, restate, substitute, modify, supplement or reissue or otherwise retire for value, in whole or in part, any Notes (“</w:t>
      </w:r>
      <w:r>
        <w:rPr>
          <w:rFonts w:ascii="Times New Roman;serif" w:hAnsi="Times New Roman;serif"/>
          <w:b/>
          <w:color w:val="000000"/>
          <w:sz w:val="24"/>
        </w:rPr>
        <w:t>Refinanced Debt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such extending, renewing or refinancing Indebtedness is in an original aggregate principal amount not greater than (A) the aggregate principal amount of the Refinanced Debt,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accrued, capitalized and unpaid interest thereon, any fees, premiums, accrued interest associated therewith, or other reasonable amount paid, and fees, costs and expenses, commissions or underwriting discounts incurred in connection therewith,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(C) an amount equal to any existing commitments unutilized under such Refinanced Debt not established in contemplation of such refinancing,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(D) such additional amounts otherwise permitted to be incurred under the Note Documents (with a corresponding reduction in the amount of any basket or carve-out (to the extent capped) used pursuant to this </w:t>
      </w:r>
      <w:r>
        <w:rPr>
          <w:rFonts w:ascii="Times New Roman;serif" w:hAnsi="Times New Roman;serif"/>
          <w:b w:val="false"/>
          <w:color w:val="000000"/>
          <w:sz w:val="24"/>
          <w:u w:val="single"/>
        </w:rPr>
        <w:t>clause (D)</w:t>
      </w:r>
      <w:r>
        <w:rPr>
          <w:rFonts w:ascii="Times New Roman;serif" w:hAnsi="Times New Roman;serif"/>
          <w:b w:val="false"/>
          <w:color w:val="000000"/>
          <w:sz w:val="24"/>
        </w:rPr>
        <w:t>), (ii) the terms applicable to such Notes Refinancing Indebtedness comply with the Required Debt Terms and (iii) such Refinanced Debt (other than unasserted contingent indemnification or reimbursement obligations) shall be repaid, defeased or satisfied and discharged, and (unless otherwise agreed by all holders holding such Refinanced Debt) all accrued interest, fees and premiums (if any) in connection therewith shall be paid on the date such Notes Refinancing Indebtedness is issued, incurred or obtained.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Notice of Intent to Cure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Obligations</w:t>
      </w:r>
      <w:r>
        <w:rPr>
          <w:color w:val="000000"/>
        </w:rPr>
        <w:t xml:space="preserve">” </w:t>
      </w:r>
      <w:r>
        <w:rPr>
          <w:rFonts w:ascii="Times New Roman;serif" w:hAnsi="Times New Roman;serif"/>
          <w:b w:val="false"/>
          <w:color w:val="000000"/>
          <w:sz w:val="24"/>
        </w:rPr>
        <w:t>means obligations of the Issuer and the other Note Parties from time to time arising under or in respect of the due and punctual payment of (a) the principal of and premium, if any, and interest (including interest accruing during the pendency of any bankruptcy, insolvency, receivership or other similar proceeding, regardless of whether allowed or allowable in such proceeding) on the Notes, when and as due, whether at maturity, by acceleration, upon one or more dates set for redemption or otherwise and (b) all other monetary obligations, including fees, costs, expenses and indemnities, whether primary, secondary, direct, contingent, fixed or otherwise (including fees and other monetary obligations incurred during the pendency of any bankruptcy, insolvency, receivership or other similar proceeding, regardless of whether allowed or allowable in such proceeding), of the Issuer and the other Note Parties under this Indenture and the other Note Documents.</w:t>
      </w:r>
    </w:p>
    <w:p>
      <w:pPr>
        <w:pStyle w:val="TextBody"/>
        <w:bidi w:val="0"/>
        <w:spacing w:before="0" w:after="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OFAC</w:t>
      </w:r>
      <w:r>
        <w:rPr>
          <w:color w:val="000000"/>
        </w:rPr>
        <w:t xml:space="preserve">” </w:t>
      </w:r>
      <w:r>
        <w:rPr>
          <w:rFonts w:ascii="Times New Roman;serif" w:hAnsi="Times New Roman;serif"/>
          <w:b w:val="false"/>
          <w:color w:val="000000"/>
          <w:sz w:val="24"/>
        </w:rPr>
        <w:t>means the U.S. Department of the Treasury, Office of Foreign Assets Control.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Officer</w:t>
      </w:r>
      <w:r>
        <w:rPr>
          <w:color w:val="000000"/>
        </w:rPr>
        <w:t xml:space="preserve">” </w:t>
      </w:r>
      <w:r>
        <w:rPr>
          <w:rFonts w:ascii="Times New Roman;serif" w:hAnsi="Times New Roman;serif"/>
          <w:b w:val="false"/>
          <w:color w:val="000000"/>
          <w:sz w:val="24"/>
        </w:rPr>
        <w:t>means any of the following of the Issuer or any Guarantor: the Chairman of the Board of Directors; the Chief Executive Officer; the Chief Financial Officer; the President; any Vice President; the Treasurer; or the Secretary.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Officer’s Certificate</w:t>
      </w:r>
      <w:r>
        <w:rPr>
          <w:color w:val="000000"/>
        </w:rPr>
        <w:t xml:space="preserve">” </w:t>
      </w:r>
      <w:r>
        <w:rPr>
          <w:rFonts w:ascii="Times New Roman;serif" w:hAnsi="Times New Roman;serif"/>
          <w:b w:val="false"/>
          <w:color w:val="000000"/>
          <w:sz w:val="24"/>
        </w:rPr>
        <w:t>means a certificate signed by an Officer.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Opinion of Counsel</w:t>
      </w:r>
      <w:r>
        <w:rPr>
          <w:color w:val="000000"/>
        </w:rPr>
        <w:t xml:space="preserve">” </w:t>
      </w:r>
      <w:r>
        <w:rPr>
          <w:rFonts w:ascii="Times New Roman;serif" w:hAnsi="Times New Roman;serif"/>
          <w:b w:val="false"/>
          <w:color w:val="000000"/>
          <w:sz w:val="24"/>
        </w:rPr>
        <w:t>means a written opinion from legal counsel acceptable to the Trustee. The counsel may be an employee of or counsel to the Issuer or the Trustee.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Organizational Documents</w:t>
      </w:r>
      <w:r>
        <w:rPr>
          <w:color w:val="000000"/>
        </w:rPr>
        <w:t xml:space="preserve">” </w:t>
      </w:r>
      <w:r>
        <w:rPr>
          <w:rFonts w:ascii="Times New Roman;serif" w:hAnsi="Times New Roman;serif"/>
          <w:b w:val="false"/>
          <w:color w:val="000000"/>
          <w:sz w:val="24"/>
        </w:rPr>
        <w:t>means, with respect to any person, (a) in the case of any corporation, the certificate of incorporation and by-laws (or similar documents) of such person, (b) in the case of any limited liability company, the certificate of formation and operating agreement (or similar documents) of such person, (c) in the case of any limited partnership, the certificate of limited partnership and limited partnership agreement (or similar documents) of such person, (d) in the case of any general partnership, the partnership agreement (or similar document) of such person and (e) in any other case, the functional equivalent of the foregoing.</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Other Intercreditor Agreement</w:t>
      </w:r>
      <w:r>
        <w:rPr>
          <w:color w:val="000000"/>
        </w:rPr>
        <w:t xml:space="preserve">” </w:t>
      </w:r>
      <w:r>
        <w:rPr>
          <w:rFonts w:ascii="Times New Roman;serif" w:hAnsi="Times New Roman;serif"/>
          <w:b w:val="false"/>
          <w:color w:val="000000"/>
          <w:sz w:val="24"/>
        </w:rPr>
        <w:t>means any intercreditor agreement delivered by the Issuer in connection with any transaction requiring such agreement to be delivered pursuant to the terms hereof, or otherwise required to be delivered pursuant to the terms hereof, among the Trustee, the Collateral Agent and one or more other Senior Representatives of Indebtedness, or any other party, as the case may be, and acknowledged and agreed to by the Issuer and the Guarantors, in form reasonably satisfactory to the Trustee and the Issuer, in each case, as amended, restated, amended and restated, supplemented, renewed, replaced, refinanced or otherwise modified from time to time.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Pari Passu ABL Lien Indebtedness</w:t>
      </w:r>
      <w:r>
        <w:rPr>
          <w:color w:val="000000"/>
        </w:rPr>
        <w:t xml:space="preserve">” </w:t>
      </w:r>
      <w:r>
        <w:rPr>
          <w:rFonts w:ascii="Times New Roman;serif" w:hAnsi="Times New Roman;serif"/>
          <w:b w:val="false"/>
          <w:color w:val="000000"/>
          <w:sz w:val="24"/>
        </w:rPr>
        <w:t xml:space="preserve">means any Indebtedness that is permitted to have Pari Passu Lien Priority relative to the ABL Obligations with respect to the Collateral and is not secured by any other assets;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in each case, an authorized representative of the holders of such Indebtedness shall have executed a joinder to the Intercreditor Agreement in the form provided therein.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Pari Passu Lien Priority</w:t>
      </w:r>
      <w:r>
        <w:rPr>
          <w:color w:val="000000"/>
        </w:rPr>
        <w:t xml:space="preserve">” </w:t>
      </w:r>
      <w:r>
        <w:rPr>
          <w:rFonts w:ascii="Times New Roman;serif" w:hAnsi="Times New Roman;serif"/>
          <w:b w:val="false"/>
          <w:color w:val="000000"/>
          <w:sz w:val="24"/>
        </w:rPr>
        <w:t>means relative to specified Indebtedness and other obligations having equal Lien priority to (a) the Notes and the Guarantees on the Collateral or (b) the ABL Credit Agreement on the Collateral.</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Pari Passu Notes Lien Indebtedness</w:t>
      </w:r>
      <w:r>
        <w:rPr>
          <w:color w:val="000000"/>
        </w:rPr>
        <w:t xml:space="preserve">” </w:t>
      </w:r>
      <w:r>
        <w:rPr>
          <w:rFonts w:ascii="Times New Roman;serif" w:hAnsi="Times New Roman;serif"/>
          <w:b w:val="false"/>
          <w:color w:val="000000"/>
          <w:sz w:val="24"/>
        </w:rPr>
        <w:t xml:space="preserve">means any Additional Notes and any other Indebtedness that has a stated maturity date that is equal to or later than the Maturity Date of the Notes and that is permitted to have Pari Passu Lien Priority relative to the Notes and the Guarantees with respect to the Collateral and is not secured by any other assets;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in each case, an authorized representative of the holders of such Indebtedness (other than any Additional Notes) shall have executed a joinder to the Intercreditor Agreement in the form provided therein.</w:t>
      </w:r>
    </w:p>
    <w:p>
      <w:pPr>
        <w:pStyle w:val="TextBody"/>
        <w:bidi w:val="0"/>
        <w:spacing w:before="0" w:after="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Paying Agent</w:t>
      </w:r>
      <w:r>
        <w:rPr>
          <w:color w:val="000000"/>
        </w:rPr>
        <w:t xml:space="preserve">” </w:t>
      </w:r>
      <w:r>
        <w:rPr>
          <w:rFonts w:ascii="Times New Roman;serif" w:hAnsi="Times New Roman;serif"/>
          <w:b w:val="false"/>
          <w:color w:val="000000"/>
          <w:sz w:val="24"/>
        </w:rPr>
        <w:t>means any Person (including the Issuer or one of its Restricted Subsidiaries acting as Paying Agent) authorized by the Issuer to pay the principal of, premium, if any, or interest on any Notes on behalf of the Issuer.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PBGC</w:t>
      </w:r>
      <w:r>
        <w:rPr>
          <w:color w:val="000000"/>
        </w:rPr>
        <w:t xml:space="preserve">” </w:t>
      </w:r>
      <w:r>
        <w:rPr>
          <w:rFonts w:ascii="Times New Roman;serif" w:hAnsi="Times New Roman;serif"/>
          <w:b w:val="false"/>
          <w:color w:val="000000"/>
          <w:sz w:val="24"/>
        </w:rPr>
        <w:t>means the Pension Benefit Guaranty Corporation referred to and defined in ERISA.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Periodic Term SOFR Determination Day</w:t>
      </w:r>
      <w:r>
        <w:rPr>
          <w:color w:val="000000"/>
        </w:rPr>
        <w:t xml:space="preserve">” </w:t>
      </w:r>
      <w:r>
        <w:rPr>
          <w:rFonts w:ascii="Times New Roman;serif" w:hAnsi="Times New Roman;serif"/>
          <w:b w:val="false"/>
          <w:color w:val="000000"/>
          <w:sz w:val="24"/>
        </w:rPr>
        <w:t>has the meaning assigned to such term in the definition of “Term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Acquisition</w:t>
      </w:r>
      <w:r>
        <w:rPr>
          <w:color w:val="000000"/>
        </w:rPr>
        <w:t xml:space="preserve">” </w:t>
      </w:r>
      <w:r>
        <w:rPr>
          <w:rFonts w:ascii="Times New Roman;serif" w:hAnsi="Times New Roman;serif"/>
          <w:b w:val="false"/>
          <w:color w:val="000000"/>
          <w:sz w:val="24"/>
        </w:rPr>
        <w:t xml:space="preserve">means any transaction or series of related transactions by the Issuer or any of its Restricted Subsidiaries for: (x) the direct or indirect acquisition of all or substantially all of the property of any Person, or of any assets constituting a line of business, business unit, division or product line (including research and development and related assets in respect of any product) of any Person; (y) the acquisition (including by merger or consolidation) of the Equity Interests (other than director qualifying shares) of any Person that becomes a Restricted Subsidiary after giving effect to such transaction; or (z) a merger or consolidation or any other combination with any Person (so long as any Note Party which is a party to such merger, consolidation or other combination (including for the avoidance of doubt, any such Person that becomes a Note Party upon the consummation of such merger, consolidation or other combination), is the surviving entity); </w:t>
      </w:r>
      <w:r>
        <w:rPr>
          <w:rFonts w:ascii="Times New Roman;serif" w:hAnsi="Times New Roman;serif"/>
          <w:b w:val="false"/>
          <w:i/>
          <w:color w:val="000000"/>
          <w:sz w:val="24"/>
        </w:rPr>
        <w:t>provided</w:t>
      </w:r>
      <w:r>
        <w:rPr>
          <w:rFonts w:ascii="Times New Roman;serif" w:hAnsi="Times New Roman;serif"/>
          <w:b w:val="false"/>
          <w:color w:val="000000"/>
          <w:sz w:val="24"/>
        </w:rPr>
        <w:t>, that, each of the following conditions shall be met or waived by the Controlling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with respect to Limited Condition Acquisitions, no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has occurred and is continuing immediately before giving pro forma effect to such acquisition and immediately after giving effect to such acquisition;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immediately after giving effect to such transaction, Issuer and its Restricted Subsidiaries shall be in compliance with </w:t>
      </w:r>
      <w:r>
        <w:rPr>
          <w:rFonts w:ascii="Times New Roman;serif" w:hAnsi="Times New Roman;serif"/>
          <w:b w:val="false"/>
          <w:color w:val="000000"/>
          <w:sz w:val="24"/>
          <w:u w:val="single"/>
        </w:rPr>
        <w:t>Section 6.11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subject to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other than with respect to Limited Condition Acquisitions (which, for the avoidance of doubt, are instead governed by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this definition), no Event of Default has occurred or is continuing immediately before such acquisition and immediately after giving effect to such acquisition;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aggregate amount of Investments by Note Parties in assets (other than Equity Interests) that are not (or do not become at the time of such acquisition) directly owned by a Note Party or in Equity Interests of Persons that do not become Note Parties shall not exceed, as of the most recently ended Test Period, an amount equal to the lesser of five percent (5%) of Consolidated Total Assets and Consolidated EBITDA for such period (it being understood that any such Investments made prior to such period and still held by such Note Parties during such period shall count towards the aggregate cap for such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contained in the immediately preceding sentence, an acquisition which does not otherwise meet the requirements set forth above in the </w:t>
      </w:r>
    </w:p>
    <w:p>
      <w:pPr>
        <w:pStyle w:val="TextBody"/>
        <w:bidi w:val="0"/>
        <w:spacing w:before="0" w:after="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definition of “Permitted Acquisition” shall constitute a Permitted Acquisition if, and to the extent, the Controlling Parties agree in writing, prior to the consummation thereof, that such acquisition shall constitute a Permitted Acquisition for purposes of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Additional Debt</w:t>
      </w:r>
      <w:r>
        <w:rPr>
          <w:color w:val="000000"/>
        </w:rPr>
        <w:t xml:space="preserve">” </w:t>
      </w:r>
      <w:r>
        <w:rPr>
          <w:rFonts w:ascii="Times New Roman;serif" w:hAnsi="Times New Roman;serif"/>
          <w:b w:val="false"/>
          <w:color w:val="000000"/>
          <w:sz w:val="24"/>
        </w:rPr>
        <w:t xml:space="preserve">means Indebtedness issued, incurred or otherwise obtained by the Issuer (which may be guaranteed by any other Note Party) in respect of one or more series of senior unsecured notes, senior notes secured on a basis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or junior to the Obligations, or subordinated notes (in each case issued in a public offering or a Rule 144A or other private placement or a bridge financing in lieu of the foregoing (and any Registered Equivalent Notes issued in exchange therefor)), loans that are secured on a basis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or junior to the Obligations or loans that are unsecured, or notes or loans constituting secured or unsecured mezzanine Indebtedness, in each case excluding Additional Notes;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the aggregate principal amount of all Permitted Additional Debt, together with any Pari Passu Notes Lien Indebtedness, at the time of issuance or incurrence shall not exceed (1) for the period having commenced on the Closing Date and ended on March 12, 2026, the Specified Additional Debt Cap and (2) thereafter, an amount equal to the unutilized portion of the Maximum Additional Debt Amount (it being understood and agreed that any Permitted Additional Debt incurred in reliance on clause (1) above shall not reduce the Maximum Additional Debt Amount), (b) the terms applicable to such Permitted Additional Debt shall comply with the Required Debt Terms, (c) subject to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no Event of Default shall have occurred and be continuing at the time of such issuance or incurrence or immediately after giving effect thereto, except that in the case of Permitted Additional Debt incurred in connection with a Limited Condition Acquisition, (x) no Event of Default shall have occurred and be continuing or would immediately result therefrom at the time the definitive purchase agreement for such acquisition is entered into and (y) no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 xml:space="preserve">shall have occurred and be continuing at the time of such issuance or incurrence or immediately after giving effect thereto at the time such acquisition is consummated, (d) with respect to any Permitted Additional Debt secured on a basis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the Obligations, (1) for the period having commenced on the Closing Date and ended on March 12, 2026, on a Pro Forma Basis immediately after giving effect to each such incurrence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the Total Net Leverage Ratio immediately prior to the incurrence of such Permitted Additional Debt and (2) thereafter, on a Pro Forma Basis immediately after giving effect to each such incurrence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3.00:1.00 and (e) the opportunity to commit to provide any Permitted Additional Debt shall be offered by the Issuer first to each of the existing Holders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 xml:space="preserve">basis based on their holdings of then issued Notes and, to the extent that any existing Holder has not agreed or declared its willingness in </w:t>
      </w:r>
    </w:p>
    <w:p>
      <w:pPr>
        <w:pStyle w:val="TextBody"/>
        <w:bidi w:val="0"/>
        <w:spacing w:before="0" w:after="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writing to provide such Permitted Additional Debt within ten (10) Business Days after receiving such offer from the Issuer, on the terms specified by the Issuer or any arranger of such Permitted Additional Debt, after being provided a bona fide opportunity to do so, the Issuer may then offer such opportunity to provide that portion of such Permitted Additional Debt to any other Person (which may include existing Holders) (it being understood that any existing Holder approached to provide all or a portion of such Permitted Additional Debt may elect or decline, in its sole discretion, to provide such Permitted Additional Debt).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Cure Securities</w:t>
      </w:r>
      <w:r>
        <w:rPr>
          <w:color w:val="000000"/>
        </w:rPr>
        <w:t xml:space="preserve">” </w:t>
      </w:r>
      <w:r>
        <w:rPr>
          <w:rFonts w:ascii="Times New Roman;serif" w:hAnsi="Times New Roman;serif"/>
          <w:b w:val="false"/>
          <w:color w:val="000000"/>
          <w:sz w:val="24"/>
        </w:rPr>
        <w:t xml:space="preserve">means any Equity Interests (other than Disqualified Capital Stock), including, without limitation, any Rights Offering and any Common Stock issued pursuant to any at-the-market offering program, the proceeds of which are utilized in connection with an Equity Cure Contribution pursuant to </w:t>
      </w:r>
      <w:r>
        <w:rPr>
          <w:rFonts w:ascii="Times New Roman;serif" w:hAnsi="Times New Roman;serif"/>
          <w:b w:val="false"/>
          <w:color w:val="000000"/>
          <w:sz w:val="24"/>
          <w:u w:val="single"/>
        </w:rPr>
        <w:t>Section 8.10(a)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Holders</w:t>
      </w:r>
      <w:r>
        <w:rPr>
          <w:color w:val="000000"/>
        </w:rPr>
        <w:t xml:space="preserve">” </w:t>
      </w:r>
      <w:r>
        <w:rPr>
          <w:rFonts w:ascii="Times New Roman;serif" w:hAnsi="Times New Roman;serif"/>
          <w:b w:val="false"/>
          <w:color w:val="000000"/>
          <w:sz w:val="24"/>
        </w:rPr>
        <w:t xml:space="preserve">means (1) any of the Investors and Management Stockholders and any “group” (within the meaning of Section 13(d)(3) or Section 14(d)(2) of the Exchange Act) of which any of the foregoing are members and (2) any Person acting in the capacity of an underwriter (solely to the extent that and for so long as such Person is acting in such capacity) in connection with a public or private offering of the Equity Interests of the Issuer.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Junior Refinancing Debt</w:t>
      </w:r>
      <w:r>
        <w:rPr>
          <w:color w:val="000000"/>
        </w:rPr>
        <w:t xml:space="preserve">” </w:t>
      </w:r>
      <w:r>
        <w:rPr>
          <w:rFonts w:ascii="Times New Roman;serif" w:hAnsi="Times New Roman;serif"/>
          <w:b w:val="false"/>
          <w:color w:val="000000"/>
          <w:sz w:val="24"/>
        </w:rPr>
        <w:t xml:space="preserve">means secured Indebtedness incurred by the Issuer and guarantees with respect thereto by any Note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such Indebtedness is secured by the Collateral on a junior basis to the Obligations and the obligations in respect of any Permitted Pari Passu Refinancing Debt, in each case pursuant to an Other Intercreditor Agreement, and is not secured by any property or assets of Issuer or any of its Restricted Subsidiaries other than the Collateral, (b) such Indebtedness constitutes Notes Refinancing Indebtedness in respect of Notes, and (c) a Senior Representative validly acting on behalf of the holders of such Indebtedness shall have become party to the ABL/Note Intercreditor Agreement and an Other Intercreditor Agreement.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Liens</w:t>
      </w:r>
      <w:r>
        <w:rPr>
          <w:color w:val="000000"/>
        </w:rPr>
        <w:t xml:space="preserve">” </w:t>
      </w:r>
      <w:r>
        <w:rPr>
          <w:rFonts w:ascii="Times New Roman;serif" w:hAnsi="Times New Roman;serif"/>
          <w:b w:val="false"/>
          <w:color w:val="000000"/>
          <w:sz w:val="24"/>
        </w:rPr>
        <w:t xml:space="preserve">shall have the meaning assigned to such term in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Pari Passu Refinancing Debt</w:t>
      </w:r>
      <w:r>
        <w:rPr>
          <w:color w:val="000000"/>
        </w:rPr>
        <w:t xml:space="preserve">” </w:t>
      </w:r>
      <w:r>
        <w:rPr>
          <w:rFonts w:ascii="Times New Roman;serif" w:hAnsi="Times New Roman;serif"/>
          <w:b w:val="false"/>
          <w:color w:val="000000"/>
          <w:sz w:val="24"/>
        </w:rPr>
        <w:t xml:space="preserve">means any secured Indebtedness incurred by the Issuer and guarantees with respect thereto by any Note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such Indebtedness is secured by the Collateral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basis (but without regard to the control of remedies) with the Obligations and is not secured by any property or assets of Issuer or any of its Restricted Subsidiaries other than the Collateral, (b) such Indebtedness constitutes Notes Refinancing Indebtedness in respect of Notes and (c) a Senior Representative validly acting on behalf of the holders of such Indebtedness shall have become party to an Other Intercreditor Agreement and the ABL/Note Intercreditor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Refinancing</w:t>
      </w:r>
      <w:r>
        <w:rPr>
          <w:color w:val="000000"/>
        </w:rPr>
        <w:t xml:space="preserve">” </w:t>
      </w:r>
      <w:r>
        <w:rPr>
          <w:rFonts w:ascii="Times New Roman;serif" w:hAnsi="Times New Roman;serif"/>
          <w:b w:val="false"/>
          <w:color w:val="000000"/>
          <w:sz w:val="24"/>
        </w:rPr>
        <w:t xml:space="preserve">means, with respect to any Person, any modification, refinancing, refunding, renewal, replacement or extension of any Indebtedness of such Person;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the principal amount (or accreted value, if applicable) thereof does not exceed the principal amount (or accreted value, if applicable) of the Indebtedness so modified, refinanced, refunded, renewed, replaced or extended except by an amount equal to unpaid accrued interest and premium thereon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other amounts paid, and fees, expenses, commissions, </w:t>
      </w:r>
    </w:p>
    <w:p>
      <w:pPr>
        <w:pStyle w:val="TextBody"/>
        <w:bidi w:val="0"/>
        <w:spacing w:before="0" w:after="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original issue discount, underwriting discounts and expenses incurred, in connection with such modification, refinancing, refunding, renewal, replacement or extension, and by an amount equal to any existing commitments unutilized thereunder, (b) other than with respect to a Permitted Refinancing of Indebtedness permitted pursuant to </w:t>
      </w:r>
      <w:r>
        <w:rPr>
          <w:rFonts w:ascii="Times New Roman;serif" w:hAnsi="Times New Roman;serif"/>
          <w:b w:val="false"/>
          <w:color w:val="000000"/>
          <w:sz w:val="24"/>
          <w:u w:val="single"/>
        </w:rPr>
        <w:t>Section 6.01(e)</w:t>
      </w:r>
      <w:r>
        <w:rPr>
          <w:rFonts w:ascii="Times New Roman;serif" w:hAnsi="Times New Roman;serif"/>
          <w:b w:val="false"/>
          <w:color w:val="000000"/>
          <w:sz w:val="24"/>
        </w:rPr>
        <w:t xml:space="preserve">, such modification, refinancing, refunding, renewal, replacement or extension has a final maturity date equal to or later than the final maturity date of, and has a Weighted Average Life to Maturity equal to or greater than the Weighted Average Life to Maturity of, the Indebtedness being modified, refinanced, refunded, renewed, replaced or extended, (c) other than with respect to a Permitted Refinancing of Indebtedness permitted pursuant to </w:t>
      </w:r>
      <w:r>
        <w:rPr>
          <w:rFonts w:ascii="Times New Roman;serif" w:hAnsi="Times New Roman;serif"/>
          <w:b w:val="false"/>
          <w:color w:val="000000"/>
          <w:sz w:val="24"/>
          <w:u w:val="single"/>
        </w:rPr>
        <w:t>Section 6.01(e)</w:t>
      </w:r>
      <w:r>
        <w:rPr>
          <w:rFonts w:ascii="Times New Roman;serif" w:hAnsi="Times New Roman;serif"/>
          <w:b w:val="false"/>
          <w:color w:val="000000"/>
          <w:sz w:val="24"/>
        </w:rPr>
        <w:t>, at the time thereof, no Event of Default shall have occurred and be continuing, (d) to the extent such Indebtedness being modified, refinanced, refunded, renewed, replaced or extended is subordinated in right of payment to the Obligations, such modification, refinancing, refunding, renewal, replacement or extension is subordinated in right of payment to the Obligations on terms, taken as a whole, at least as favorable (as reasonably determined by the Issuer) to the Holders in all material respects as those contained in the documentation governing the subordination of the Indebtedness being modified, refinanced, refunded, renewed, replaced or extended, (e) none of Issuer or any of its Restricted Subsidiaries shall be an obligor or guarantor of any such refinancings, replacements, refundings, renewals, replacements or extensions except to the extent that such Person was such an obligor or guarantor in respect of the applicable Indebtedness being modified, refinanced, refunded, renewed, replaced or extended, (f) such modification, refinancing, refunding, renewal, replacement or extension shall not be secured by any Lien on any asset other than the assets that secured such Indebtedness being modified, refinanced, refunded, renewed, replaced or extended and (g) such modification, refinancing, refunding, renewal, replacement or extension shall not (if secured) have a higher Lien priority than such Indebtedness being modified, refinanced, refunded, renewed, replaced or extended.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Permitted Unsecured Refinancing Debt</w:t>
      </w:r>
      <w:r>
        <w:rPr>
          <w:color w:val="000000"/>
        </w:rPr>
        <w:t xml:space="preserve">” </w:t>
      </w:r>
      <w:r>
        <w:rPr>
          <w:rFonts w:ascii="Times New Roman;serif" w:hAnsi="Times New Roman;serif"/>
          <w:b w:val="false"/>
          <w:color w:val="000000"/>
          <w:sz w:val="24"/>
        </w:rPr>
        <w:t xml:space="preserve">means unsecured Indebtedness incurred by the Issuer and guarantees with respect thereto by any other Note Party; </w:t>
      </w:r>
      <w:r>
        <w:rPr>
          <w:rFonts w:ascii="Times New Roman;serif" w:hAnsi="Times New Roman;serif"/>
          <w:b w:val="false"/>
          <w:i/>
          <w:color w:val="000000"/>
          <w:sz w:val="24"/>
        </w:rPr>
        <w:t>provided</w:t>
      </w:r>
      <w:r>
        <w:rPr>
          <w:rFonts w:ascii="Times New Roman;serif" w:hAnsi="Times New Roman;serif"/>
          <w:b w:val="false"/>
          <w:color w:val="000000"/>
          <w:sz w:val="24"/>
        </w:rPr>
        <w:t>, that, such Indebtedness constitutes Notes Refinancing Indebtedness in respect of Notes.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other entity.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PIK Election</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2.13(g)(i)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PIK Interest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2.13(g)(i)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PIK Interest Election Notice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2.13(g)(i)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PIK Notes</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2.01(h)</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Plan</w:t>
      </w:r>
      <w:r>
        <w:rPr>
          <w:color w:val="000000"/>
        </w:rPr>
        <w:t xml:space="preserve">” </w:t>
      </w:r>
      <w:r>
        <w:rPr>
          <w:rFonts w:ascii="Times New Roman;serif" w:hAnsi="Times New Roman;serif"/>
          <w:b w:val="false"/>
          <w:color w:val="000000"/>
          <w:sz w:val="24"/>
        </w:rPr>
        <w:t xml:space="preserve">means any “employee pension benefit plan” (as such term is defined in Section 3(2) of ERISA) (other than a Multiemployer Plan) subject to the provisions of Title IV of ERISA or Section 412 or 430 of the Code or Section 302 of ERISA which is maintained or </w:t>
      </w:r>
    </w:p>
    <w:p>
      <w:pPr>
        <w:pStyle w:val="TextBody"/>
        <w:bidi w:val="0"/>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contributed to by any Group Member or with respect to which any Group Member has any liability (including on account of an ERISA Affiliate).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Prior Notes</w:t>
      </w:r>
      <w:r>
        <w:rPr>
          <w:color w:val="000000"/>
        </w:rPr>
        <w:t xml:space="preserve">” </w:t>
      </w:r>
      <w:r>
        <w:rPr>
          <w:rFonts w:ascii="Times New Roman;serif" w:hAnsi="Times New Roman;serif"/>
          <w:b w:val="false"/>
          <w:color w:val="000000"/>
          <w:sz w:val="24"/>
        </w:rPr>
        <w:t>has the meaning assigned to such term in the recitals 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Prior Notes Indenture</w:t>
      </w:r>
      <w:r>
        <w:rPr>
          <w:color w:val="000000"/>
        </w:rPr>
        <w:t xml:space="preserve">” </w:t>
      </w:r>
      <w:r>
        <w:rPr>
          <w:rFonts w:ascii="Times New Roman;serif" w:hAnsi="Times New Roman;serif"/>
          <w:b w:val="false"/>
          <w:color w:val="000000"/>
          <w:sz w:val="24"/>
        </w:rPr>
        <w:t>has the meaning set forth in the recitals 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Pro Forma Basis</w:t>
      </w:r>
      <w:r>
        <w:rPr>
          <w:color w:val="000000"/>
        </w:rPr>
        <w:t xml:space="preserve">” </w:t>
      </w:r>
      <w:r>
        <w:rPr>
          <w:rFonts w:ascii="Times New Roman;serif" w:hAnsi="Times New Roman;serif"/>
          <w:b w:val="false"/>
          <w:color w:val="000000"/>
          <w:sz w:val="24"/>
        </w:rPr>
        <w:t>means, with respect to the calculation of all financial ratios and tests (including the Total Net Leverage Ratio and the amount of Consolidated Total Assets and Consolidated EBITDA) contained in this Indenture other than for purposes of calculating Excess Cash Flow, in each case as of any date, that such calculation shall give pro forma effect to the Transactions and all Subject Transactions (and the application of the proceeds from any such asset sale or debt incurrence) that have occurred during the relevant testing period for which such financial test or ratio is being calculated and during the period immediately following such period and prior to or substantially concurrently with the event for which the calculation of any such ratio is made, including pro forma adjustments arising out of events which are attributable to the Transactions, the proposed Subject Transaction and all other Subject Transactions that have been consummated during the relevant period, including giving effect to those specified in accordance with the definition of “Consolidated EBITDA,” in each case as certified on behalf of Issuer by a Financial Officer of Issuer, using, for purposes of determining such compliance with a financial test or ratio (including any incurrence test), the historical financial statements of all entities, divisions or lines or assets so acquired or sold and the consolidated financial statements of Issuer and/or any of its Restricted Subsidiaries, calculated as if the Transactions or such Subject Transaction, and all other Subject Transactions that have been consummated during the relevant period, and any Indebtedness incurred or repaid in connection therewith, had been consummated (and the change in Consolidated EBITDA resulting therefrom) and incurred or repaid at the beginning of such period, and Consolidated Total Assets shall be calculated after giving effect thereto.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Whenever pro forma effect is to be given to the Transactions or a Subject Transaction, the pro forma calculations shall be made in good faith by a Financial Officer of Issuer (as set forth in a certificate of such Financial Officer delivered to the Trustee) (including adjustments for costs and charges arising out of the Transactions, the proposed Subject Transaction and all other Subject Transactions that have been consummated during the relevant period, and the “run-rate” cost savings and synergies resulting from the Transactions or such Subject Transaction(s) that have been or are reasonably anticipated to be realizable (“run-rate” means the full recurring benefit for a test period that is associated with any action taken or expected to be taken (including any savings expected to result from the elimination of a public target’s compliance costs with public company requirements), net of the amount of actual benefits realized during such test period from such actions), and any such adjustments included in the initial pro forma calculations shall continue to apply to subsequent calculations of such financial ratios or tests, including during any subsequent test periods in which the effects thereof are expected to be realizable);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such amounts are factually supportable and reasonably identifiable and are projected by the Issuer in good faith to be realizable within twelve (12) months after the end of the test period in which the Transactions or the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Subject Transaction occurred, (b) no amounts shall be added pursuant to this paragraph to the extent duplicative of any amounts that are otherwise added back in computing Consolidated EBITDA for such test period and (c) the provisions of this paragraph shall in no way limit the add-backs that may be made to Consolidated EBITDA pursuant to the definition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any Indebtedness bears a floating rate of interest and is being given pro forma effect, the interest on such Indebtedness shall be calculated as if the rate in effect on the applicable date of determination for the event for which the calculation is made had been the applicable rate for the entire test period (taking into account any interest hedging arrangements applicable to such Indebtedness). Interest on a Capital Lease Obligation shall be deemed to accrue at an interest rate reasonably determined by a Financial Officer of Issuer to be the rate of interest implicit in such Capital Lease Obligation in accordance with GAAP. Interest on Indebtedness that may optionally be determined at an interest rate based upon a factor of a prime or similar rate or other rate, shall be determined to have been based upon the rate actually chosen, or if none, then based upon such optional rate as the Issuer may designate.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Property</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property</w:t>
      </w:r>
      <w:r>
        <w:rPr>
          <w:color w:val="000000"/>
        </w:rPr>
        <w:t xml:space="preserve">” </w:t>
      </w:r>
      <w:r>
        <w:rPr>
          <w:rFonts w:ascii="Times New Roman;serif" w:hAnsi="Times New Roman;serif"/>
          <w:b w:val="false"/>
          <w:color w:val="000000"/>
          <w:sz w:val="24"/>
        </w:rPr>
        <w:t>means any right, title or interest in or to property or assets of any kind whatsoever, whether real, personal or mixed and whether tangible or intangible and including Equity Interests or other ownership interests of any person and whether now in existence or owned or hereafter entered into or acquired, including all Real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Public Company Costs</w:t>
      </w:r>
      <w:r>
        <w:rPr>
          <w:color w:val="000000"/>
        </w:rPr>
        <w:t xml:space="preserve">” </w:t>
      </w:r>
      <w:r>
        <w:rPr>
          <w:rFonts w:ascii="Times New Roman;serif" w:hAnsi="Times New Roman;serif"/>
          <w:b w:val="false"/>
          <w:color w:val="000000"/>
          <w:sz w:val="24"/>
        </w:rPr>
        <w:t>means any costs, fees and expenses associated with, in anticipation of, or in preparation for, compliance with the requirements of the Sarbanes-Oxley Act of 2002 and the rules and regulations promulgated in connection therewith and costs, fees and expenses relating to compliance with the provisions of the Securities Act and the Exchange Act (as applicable to companies with equity or debt securities held by the public), the rules of national securities exchanges for companies with listed equity or debt securities, directors’ or managers’ compensation, fees and expense reimbursements, charges relating to investor relations, shareholder meetings and reports to shareholders and debtholders, directors’ and officers’ insurance and other executive costs, legal and other professional fees and listing fees.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Purchase Money Obligation</w:t>
      </w:r>
      <w:r>
        <w:rPr>
          <w:color w:val="000000"/>
        </w:rPr>
        <w:t xml:space="preserve">” </w:t>
      </w:r>
      <w:r>
        <w:rPr>
          <w:rFonts w:ascii="Times New Roman;serif" w:hAnsi="Times New Roman;serif"/>
          <w:b w:val="false"/>
          <w:color w:val="000000"/>
          <w:sz w:val="24"/>
        </w:rPr>
        <w:t xml:space="preserve">means, for any Person, the obligations of such Person in respect of Indebtedness incurred for the purpose of financing all or any part of the purchase price of any fixed or Capital Assets or the cost of installation, construction or improvement of any fixed or Capital Assets and any refinancing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such Indebtedness is incurred no later than one hundred eighty (180) days after the acquisition, installation, construction, repair, replacement, exchange or improvement of such fixed or Capital Assets by such Person, (b) the amount of such Indebtedness (excluding any costs, expenses and fees incurred in connection therewith) does not exceed one hundred percent (100%) of the cost of such acquisition, installation, construction or improvement, as the case may be, and (c) the Liens granted with respect thereto do not at any time encumber any property other than the property financed by such Indebtedness (with respect to Capital Lease Obligations, the Liens granted with respect thereto do not at any time extend to or cover any assets other than the assets subject to such Capital Lease Obligations).</w:t>
      </w: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QIB</w:t>
      </w:r>
      <w:r>
        <w:rPr>
          <w:color w:val="000000"/>
        </w:rPr>
        <w:t xml:space="preserve">” </w:t>
      </w:r>
      <w:r>
        <w:rPr>
          <w:rFonts w:ascii="Times New Roman;serif" w:hAnsi="Times New Roman;serif"/>
          <w:b w:val="false"/>
          <w:color w:val="000000"/>
          <w:sz w:val="24"/>
        </w:rPr>
        <w:t>means a “qualified institutional buyer” as defined in Rule 144A under the Securities Act.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Qualified Capital Stock</w:t>
      </w:r>
      <w:r>
        <w:rPr>
          <w:color w:val="000000"/>
        </w:rPr>
        <w:t xml:space="preserve">” </w:t>
      </w:r>
      <w:r>
        <w:rPr>
          <w:rFonts w:ascii="Times New Roman;serif" w:hAnsi="Times New Roman;serif"/>
          <w:b w:val="false"/>
          <w:color w:val="000000"/>
          <w:sz w:val="24"/>
        </w:rPr>
        <w:t>of any Person means any Equity Interests of such person that are not Disqualified Capital Stock.</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Quarterly Redemption Date</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3.12</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Rating Event</w:t>
      </w:r>
      <w:r>
        <w:rPr>
          <w:color w:val="000000"/>
        </w:rPr>
        <w:t xml:space="preserve">” </w:t>
      </w:r>
      <w:r>
        <w:rPr>
          <w:rFonts w:ascii="Times New Roman;serif" w:hAnsi="Times New Roman;serif"/>
          <w:b w:val="false"/>
          <w:color w:val="000000"/>
          <w:sz w:val="24"/>
        </w:rPr>
        <w:t xml:space="preserve">means the rating on the Notes is lowered by at least one (1) of the applicable rating agencies on any day within the 60-day period (which 60-day period will be extended so long as the rating of the Notes is under publicly announced consideration for a possible downgrade by either of the applicable rating agencies) after the earlier of (1) the occurrence of a Change of Control and (2) public disclosure by the Issuer of the occurrence of a Change of Control or the Issuer’s intention to effect a Change of Control;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 Rating Event otherwise arising by virtue of a particular reduction in rating will not be deemed to have occurred in respect of a particular Change of Control (and thus will not be deemed a Rating Event for purposes of the definition of Change of Control Triggering Event) if the rating agencies making the reduction in rating to which this definition would otherwise apply do not announce or publicly confirm or inform the Trustee in writing at the Issuer’s or the Trustee’s request that the reduction was the result, in whole or in part, of any event or circumstance comprised of or arising as a result of, or in respect of, the applicable Change of Control (whether or not the applicable Change of Control has occurred at the time of the Rating Event).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Real Property</w:t>
      </w:r>
      <w:r>
        <w:rPr>
          <w:color w:val="000000"/>
        </w:rPr>
        <w:t xml:space="preserve">” </w:t>
      </w:r>
      <w:r>
        <w:rPr>
          <w:rFonts w:ascii="Times New Roman;serif" w:hAnsi="Times New Roman;serif"/>
          <w:b w:val="false"/>
          <w:color w:val="000000"/>
          <w:sz w:val="24"/>
        </w:rPr>
        <w:t>means, collectively, all right, title and interest (including any leasehold, mineral or other estate) in and to any and all parcels of or interests in real property owned, leased or operated by any person, whether by lease, license or other means, together with, in each case, all easements, hereditaments and appurtenances relating thereto, all improvements and appurtenant fixtures and equipment, all general intangibles and contract rights and other property and rights incidental to the ownership, lease or operation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Reference Date</w:t>
      </w:r>
      <w:r>
        <w:rPr>
          <w:color w:val="000000"/>
        </w:rPr>
        <w:t xml:space="preserve">” </w:t>
      </w:r>
      <w:r>
        <w:rPr>
          <w:rFonts w:ascii="Times New Roman;serif" w:hAnsi="Times New Roman;serif"/>
          <w:b w:val="false"/>
          <w:color w:val="000000"/>
          <w:sz w:val="24"/>
        </w:rPr>
        <w:t>has the meaning assigned to such term in the definition of “Cumulative Amount”.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Refinanced Debt</w:t>
      </w:r>
      <w:r>
        <w:rPr>
          <w:color w:val="000000"/>
        </w:rPr>
        <w:t xml:space="preserve">” </w:t>
      </w:r>
      <w:r>
        <w:rPr>
          <w:rFonts w:ascii="Times New Roman;serif" w:hAnsi="Times New Roman;serif"/>
          <w:b w:val="false"/>
          <w:color w:val="000000"/>
          <w:sz w:val="24"/>
        </w:rPr>
        <w:t>has the meaning assigned to such term in the definition of “Notes Refinancing Indebtedness.”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Registered Equivalent Notes</w:t>
      </w:r>
      <w:r>
        <w:rPr>
          <w:color w:val="000000"/>
        </w:rPr>
        <w:t xml:space="preserve">” </w:t>
      </w:r>
      <w:r>
        <w:rPr>
          <w:rFonts w:ascii="Times New Roman;serif" w:hAnsi="Times New Roman;serif"/>
          <w:b w:val="false"/>
          <w:color w:val="000000"/>
          <w:sz w:val="24"/>
        </w:rPr>
        <w:t>means, with respect to any notes originally issued in a Rule 144A or other private placement transaction under the Securities Act of 1933, substantially identical notes (having the same guarantee obligations) issued in a dollar-for-dollar exchange therefor pursuant to an exchange offer registered with the SEC.</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Registrar</w:t>
      </w:r>
      <w:r>
        <w:rPr>
          <w:color w:val="000000"/>
        </w:rPr>
        <w:t xml:space="preserve">” </w:t>
      </w:r>
      <w:r>
        <w:rPr>
          <w:rFonts w:ascii="Times New Roman;serif" w:hAnsi="Times New Roman;serif"/>
          <w:b w:val="false"/>
          <w:color w:val="000000"/>
          <w:sz w:val="24"/>
        </w:rPr>
        <w:t xml:space="preserve">has the meaning assigned in </w:t>
      </w:r>
      <w:r>
        <w:rPr>
          <w:rFonts w:ascii="Times New Roman;serif" w:hAnsi="Times New Roman;serif"/>
          <w:b w:val="false"/>
          <w:color w:val="000000"/>
          <w:sz w:val="24"/>
          <w:u w:val="single"/>
        </w:rPr>
        <w:t>Section 2.03(a)</w:t>
      </w:r>
      <w:r>
        <w:rPr>
          <w:rFonts w:ascii="Times New Roman;serif" w:hAnsi="Times New Roman;serif"/>
          <w:b w:val="false"/>
          <w:color w:val="000000"/>
          <w:sz w:val="24"/>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Regulation D</w:t>
      </w:r>
      <w:r>
        <w:rPr>
          <w:color w:val="000000"/>
        </w:rPr>
        <w:t xml:space="preserve">” </w:t>
      </w:r>
      <w:r>
        <w:rPr>
          <w:rFonts w:ascii="Times New Roman;serif" w:hAnsi="Times New Roman;serif"/>
          <w:b w:val="false"/>
          <w:color w:val="000000"/>
          <w:sz w:val="24"/>
        </w:rPr>
        <w:t>means Regulation D of the Board as from time to time in effect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Regulation T</w:t>
      </w:r>
      <w:r>
        <w:rPr>
          <w:color w:val="000000"/>
        </w:rPr>
        <w:t xml:space="preserve">” </w:t>
      </w:r>
      <w:r>
        <w:rPr>
          <w:rFonts w:ascii="Times New Roman;serif" w:hAnsi="Times New Roman;serif"/>
          <w:b w:val="false"/>
          <w:color w:val="000000"/>
          <w:sz w:val="24"/>
        </w:rPr>
        <w:t>means Regulation T of the Board as from time to time in effect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Regulation U</w:t>
      </w:r>
      <w:r>
        <w:rPr>
          <w:color w:val="000000"/>
        </w:rPr>
        <w:t xml:space="preserve">” </w:t>
      </w:r>
      <w:r>
        <w:rPr>
          <w:rFonts w:ascii="Times New Roman;serif" w:hAnsi="Times New Roman;serif"/>
          <w:b w:val="false"/>
          <w:color w:val="000000"/>
          <w:sz w:val="24"/>
        </w:rPr>
        <w:t>means Regulation U of the Board as from time to time in effect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Regulation X</w:t>
      </w:r>
      <w:r>
        <w:rPr>
          <w:color w:val="000000"/>
        </w:rPr>
        <w:t xml:space="preserve">” </w:t>
      </w:r>
      <w:r>
        <w:rPr>
          <w:rFonts w:ascii="Times New Roman;serif" w:hAnsi="Times New Roman;serif"/>
          <w:b w:val="false"/>
          <w:color w:val="000000"/>
          <w:sz w:val="24"/>
        </w:rPr>
        <w:t>means Regulation X of the Board as from time to time in effect and all official rulings and interpretations thereunder or thereof.</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Reinvestment Yield</w:t>
      </w:r>
      <w:r>
        <w:rPr>
          <w:color w:val="000000"/>
        </w:rPr>
        <w:t xml:space="preserve">” </w:t>
      </w:r>
      <w:r>
        <w:rPr>
          <w:rFonts w:ascii="Times New Roman;serif" w:hAnsi="Times New Roman;serif"/>
          <w:b w:val="false"/>
          <w:color w:val="000000"/>
          <w:sz w:val="24"/>
        </w:rPr>
        <w:t xml:space="preserve">means, with respect to the Called Principal of any Notes, 50 basis points (one-half of one percent)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yield to maturity implied by (a) the yields reported as of 10:00 a.m. (New York, New York time) on the second Business Day preceding the Settlement Date with respect to such Called Principal, on the display designated as “Page PX1” (or such other display as may replace Page PX1 on Bloomberg) or, if Page PX1 (or its successor screen on Bloomberg) is unavailable, the Telerate Access Service screen which corresponds most closely to Page PX1 for the most recently issued actively traded U.S. Treasury securities having a maturity equal to the Remaining Life of such Called Principal as of such Settlement Date, or (b)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Life of such Called Principal as of such Settlement Date. Such implied yield will be determined, if necessary, by (i) converting U.S. Treasury bill quotations to bond equivalent yields in accordance with accepted financial practice and (ii) interpolating linearly between (A) the actively traded U.S. Treasury security with the maturity closest to and greater than such Remaining Life and (B) the actively traded U.S. Treasury security with the maturity closest to and less than such Remaining Life. The Reinvestment Yield shall be rounded to two decimal places.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Release</w:t>
      </w:r>
      <w:r>
        <w:rPr>
          <w:color w:val="000000"/>
        </w:rPr>
        <w:t xml:space="preserve">” </w:t>
      </w:r>
      <w:r>
        <w:rPr>
          <w:rFonts w:ascii="Times New Roman;serif" w:hAnsi="Times New Roman;serif"/>
          <w:b w:val="false"/>
          <w:color w:val="000000"/>
          <w:sz w:val="24"/>
        </w:rPr>
        <w:t>means any spilling, leaking, seepage, pumping, pouring, emitting, emptying, discharging, injecting, escaping, leaching, dumping, migrating, depositing, dispersing or disposing of any Hazardous Material into the Environment.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Relevant Governmental Body</w:t>
      </w:r>
      <w:r>
        <w:rPr>
          <w:color w:val="000000"/>
        </w:rPr>
        <w:t xml:space="preserve">” </w:t>
      </w:r>
      <w:r>
        <w:rPr>
          <w:rFonts w:ascii="Times New Roman;serif" w:hAnsi="Times New Roman;serif"/>
          <w:b w:val="false"/>
          <w:color w:val="000000"/>
          <w:sz w:val="24"/>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Remaining Life</w:t>
      </w:r>
      <w:r>
        <w:rPr>
          <w:color w:val="000000"/>
        </w:rPr>
        <w:t xml:space="preserve">” </w:t>
      </w:r>
      <w:r>
        <w:rPr>
          <w:rFonts w:ascii="Times New Roman;serif" w:hAnsi="Times New Roman;serif"/>
          <w:b w:val="false"/>
          <w:color w:val="000000"/>
          <w:sz w:val="24"/>
        </w:rPr>
        <w:t>means, with respect to any Called Principal, the number of years (calculated to the nearest one-twelfth of a year) that will elapse between the Settlement Date with respect to such Called Principal and the Make-Whole Expiry Date.</w:t>
      </w:r>
    </w:p>
    <w:p>
      <w:pPr>
        <w:pStyle w:val="TextBody"/>
        <w:bidi w:val="0"/>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Remaining Scheduled Payments</w:t>
      </w:r>
      <w:r>
        <w:rPr>
          <w:color w:val="000000"/>
        </w:rPr>
        <w:t xml:space="preserve">” </w:t>
      </w:r>
      <w:r>
        <w:rPr>
          <w:rFonts w:ascii="Times New Roman;serif" w:hAnsi="Times New Roman;serif"/>
          <w:b w:val="false"/>
          <w:color w:val="000000"/>
          <w:sz w:val="24"/>
        </w:rPr>
        <w:t>means, with respect to the Called Principal of any Note, all payments of interest in respect of such Called Principal that would be due after the Settlement Date through the Make-Whole Expiry Date with respect to such Called Principal if no payment of such Called Principal were made (assuming that Term SOFR prevailing at the time the applicable notice of redemption is delivered or, if no such notice is given, the time of such redemption applies through the applicable period).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Required Debt Terms</w:t>
      </w:r>
      <w:r>
        <w:rPr>
          <w:color w:val="000000"/>
        </w:rPr>
        <w:t xml:space="preserve">” </w:t>
      </w:r>
      <w:r>
        <w:rPr>
          <w:rFonts w:ascii="Times New Roman;serif" w:hAnsi="Times New Roman;serif"/>
          <w:b w:val="false"/>
          <w:color w:val="000000"/>
          <w:sz w:val="24"/>
        </w:rPr>
        <w:t xml:space="preserve">means in respect of any Indebtedness, the following requirements: (a) such Indebtedness (i) does not have a maturity date or any mandatory prepayment or redemption features (other than customary asset sale events, insurance and condemnation proceeds events, change of control offers or events of default and, if secured, excess cash flow sweeps and, solely in the case of Permitted Additional Debt secured on a pari passu basis with the Obligations (including any Permitted Refinancing thereof secured on a pari passu basis with the Obligations), regularly scheduled principal amortization payments), in each case prior to the date that is the then Maturity Date at the time such Indebtedness is incurred and (ii) such Indebtedness does not have a shorter Weighted Average Life to Maturity than the Notes then outstanding;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limitations in this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shall not apply to any Permitted Additional Debt consisting of a customary bridge facility so long as the long-term debt into which such customary bridge facility is to be converted satisfies the provisions of this clause, (b) no Person shall be a guarantor with respect to such Indebtedness unless such Person is a Guarantor which shall have previously or substantially concurrently guaranteed the Obligations, (c) if such Indebtedness is secured by the Collateral, a Senior Representative acting on behalf of the holders of such Indebtedness has become party to both the ABL/Note Intercreditor Agreement and an appropriate Other Intercreditor Agreement (</w:t>
      </w:r>
      <w:r>
        <w:rPr>
          <w:rFonts w:ascii="Times New Roman;serif" w:hAnsi="Times New Roman;serif"/>
          <w:b w:val="false"/>
          <w:color w:val="000000"/>
          <w:sz w:val="24"/>
          <w:u w:val="single"/>
        </w:rPr>
        <w:t>i.e.</w:t>
      </w:r>
      <w:r>
        <w:rPr>
          <w:rFonts w:ascii="Times New Roman;serif" w:hAnsi="Times New Roman;serif"/>
          <w:b w:val="false"/>
          <w:color w:val="000000"/>
          <w:sz w:val="24"/>
        </w:rPr>
        <w:t xml:space="preserve">, reflecting whether such Indebtedness is secured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or junior basis with the Obligations), (d) to the extent secured, any such Indebtedness is not secured by assets not constituting Collateral, (e) any such Indebtedness that is payment subordinated shall be subject to a subordination agreement on terms that are reasonably acceptable to the Trustee (acting at the direction of the Controlling Parties) and the Issuer and (f) the terms and conditions of such Indebtedness (excluding pricing, interest rate margins, rate floors, discounts, premiums, fees, and prepayment, redemption, or amortization terms and provisions which shall be determined by the Issuer) either, at the option of the Issuer, (i) reflect market terms and conditions (taken as a whole) at the time of incurrence, issuance or effectiveness (as determined by the Issuer in good faith) or (ii) are not more favorable in any material respect to the lenders providing such Indebtedness than the terms and conditions of this Indenture (when taken as a whole) as reasonably determined by the Issuer (except for covenants or other provisions applicable only to periods after Maturity Date) (it being understood that (x) to the extent that any financial maintenance covenant (or other covenant) is added for the benefit of any such Indebtedness, the terms and conditions of such Indebtedness will be deemed not to be more restrictive than the terms and conditions of this Indenture if such financial maintenance covenant (or other covenant) is also added for the benefit of this Indenture and (y) no consent shall be required from the Trustee for terms or conditions that are not market terms or are more restrictive than this Indenture if such terms are added to this Indenture),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a certificate delivered to the Trustee at least five (5) Business Days prior to the incurrence of such Indebtedness, together with a reasonably detailed description of the material terms and conditions of such Indebtedness or drafts of the documentation relating </w:t>
      </w: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thereto, stating that the Issuer has determined in good faith that such terms and conditions satisfy the requirements of this definition, shall be conclusive evidence that such terms and conditions satisfy the requirements of this definition.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Requirements of Law</w:t>
      </w:r>
      <w:r>
        <w:rPr>
          <w:color w:val="000000"/>
        </w:rPr>
        <w:t xml:space="preserve">” </w:t>
      </w:r>
      <w:r>
        <w:rPr>
          <w:rFonts w:ascii="Times New Roman;serif" w:hAnsi="Times New Roman;serif"/>
          <w:b w:val="false"/>
          <w:color w:val="000000"/>
          <w:sz w:val="24"/>
        </w:rPr>
        <w:t>means, collectively, all international, foreign, federal, state and local laws (including common law), judgments, decrees,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or other requirements of, any Governmental Authority, in each case whether or not having the force of law.</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Responsible Officer</w:t>
      </w:r>
      <w:r>
        <w:rPr>
          <w:color w:val="000000"/>
        </w:rPr>
        <w:t xml:space="preserve">” </w:t>
      </w:r>
      <w:r>
        <w:rPr>
          <w:rFonts w:ascii="Times New Roman;serif" w:hAnsi="Times New Roman;serif"/>
          <w:b w:val="false"/>
          <w:color w:val="000000"/>
          <w:sz w:val="24"/>
        </w:rPr>
        <w:t>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in each case, who shall have direct responsibility for the administration of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Restatement Effective Date</w:t>
      </w:r>
      <w:r>
        <w:rPr>
          <w:color w:val="000000"/>
        </w:rPr>
        <w:t xml:space="preserve">” </w:t>
      </w:r>
      <w:r>
        <w:rPr>
          <w:rFonts w:ascii="Times New Roman;serif" w:hAnsi="Times New Roman;serif"/>
          <w:b w:val="false"/>
          <w:color w:val="000000"/>
          <w:sz w:val="24"/>
        </w:rPr>
        <w:t xml:space="preserve">means September 29, 2026.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Restricted Debt Payment</w:t>
      </w:r>
      <w:r>
        <w:rPr>
          <w:color w:val="000000"/>
        </w:rPr>
        <w:t xml:space="preserve">” </w:t>
      </w:r>
      <w:r>
        <w:rPr>
          <w:rFonts w:ascii="Times New Roman;serif" w:hAnsi="Times New Roman;serif"/>
          <w:b w:val="false"/>
          <w:color w:val="000000"/>
          <w:sz w:val="24"/>
        </w:rPr>
        <w:t xml:space="preserve">has the meaning assigned to such term in </w:t>
      </w:r>
      <w:r>
        <w:rPr>
          <w:rFonts w:ascii="Times New Roman;serif" w:hAnsi="Times New Roman;serif"/>
          <w:b w:val="false"/>
          <w:color w:val="000000"/>
          <w:sz w:val="24"/>
          <w:u w:val="single"/>
        </w:rPr>
        <w:t>Section 6.09(a)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Restricted Subsidiary</w:t>
      </w:r>
      <w:r>
        <w:rPr>
          <w:color w:val="000000"/>
        </w:rPr>
        <w:t xml:space="preserve">” </w:t>
      </w:r>
      <w:r>
        <w:rPr>
          <w:rFonts w:ascii="Times New Roman;serif" w:hAnsi="Times New Roman;serif"/>
          <w:b w:val="false"/>
          <w:color w:val="000000"/>
          <w:sz w:val="24"/>
        </w:rPr>
        <w:t>means each Subsidiary other than an Unrestricted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Rights Offering</w:t>
      </w:r>
      <w:r>
        <w:rPr>
          <w:color w:val="000000"/>
        </w:rPr>
        <w:t xml:space="preserve">” </w:t>
      </w:r>
      <w:r>
        <w:rPr>
          <w:rFonts w:ascii="Times New Roman;serif" w:hAnsi="Times New Roman;serif"/>
          <w:b w:val="false"/>
          <w:color w:val="000000"/>
          <w:sz w:val="24"/>
        </w:rPr>
        <w:t>has the meaning assigned to such term in the recitals 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Rights Offering Backstop Agreement</w:t>
      </w:r>
      <w:r>
        <w:rPr>
          <w:color w:val="000000"/>
        </w:rPr>
        <w:t xml:space="preserve">” </w:t>
      </w:r>
      <w:r>
        <w:rPr>
          <w:rFonts w:ascii="Times New Roman;serif" w:hAnsi="Times New Roman;serif"/>
          <w:b w:val="false"/>
          <w:color w:val="000000"/>
          <w:sz w:val="24"/>
        </w:rPr>
        <w:t>means that certain Rights Offering Backstop Agreement, dated as of August 6, 2026, by and among the Issuer and the Backstop Parties.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S&amp;P</w:t>
      </w:r>
      <w:r>
        <w:rPr>
          <w:color w:val="000000"/>
        </w:rPr>
        <w:t xml:space="preserve">” </w:t>
      </w:r>
      <w:r>
        <w:rPr>
          <w:rFonts w:ascii="Times New Roman;serif" w:hAnsi="Times New Roman;serif"/>
          <w:b w:val="false"/>
          <w:color w:val="000000"/>
          <w:sz w:val="24"/>
        </w:rPr>
        <w:t>means Standard &amp; Poor’s Ratings Service, a subsidiary of S&amp;P Global Inc., and its successors.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Sale Leaseback Transaction</w:t>
      </w:r>
      <w:r>
        <w:rPr>
          <w:color w:val="000000"/>
        </w:rPr>
        <w:t xml:space="preserve">” </w:t>
      </w:r>
      <w:r>
        <w:rPr>
          <w:rFonts w:ascii="Times New Roman;serif" w:hAnsi="Times New Roman;serif"/>
          <w:b w:val="false"/>
          <w:color w:val="000000"/>
          <w:sz w:val="24"/>
        </w:rPr>
        <w:t xml:space="preserve">means any arrangement, directly or indirectly, with any person whereby the Issuer or any of its Restricted Subsidiaries shall sell, transfer or otherwise dispose of any property, real or personal, used or useful in its business, whether now owned or hereafter acquired, and thereafter rent or lease such property or other property that it intends to use for substantially the same purpose or purposes as the property being sold or transferred; </w:t>
      </w:r>
      <w:r>
        <w:rPr>
          <w:rFonts w:ascii="Times New Roman;serif" w:hAnsi="Times New Roman;serif"/>
          <w:b w:val="false"/>
          <w:i/>
          <w:color w:val="000000"/>
          <w:sz w:val="24"/>
        </w:rPr>
        <w:t>provided</w:t>
      </w:r>
      <w:r>
        <w:rPr>
          <w:rFonts w:ascii="Times New Roman;serif" w:hAnsi="Times New Roman;serif"/>
          <w:b w:val="false"/>
          <w:color w:val="000000"/>
          <w:sz w:val="24"/>
        </w:rPr>
        <w:t>, that, (a) no Event of Default shall have occurred and be continuing or would immediately result therefrom and (b) such Sale Leaseback Transaction is consummated within one hundred eighty (180) days of the disposition of such property.</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Sanctions</w:t>
      </w:r>
      <w:r>
        <w:rPr>
          <w:color w:val="000000"/>
        </w:rPr>
        <w:t xml:space="preserve">” </w:t>
      </w:r>
      <w:r>
        <w:rPr>
          <w:rFonts w:ascii="Times New Roman;serif" w:hAnsi="Times New Roman;serif"/>
          <w:b w:val="false"/>
          <w:color w:val="000000"/>
          <w:sz w:val="24"/>
        </w:rPr>
        <w:t>means sanctions administered by the United States (including by OFAC and the U.S. Department of State) or any similar laws or regulations enacted by the United Nations, the European Union or the United Kingdom.</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w:t>
      </w:r>
      <w:r>
        <w:rPr>
          <w:color w:val="000000"/>
        </w:rPr>
        <w:t xml:space="preserve">” </w:t>
      </w:r>
      <w:r>
        <w:rPr>
          <w:rFonts w:ascii="Times New Roman;serif" w:hAnsi="Times New Roman;serif"/>
          <w:b w:val="false"/>
          <w:color w:val="000000"/>
          <w:sz w:val="24"/>
        </w:rPr>
        <w:t>means the Securities and Exchange Commission, or any Governmental Authority succeeding to any of its principal functions.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Secured Net Leverage Ratio</w:t>
      </w:r>
      <w:r>
        <w:rPr>
          <w:color w:val="000000"/>
        </w:rPr>
        <w:t xml:space="preserve">” </w:t>
      </w:r>
      <w:r>
        <w:rPr>
          <w:rFonts w:ascii="Times New Roman;serif" w:hAnsi="Times New Roman;serif"/>
          <w:b w:val="false"/>
          <w:color w:val="000000"/>
          <w:sz w:val="24"/>
        </w:rPr>
        <w:t xml:space="preserve">means, at any date of determination, the ratio of (a)(x) Consolidated Secured Indebtedness of the Issuer and its Restricted Subsidiaries on such date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(y) Unrestricted Cash of the Issuer and its Restricted Subsidiaries on such date in an amount not to exceed $25,000,000 to (b) Consolidated EBITDA for the Test Period then most recently 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Secured Parties</w:t>
      </w:r>
      <w:r>
        <w:rPr>
          <w:color w:val="000000"/>
        </w:rPr>
        <w:t xml:space="preserve">” </w:t>
      </w:r>
      <w:r>
        <w:rPr>
          <w:rFonts w:ascii="Times New Roman;serif" w:hAnsi="Times New Roman;serif"/>
          <w:b w:val="false"/>
          <w:color w:val="000000"/>
          <w:sz w:val="24"/>
        </w:rPr>
        <w:t>means, collectively, (a) the Trustee, (b) the Collateral Agent, (c) the Holders, (d) the beneficiaries of each indemnification obligation undertaken by the Issuer or any Guarantor under this Indenture or any other Notes Documents and (e) each of their respective successors, permitted transferees and permitted assigns.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Securities Act</w:t>
      </w:r>
      <w:r>
        <w:rPr>
          <w:color w:val="000000"/>
        </w:rPr>
        <w:t xml:space="preserve">” </w:t>
      </w:r>
      <w:r>
        <w:rPr>
          <w:rFonts w:ascii="Times New Roman;serif" w:hAnsi="Times New Roman;serif"/>
          <w:b w:val="false"/>
          <w:color w:val="000000"/>
          <w:sz w:val="24"/>
        </w:rPr>
        <w:t>means the Securities Act of 1933, as amended.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Securities Purchase Agreement</w:t>
      </w:r>
      <w:r>
        <w:rPr>
          <w:color w:val="000000"/>
        </w:rPr>
        <w:t xml:space="preserve">” </w:t>
      </w:r>
      <w:r>
        <w:rPr>
          <w:rFonts w:ascii="Times New Roman;serif" w:hAnsi="Times New Roman;serif"/>
          <w:b w:val="false"/>
          <w:color w:val="000000"/>
          <w:sz w:val="24"/>
        </w:rPr>
        <w:t>means that certain Securities Purchase Agreement, dated as of March 7, 2025, by and among the Issuer and the several purchasers of the Senior Notes (as defined therein).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Security Agreement</w:t>
      </w:r>
      <w:r>
        <w:rPr>
          <w:color w:val="000000"/>
        </w:rPr>
        <w:t xml:space="preserve">” </w:t>
      </w:r>
      <w:r>
        <w:rPr>
          <w:rFonts w:ascii="Times New Roman;serif" w:hAnsi="Times New Roman;serif"/>
          <w:b w:val="false"/>
          <w:color w:val="000000"/>
          <w:sz w:val="24"/>
        </w:rPr>
        <w:t>means (a) that certain Pledge and Security Agreement, dated as of March 12, 2025, by and among the Issuer, the Subsidiary Guarantors from time to time party thereto and the Collateral Agent and (b) any other security agreements by and among one or more of the Note Parties and the Collateral Agent for the benefit of the Secured Parties with respect to Liens granted on the Collateral thereunder as security for the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Security Agreement Collateral</w:t>
      </w:r>
      <w:r>
        <w:rPr>
          <w:color w:val="000000"/>
        </w:rPr>
        <w:t xml:space="preserve">” </w:t>
      </w:r>
      <w:r>
        <w:rPr>
          <w:rFonts w:ascii="Times New Roman;serif" w:hAnsi="Times New Roman;serif"/>
          <w:b w:val="false"/>
          <w:color w:val="000000"/>
          <w:sz w:val="24"/>
        </w:rPr>
        <w:t xml:space="preserve">means all property pledged or granted as collateral pursuant to a Security Agreement (a) on the Closing Date or (b) thereafter pursuant to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and in each case other than Excluded Property.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Security Documents</w:t>
      </w:r>
      <w:r>
        <w:rPr>
          <w:color w:val="000000"/>
        </w:rPr>
        <w:t xml:space="preserve">” </w:t>
      </w:r>
      <w:r>
        <w:rPr>
          <w:rFonts w:ascii="Times New Roman;serif" w:hAnsi="Times New Roman;serif"/>
          <w:b w:val="false"/>
          <w:color w:val="000000"/>
          <w:sz w:val="24"/>
        </w:rPr>
        <w:t>means the Security Agreements, any Mortgages, and each other security document or pledge agreement delivered in accordance with applicable local or foreign law to grant a valid, perfected security interest in or a valid and enforceable Lien of record on, as applicable, any property as collateral for the Obligations, and any other document or instrument utilized to pledge or grant or purport to pledge or grant a security interest in or lien on any property as collateral for the Obligations.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Senior Representative</w:t>
      </w:r>
      <w:r>
        <w:rPr>
          <w:color w:val="000000"/>
        </w:rPr>
        <w:t xml:space="preserve">” </w:t>
      </w:r>
      <w:r>
        <w:rPr>
          <w:rFonts w:ascii="Times New Roman;serif" w:hAnsi="Times New Roman;serif"/>
          <w:b w:val="false"/>
          <w:color w:val="000000"/>
          <w:sz w:val="24"/>
        </w:rPr>
        <w:t xml:space="preserve">means, with respect to any series of Permitted Pari Passu Refinancing Debt, Junior Secured Indebtedness, Permitted Junior Refinancing Debt, Permitted Unsecured Refinancing Debt or Permitted Additional Debt, the trustee, sole lender, administrative agent, collateral agent, security agent or similar agent under the indenture or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pursuant to which such Indebtedness is issued, incurred or otherwise obtained, as the case may be, and each of their successors in such capacities.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Settlement Date</w:t>
      </w:r>
      <w:r>
        <w:rPr>
          <w:color w:val="000000"/>
        </w:rPr>
        <w:t xml:space="preserve">” </w:t>
      </w:r>
      <w:r>
        <w:rPr>
          <w:rFonts w:ascii="Times New Roman;serif" w:hAnsi="Times New Roman;serif"/>
          <w:b w:val="false"/>
          <w:color w:val="000000"/>
          <w:sz w:val="24"/>
        </w:rPr>
        <w:t xml:space="preserve">means, with respect to the Called Principal of any Note, the date on which such Called Principal is to be redeemed pursuant to </w:t>
      </w:r>
      <w:r>
        <w:rPr>
          <w:rFonts w:ascii="Times New Roman;serif" w:hAnsi="Times New Roman;serif"/>
          <w:b w:val="false"/>
          <w:color w:val="000000"/>
          <w:sz w:val="24"/>
          <w:u w:val="single"/>
        </w:rPr>
        <w:t>Article III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SOFR</w:t>
      </w:r>
      <w:r>
        <w:rPr>
          <w:color w:val="000000"/>
        </w:rPr>
        <w:t xml:space="preserve">” </w:t>
      </w:r>
      <w:r>
        <w:rPr>
          <w:rFonts w:ascii="Times New Roman;serif" w:hAnsi="Times New Roman;serif"/>
          <w:b w:val="false"/>
          <w:color w:val="000000"/>
          <w:sz w:val="24"/>
        </w:rPr>
        <w:t>means a rate equal to the secured overnight financing rate as administered by the SOFR Administrator.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SOFR Administrator</w:t>
      </w:r>
      <w:r>
        <w:rPr>
          <w:color w:val="000000"/>
        </w:rPr>
        <w:t xml:space="preserve">” </w:t>
      </w:r>
      <w:r>
        <w:rPr>
          <w:rFonts w:ascii="Times New Roman;serif" w:hAnsi="Times New Roman;serif"/>
          <w:b w:val="false"/>
          <w:color w:val="000000"/>
          <w:sz w:val="24"/>
        </w:rPr>
        <w:t>means the Federal Reserve Bank of New York (or a successor administrator of the secured overnight financing rate).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SOFR Note</w:t>
      </w:r>
      <w:r>
        <w:rPr>
          <w:color w:val="000000"/>
        </w:rPr>
        <w:t xml:space="preserve">” </w:t>
      </w:r>
      <w:r>
        <w:rPr>
          <w:rFonts w:ascii="Times New Roman;serif" w:hAnsi="Times New Roman;serif"/>
          <w:b w:val="false"/>
          <w:color w:val="000000"/>
          <w:sz w:val="24"/>
        </w:rPr>
        <w:t xml:space="preserve">means a Note that bears interest at a rate based on Term SOFR, other than pursuant to </w:t>
      </w:r>
      <w:r>
        <w:rPr>
          <w:rFonts w:ascii="Times New Roman;serif" w:hAnsi="Times New Roman;serif"/>
          <w:b w:val="false"/>
          <w:color w:val="000000"/>
          <w:sz w:val="24"/>
          <w:u w:val="single"/>
        </w:rPr>
        <w:t>clause (c)</w:t>
      </w:r>
      <w:r>
        <w:rPr>
          <w:color w:val="000000"/>
        </w:rPr>
        <w:t xml:space="preserve"> </w:t>
      </w:r>
      <w:r>
        <w:rPr>
          <w:rFonts w:ascii="Times New Roman;serif" w:hAnsi="Times New Roman;serif"/>
          <w:b w:val="false"/>
          <w:color w:val="000000"/>
          <w:sz w:val="24"/>
        </w:rPr>
        <w:t>of the definition of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Specified Additional Debt Cap</w:t>
      </w:r>
      <w:r>
        <w:rPr>
          <w:color w:val="000000"/>
        </w:rPr>
        <w:t xml:space="preserve">” </w:t>
      </w:r>
      <w:r>
        <w:rPr>
          <w:rFonts w:ascii="Times New Roman;serif" w:hAnsi="Times New Roman;serif"/>
          <w:b w:val="false"/>
          <w:color w:val="000000"/>
          <w:sz w:val="24"/>
        </w:rPr>
        <w:t>means an aggregate amount equal to $150,000,000.</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Specified Holders</w:t>
      </w:r>
      <w:r>
        <w:rPr>
          <w:color w:val="000000"/>
        </w:rPr>
        <w:t xml:space="preserve">” </w:t>
      </w:r>
      <w:r>
        <w:rPr>
          <w:rFonts w:ascii="Times New Roman;serif" w:hAnsi="Times New Roman;serif"/>
          <w:b w:val="false"/>
          <w:color w:val="000000"/>
          <w:sz w:val="24"/>
        </w:rPr>
        <w:t xml:space="preserve">means those Holders listed on </w:t>
      </w:r>
      <w:r>
        <w:rPr>
          <w:rFonts w:ascii="Times New Roman;serif" w:hAnsi="Times New Roman;serif"/>
          <w:b w:val="false"/>
          <w:color w:val="000000"/>
          <w:sz w:val="24"/>
          <w:u w:val="single"/>
        </w:rPr>
        <w:t>Schedule 1.01(a)</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Specified Letters of Credit</w:t>
      </w:r>
      <w:r>
        <w:rPr>
          <w:color w:val="000000"/>
        </w:rPr>
        <w:t xml:space="preserve">” </w:t>
      </w:r>
      <w:r>
        <w:rPr>
          <w:rFonts w:ascii="Times New Roman;serif" w:hAnsi="Times New Roman;serif"/>
          <w:b w:val="false"/>
          <w:color w:val="000000"/>
          <w:sz w:val="24"/>
        </w:rPr>
        <w:t xml:space="preserve">means those letters of credit listed on </w:t>
      </w:r>
      <w:r>
        <w:rPr>
          <w:rFonts w:ascii="Times New Roman;serif" w:hAnsi="Times New Roman;serif"/>
          <w:b w:val="false"/>
          <w:color w:val="000000"/>
          <w:sz w:val="24"/>
          <w:u w:val="single"/>
        </w:rPr>
        <w:t>Schedule 1.01(b)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Subject Transaction</w:t>
      </w:r>
      <w:r>
        <w:rPr>
          <w:color w:val="000000"/>
        </w:rPr>
        <w:t xml:space="preserve">” </w:t>
      </w:r>
      <w:r>
        <w:rPr>
          <w:rFonts w:ascii="Times New Roman;serif" w:hAnsi="Times New Roman;serif"/>
          <w:b w:val="false"/>
          <w:color w:val="000000"/>
          <w:sz w:val="24"/>
        </w:rPr>
        <w:t>means any (a) disposition of assets or Equity Interests of any Restricted Subsidiary or of any product line, business unit, line of business or division of the Issuer or any of the Restricted Subsidiaries, in each case to the extent otherwise permitted hereunder, (b) Permitted Acquisition, (c) other Investment that is permitted hereunder (including with respect to any business unit, line of business or product line), (d) designation of any Restricted Subsidiary as an Unrestricted Subsidiary, or of any Unrestricted Subsidiary as a Restricted Subsidiary, (e) proposed incurrence of Indebtedness or making of a Dividend or a Restricted Debt Payment in respect of which compliance with any financial ratio is by the terms of this Indenture required to be calculated on a Pro Forma Basis and (f) termination or discontinuance of activities constituting a business unit, line of business or product line.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Subordinated Indebtedness</w:t>
      </w:r>
      <w:r>
        <w:rPr>
          <w:color w:val="000000"/>
        </w:rPr>
        <w:t xml:space="preserve">” </w:t>
      </w:r>
      <w:r>
        <w:rPr>
          <w:rFonts w:ascii="Times New Roman;serif" w:hAnsi="Times New Roman;serif"/>
          <w:b w:val="false"/>
          <w:color w:val="000000"/>
          <w:sz w:val="24"/>
        </w:rPr>
        <w:t>means Indebtedness of the Issuer or any Guarantor that is by its terms subordinated in right of payment to the Obligations of the Issuer and such Guarantor, as applicable.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as to any Person, a corporation, partnership or other entity of which shares of capital stock or other Equity Interests having ordinary voting power (other than capital stock or other equity interests having such power only by reason of the happening of a contingency) to elect a majority of the board of directors or other managers of such corporation, partnership or other entity are at the time owned, directly or indirectly, or the management of which is otherwise controlled, directly or indirectly, or both, by such Person. Unless the context otherwise requires, the term “</w:t>
      </w:r>
      <w:r>
        <w:rPr>
          <w:rFonts w:ascii="Times New Roman;serif" w:hAnsi="Times New Roman;serif"/>
          <w:b/>
          <w:color w:val="000000"/>
          <w:sz w:val="24"/>
        </w:rPr>
        <w:t>Subsidiary</w:t>
      </w:r>
      <w:r>
        <w:rPr>
          <w:color w:val="000000"/>
        </w:rPr>
        <w:t xml:space="preserve">” </w:t>
      </w:r>
      <w:r>
        <w:rPr>
          <w:rFonts w:ascii="Times New Roman;serif" w:hAnsi="Times New Roman;serif"/>
          <w:b w:val="false"/>
          <w:color w:val="000000"/>
          <w:sz w:val="24"/>
        </w:rPr>
        <w:t>means a Subsidiary of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Subsidiary Guarantor</w:t>
      </w:r>
      <w:r>
        <w:rPr>
          <w:color w:val="000000"/>
        </w:rPr>
        <w:t xml:space="preserve">” </w:t>
      </w:r>
      <w:r>
        <w:rPr>
          <w:rFonts w:ascii="Times New Roman;serif" w:hAnsi="Times New Roman;serif"/>
          <w:b w:val="false"/>
          <w:color w:val="000000"/>
          <w:sz w:val="24"/>
        </w:rPr>
        <w:t xml:space="preserve">means any of the Issuer’s Subsidiaries which is a Wholly Owned Domestic Subsidiary and any Restricted Subsidiary that is, or becomes pursuant to </w:t>
      </w:r>
      <w:r>
        <w:rPr>
          <w:rFonts w:ascii="Times New Roman;serif" w:hAnsi="Times New Roman;serif"/>
          <w:b w:val="false"/>
          <w:color w:val="000000"/>
          <w:sz w:val="24"/>
          <w:u w:val="single"/>
        </w:rPr>
        <w:t>Section 5.12</w:t>
      </w:r>
      <w:r>
        <w:rPr>
          <w:rFonts w:ascii="Times New Roman;serif" w:hAnsi="Times New Roman;serif"/>
          <w:b w:val="false"/>
          <w:color w:val="000000"/>
          <w:sz w:val="24"/>
        </w:rPr>
        <w:t>, a party to this Indenture.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Tax Change</w:t>
      </w:r>
      <w:r>
        <w:rPr>
          <w:color w:val="000000"/>
        </w:rPr>
        <w:t xml:space="preserve">” </w:t>
      </w:r>
      <w:r>
        <w:rPr>
          <w:rFonts w:ascii="Times New Roman;serif" w:hAnsi="Times New Roman;serif"/>
          <w:b w:val="false"/>
          <w:color w:val="000000"/>
          <w:sz w:val="24"/>
        </w:rPr>
        <w:t xml:space="preserve">means any change in the Code or any other applicable Requirement of Law that would have the effect of changing the amount of Taxes due and payable by Issuer and its Restricted Subsidiaries for any taxable period, as compared to the amount of Taxes that would have been due and payable by Issuer and its Restricted Subsidiaries for such taxable period under the Code or any other Requirements of Law as in effect immediately prior to such change; </w:t>
      </w:r>
      <w:r>
        <w:rPr>
          <w:rFonts w:ascii="Times New Roman;serif" w:hAnsi="Times New Roman;serif"/>
          <w:b w:val="false"/>
          <w:i/>
          <w:color w:val="000000"/>
          <w:sz w:val="24"/>
        </w:rPr>
        <w:t>provided</w:t>
      </w:r>
      <w:r>
        <w:rPr>
          <w:rFonts w:ascii="Times New Roman;serif" w:hAnsi="Times New Roman;serif"/>
          <w:b w:val="false"/>
          <w:color w:val="000000"/>
          <w:sz w:val="24"/>
        </w:rPr>
        <w:t>, for the avoidance of doubt, that the calculation of a change in Taxes due and payable shall take into account all changes to the Code or any other Requirements of Law. Notwithstanding any other provision contained herein, (a) all terms of an accounting or financial nature used herein shall be construed, and all computations of amounts and ratios referred to herein shall be made, without giving effect to any election under Statement of Financial Accounting Standards 159 or FASB ASC 825 (or any other financial accounting standard having a similar result or effect) to value any Indebtedness or other liabilities of Issuer or any of its Restricted Subsidiaries at “fair value,” as defined therein and (b) the financial ratios and related definitions set forth in the Note Documents shall be computed to exclude the application of Financial Accounting Standards No. 133, 150 or 123(R) or any other financial accounting standard having a similar result or effect (to the extent that the pronouncements in Financial Accounting Standards No. 123(R) result in recording an equity award as a liability on a consolidated balance sheet of Issuer and its Restricted Subsidiaries in the circumstance where, but for the application of the pronouncements, such award would have been classified as equity).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Taxes</w:t>
      </w:r>
      <w:r>
        <w:rPr>
          <w:color w:val="000000"/>
        </w:rPr>
        <w:t xml:space="preserve">” </w:t>
      </w:r>
      <w:r>
        <w:rPr>
          <w:rFonts w:ascii="Times New Roman;serif" w:hAnsi="Times New Roman;serif"/>
          <w:b w:val="false"/>
          <w:color w:val="000000"/>
          <w:sz w:val="24"/>
        </w:rPr>
        <w:t>means all present or future taxes, levies, imposts, duties, deductions, withholdings (including backup withholdings), assessments, fees or other charges imposed by any Governmental Authority, including any interest, additions to tax or penalties applicable thereto.</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Term SOFR</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for any calculation with respect to a SOFR Note, the Term SOFR Reference Rate for a tenor comparable to the applicable Interest Period on the day (such day, the “</w:t>
      </w:r>
      <w:r>
        <w:rPr>
          <w:rFonts w:ascii="Times New Roman;serif" w:hAnsi="Times New Roman;serif"/>
          <w:b/>
          <w:color w:val="000000"/>
          <w:sz w:val="24"/>
        </w:rPr>
        <w:t>Periodic Term SOFR Determination Day</w:t>
      </w:r>
      <w:r>
        <w:rPr>
          <w:color w:val="000000"/>
        </w:rPr>
        <w:t>”</w:t>
      </w:r>
      <w:r>
        <w:rPr>
          <w:rFonts w:ascii="Times New Roman;serif" w:hAnsi="Times New Roman;serif"/>
          <w:b w:val="false"/>
          <w:color w:val="000000"/>
          <w:sz w:val="24"/>
        </w:rPr>
        <w:t xml:space="preserve">) that is two (2) U.S. Government Securities Business Days prior to the first day of such Interest Period, as such rate is published by the Term SOFR Administrator;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(b)    for any calculation with respect to an ABR Note on any day, the Term SOFR Reference Rate for a tenor of one (1) month on the day (such day, the “</w:t>
      </w:r>
      <w:r>
        <w:rPr>
          <w:rFonts w:ascii="Times New Roman;serif" w:hAnsi="Times New Roman;serif"/>
          <w:b/>
          <w:color w:val="000000"/>
          <w:sz w:val="24"/>
        </w:rPr>
        <w:t>ABR Term SOFR Determination Day</w:t>
      </w:r>
      <w:r>
        <w:rPr>
          <w:color w:val="000000"/>
        </w:rPr>
        <w:t xml:space="preserve">” </w:t>
      </w:r>
      <w:r>
        <w:rPr>
          <w:rFonts w:ascii="Times New Roman;serif" w:hAnsi="Times New Roman;serif"/>
          <w:b w:val="false"/>
          <w:color w:val="000000"/>
          <w:sz w:val="24"/>
        </w:rPr>
        <w:t>and, together with the Periodic Term SOFR Determination Day, the “</w:t>
      </w:r>
      <w:r>
        <w:rPr>
          <w:rFonts w:ascii="Times New Roman;serif" w:hAnsi="Times New Roman;serif"/>
          <w:b/>
          <w:color w:val="000000"/>
          <w:sz w:val="24"/>
        </w:rPr>
        <w:t>Interest Payment Determination Date</w:t>
      </w:r>
      <w:r>
        <w:rPr>
          <w:color w:val="000000"/>
        </w:rPr>
        <w:t>”</w:t>
      </w:r>
      <w:r>
        <w:rPr>
          <w:rFonts w:ascii="Times New Roman;serif" w:hAnsi="Times New Roman;serif"/>
          <w:b w:val="false"/>
          <w:color w:val="000000"/>
          <w:sz w:val="24"/>
        </w:rPr>
        <w:t xml:space="preserve">) that is two (2) U.S. Government Securities Business Days prior to such day, as such rate is published by the Term SOFR Administrator;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Term SOFR as determined above would be less than the Floor, Term SOFR will be deemed to be the Floor.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as selected by the Issuer and approved by the Controlling Party).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Term SOFR Reference Rate</w:t>
      </w:r>
      <w:r>
        <w:rPr>
          <w:color w:val="000000"/>
        </w:rPr>
        <w:t xml:space="preserve">” </w:t>
      </w:r>
      <w:r>
        <w:rPr>
          <w:rFonts w:ascii="Times New Roman;serif" w:hAnsi="Times New Roman;serif"/>
          <w:b w:val="false"/>
          <w:color w:val="000000"/>
          <w:sz w:val="24"/>
        </w:rPr>
        <w:t>means the forward-looking term rate based on SOFR.</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Test Period</w:t>
      </w:r>
      <w:r>
        <w:rPr>
          <w:color w:val="000000"/>
        </w:rPr>
        <w:t xml:space="preserve">” </w:t>
      </w:r>
      <w:r>
        <w:rPr>
          <w:rFonts w:ascii="Times New Roman;serif" w:hAnsi="Times New Roman;serif"/>
          <w:b w:val="false"/>
          <w:color w:val="000000"/>
          <w:sz w:val="24"/>
        </w:rPr>
        <w:t xml:space="preserve">means, at any time, subject to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the four (4) consecutive fiscal quarters of Issuer then last ended (in each case taken as one accounting period) for which financial statements have been or were required to be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color w:val="000000"/>
        </w:rPr>
        <w:t xml:space="preserve"> </w:t>
      </w:r>
      <w:r>
        <w:rPr>
          <w:rFonts w:ascii="Times New Roman;serif" w:hAnsi="Times New Roman;serif"/>
          <w:b w:val="false"/>
          <w:color w:val="000000"/>
          <w:sz w:val="24"/>
        </w:rPr>
        <w:t xml:space="preserve">or, if the initial delivery of financial statements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as applicable, has not occurred prior to such time, for which financial statements were delivered on or prior to the Restatement Effective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Total Net Leverage Ratio</w:t>
      </w:r>
      <w:r>
        <w:rPr>
          <w:color w:val="000000"/>
        </w:rPr>
        <w:t xml:space="preserve">” </w:t>
      </w:r>
      <w:r>
        <w:rPr>
          <w:rFonts w:ascii="Times New Roman;serif" w:hAnsi="Times New Roman;serif"/>
          <w:b w:val="false"/>
          <w:color w:val="000000"/>
          <w:sz w:val="24"/>
        </w:rPr>
        <w:t xml:space="preserve">means, at any date of determination, the ratio of (a)(x) Consolidated Total Indebtedness of the Issuer and its Restricted Subsidiaries on such date </w:t>
      </w:r>
      <w:r>
        <w:rPr>
          <w:rFonts w:ascii="Times New Roman;serif" w:hAnsi="Times New Roman;serif"/>
          <w:b w:val="false"/>
          <w:i/>
          <w:color w:val="000000"/>
          <w:sz w:val="24"/>
        </w:rPr>
        <w:t xml:space="preserve">minus </w:t>
      </w:r>
      <w:r>
        <w:rPr>
          <w:rFonts w:ascii="Times New Roman;serif" w:hAnsi="Times New Roman;serif"/>
          <w:b w:val="false"/>
          <w:color w:val="000000"/>
          <w:sz w:val="24"/>
        </w:rPr>
        <w:t>(y) Unrestricted Cash of the Issuer and its Restricted Subsidiaries on such date in an amount not to exceed $25,000,000 to (b) Consolidated EBITDA for the Test Period then most recently ended.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Transaction Costs</w:t>
      </w:r>
      <w:r>
        <w:rPr>
          <w:color w:val="000000"/>
        </w:rPr>
        <w:t xml:space="preserve">” </w:t>
      </w:r>
      <w:r>
        <w:rPr>
          <w:rFonts w:ascii="Times New Roman;serif" w:hAnsi="Times New Roman;serif"/>
          <w:b w:val="false"/>
          <w:color w:val="000000"/>
          <w:sz w:val="24"/>
        </w:rPr>
        <w:t>has the meaning assigned to such term in the definition of “Transactions”.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Transaction Documents</w:t>
      </w:r>
      <w:r>
        <w:rPr>
          <w:color w:val="000000"/>
        </w:rPr>
        <w:t xml:space="preserve">” </w:t>
      </w:r>
      <w:r>
        <w:rPr>
          <w:rFonts w:ascii="Times New Roman;serif" w:hAnsi="Times New Roman;serif"/>
          <w:b w:val="false"/>
          <w:color w:val="000000"/>
          <w:sz w:val="24"/>
        </w:rPr>
        <w:t>means the Note Documents.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Transactions</w:t>
      </w:r>
      <w:r>
        <w:rPr>
          <w:color w:val="000000"/>
        </w:rPr>
        <w:t xml:space="preserve">” </w:t>
      </w:r>
      <w:r>
        <w:rPr>
          <w:rFonts w:ascii="Times New Roman;serif" w:hAnsi="Times New Roman;serif"/>
          <w:b w:val="false"/>
          <w:color w:val="000000"/>
          <w:sz w:val="24"/>
        </w:rPr>
        <w:t xml:space="preserve">means, collectively, (a) the transactions to occur on or prior to the Restatement Effective Date pursuant to the Transaction Documents, (b) the execution, delivery and performance of the Transaction Documents, (c)  the Rights Offering, and (d) the </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payment of all fees, premiums, expenses and other transaction costs incurred in connection with the foregoing (the “</w:t>
      </w:r>
      <w:r>
        <w:rPr>
          <w:rFonts w:ascii="Times New Roman;serif" w:hAnsi="Times New Roman;serif"/>
          <w:b/>
          <w:color w:val="000000"/>
          <w:sz w:val="24"/>
        </w:rPr>
        <w:t>Transaction Costs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Trustee</w:t>
      </w:r>
      <w:r>
        <w:rPr>
          <w:color w:val="000000"/>
        </w:rPr>
        <w:t xml:space="preserve">” </w:t>
      </w:r>
      <w:r>
        <w:rPr>
          <w:rFonts w:ascii="Times New Roman;serif" w:hAnsi="Times New Roman;serif"/>
          <w:b w:val="false"/>
          <w:color w:val="000000"/>
          <w:sz w:val="24"/>
        </w:rPr>
        <w:t xml:space="preserve">has the meaning given to that term in the preamble hereto, and includes each other person appointed as a successor pursuant to </w:t>
      </w:r>
      <w:r>
        <w:rPr>
          <w:rFonts w:ascii="Times New Roman;serif" w:hAnsi="Times New Roman;serif"/>
          <w:b w:val="false"/>
          <w:color w:val="000000"/>
          <w:sz w:val="24"/>
          <w:u w:val="single"/>
        </w:rPr>
        <w:t>Article IX</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Type</w:t>
      </w:r>
      <w:r>
        <w:rPr>
          <w:color w:val="000000"/>
        </w:rPr>
        <w:t xml:space="preserve">” </w:t>
      </w:r>
      <w:r>
        <w:rPr>
          <w:rFonts w:ascii="Times New Roman;serif" w:hAnsi="Times New Roman;serif"/>
          <w:b w:val="false"/>
          <w:color w:val="000000"/>
          <w:sz w:val="24"/>
        </w:rPr>
        <w:t>when used in reference to any Note, means a reference to whether the rate of interest on such Note is determined by reference to Term SOFR or the Alternate Base Rate.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U.S. Government Securities Business Day</w:t>
      </w:r>
      <w:r>
        <w:rPr>
          <w:color w:val="000000"/>
        </w:rPr>
        <w:t xml:space="preserve">” </w:t>
      </w:r>
      <w:r>
        <w:rPr>
          <w:rFonts w:ascii="Times New Roman;serif" w:hAnsi="Times New Roman;serif"/>
          <w:b w:val="false"/>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UCC</w:t>
      </w:r>
      <w:r>
        <w:rPr>
          <w:color w:val="000000"/>
        </w:rPr>
        <w:t xml:space="preserve">” </w:t>
      </w:r>
      <w:r>
        <w:rPr>
          <w:rFonts w:ascii="Times New Roman;serif" w:hAnsi="Times New Roman;serif"/>
          <w:b w:val="false"/>
          <w:color w:val="000000"/>
          <w:sz w:val="24"/>
        </w:rPr>
        <w:t>means the Uniform Commercial Code as in effect from time to time (except as otherwise specified) in any applicable state or jurisdiction.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United States</w:t>
      </w:r>
      <w:r>
        <w:rPr>
          <w:color w:val="000000"/>
        </w:rPr>
        <w:t xml:space="preserve">” </w:t>
      </w:r>
      <w:r>
        <w:rPr>
          <w:rFonts w:ascii="Times New Roman;serif" w:hAnsi="Times New Roman;serif"/>
          <w:b w:val="false"/>
          <w:color w:val="000000"/>
          <w:sz w:val="24"/>
        </w:rPr>
        <w:t>or “</w:t>
      </w:r>
      <w:r>
        <w:rPr>
          <w:rFonts w:ascii="Times New Roman;serif" w:hAnsi="Times New Roman;serif"/>
          <w:b/>
          <w:color w:val="000000"/>
          <w:sz w:val="24"/>
        </w:rPr>
        <w:t>U.S.</w:t>
      </w:r>
      <w:r>
        <w:rPr>
          <w:color w:val="000000"/>
        </w:rPr>
        <w:t xml:space="preserve">” </w:t>
      </w:r>
      <w:r>
        <w:rPr>
          <w:rFonts w:ascii="Times New Roman;serif" w:hAnsi="Times New Roman;serif"/>
          <w:b w:val="false"/>
          <w:color w:val="000000"/>
          <w:sz w:val="24"/>
        </w:rPr>
        <w:t>means the United States of America.</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Unrestricted Cash</w:t>
      </w:r>
      <w:r>
        <w:rPr>
          <w:color w:val="000000"/>
        </w:rPr>
        <w:t xml:space="preserve">” </w:t>
      </w:r>
      <w:r>
        <w:rPr>
          <w:rFonts w:ascii="Times New Roman;serif" w:hAnsi="Times New Roman;serif"/>
          <w:b w:val="false"/>
          <w:color w:val="000000"/>
          <w:sz w:val="24"/>
        </w:rPr>
        <w:t>means, at any time, the aggregate amount of (a) unrestricted cash and Cash Equivalents held in accounts of Issuer and its Restricted Subsidiaries (whether or not held in an account pledged to the Trustee or Collateral Agent), and (b) cash and Cash Equivalents restricted in favor of lenders of Indebtedness under credit facilities (which shall include any cash and Cash Equivalents securing other Indebtedness secured by a Lien on Collateral along with such credit facilities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any such Liens are subordinated to or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the Liens in favor of the Trustee or Collateral Agent), including any Indebtedness incurred under this Indenture and the other Note Documents or the ABL Credit Agreement and the other ABL Documents);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for the avoidance of doubt, the proceeds of an Equity Cure Contribution shall not be included in this definition of Unrestricted Cash as of the last day of the fiscal quarter with respect to which such Equity Cure Contribution was made for any calculation of the Total Net Leverage Ratio for purposes of determining compliance with </w:t>
      </w:r>
      <w:r>
        <w:rPr>
          <w:rFonts w:ascii="Times New Roman;serif" w:hAnsi="Times New Roman;serif"/>
          <w:b w:val="false"/>
          <w:color w:val="000000"/>
          <w:sz w:val="24"/>
          <w:u w:val="single"/>
        </w:rPr>
        <w:t>Section 6.08(a)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Unrestricted Subsidiary</w:t>
      </w:r>
      <w:r>
        <w:rPr>
          <w:color w:val="000000"/>
        </w:rPr>
        <w:t xml:space="preserve">” </w:t>
      </w:r>
      <w:r>
        <w:rPr>
          <w:rFonts w:ascii="Times New Roman;serif" w:hAnsi="Times New Roman;serif"/>
          <w:b w:val="false"/>
          <w:color w:val="000000"/>
          <w:sz w:val="24"/>
        </w:rPr>
        <w:t xml:space="preserve">means (a) any Subsidiary of the Issuer that is formed or acquired after the Closing Date and for which the Unrestricted Subsidiary Holder Consent has been obtained, (b) any Restricted Subsidiary subsequently designated as an Unrestricted Subsidiary by the Issuer and for which the Unrestricted Subsidiary Holder Consent has been obtained, and (c) each Subsidiary of an Unrestricted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in the case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(I) such designation shall be deemed to be an Investment made on the date of such designation in an amount equal to the fair market value of the investment therein (as determined in good faith by the Issuer) and such designation shall be permitted only to the extent permitted under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on the date of such designation, (II) there shall not be an Unrestricted Subsidiary designated hereunder that is not also designated as an Unrestricted </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Subsidiary (or similar equivalent term) under the ABL Credit Agreement and under any documentation governing any Permitted Additional Debt or other Indebtedness, in each case, with an individual outstanding principal amount exceeding $5,000,000, (III) no Default or Event of Default shall have occurred and be continuing or would immediately result from such designation after giving pro forma effect thereto (including to the re-designation of Indebtedness and Liens on the assets of such Subsidiary as Indebtedness and Liens on assets of an Unrestricted Subsidiary) and (IV) no Unrestricted Subsidiary may own or hold, and none of the Issuer or any of the Restricted Subsidiaries may transfer (including by granting an exclusive license) or contribute to any Unrestricted Subsidiary, any asset that is material to the business of the Issuer and its Subsidiaries taken as a whole. The Issuer may, by written notice to the Trustee, re-designate any Unrestricted Subsidiary as a Restricted Subsidiary (which shall constitute a reduction in any outstanding Investment) (but may thereafter not re-designate such Subsidiary as an Unrestricted Subsidiary), and thereafter, such Subsidiary shall no longer constitute an Unrestricted Subsidiary, but only if no Event of Default would immediately result from such re-designation (including the re-designation of Indebtedness and Liens on the assets of such Subsidiary as Indebtedness and Liens on assets of a Restricted Subsidiary and the deemed return on any Investment in such Unrestricted Subsidiary pursuant to </w:t>
      </w:r>
      <w:r>
        <w:rPr>
          <w:rFonts w:ascii="Times New Roman;serif" w:hAnsi="Times New Roman;serif"/>
          <w:b w:val="false"/>
          <w:color w:val="000000"/>
          <w:sz w:val="24"/>
          <w:u w:val="single"/>
        </w:rPr>
        <w:t>clause (y)</w:t>
      </w:r>
      <w:r>
        <w:rPr>
          <w:rFonts w:ascii="Times New Roman;serif" w:hAnsi="Times New Roman;serif"/>
          <w:b w:val="false"/>
          <w:color w:val="000000"/>
          <w:sz w:val="24"/>
        </w:rPr>
        <w:t>). The designation of any Unrestricted Subsidiary as a Restricted Subsidiary shall constitute (x) the incurrence by such Restricted Subsidiary at the time of such designation of any Indebtedness or Liens of such Restricted Subsidiary outstanding at such time (after giving effect to, and taking into account, any payoff or termination of Indebtedness or any release or termination of Liens, in each case, occurring in connection or substantially concurrently therewith) and (y) constitute a return on any Investment by the Issuer in such Unrestricted Subsidiary in an amount equal to the fair market value (as determined in good faith by the Issuer) at the date of such prior designation of such Restricted Subsidiary as an Unrestricted Subsidiary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foregoing is without duplication of any increase to the Cumulative Amount pursuant to </w:t>
      </w:r>
      <w:r>
        <w:rPr>
          <w:rFonts w:ascii="Times New Roman;serif" w:hAnsi="Times New Roman;serif"/>
          <w:b w:val="false"/>
          <w:color w:val="000000"/>
          <w:sz w:val="24"/>
          <w:u w:val="single"/>
        </w:rPr>
        <w:t>clause (viii)</w:t>
      </w:r>
      <w:r>
        <w:rPr>
          <w:color w:val="000000"/>
        </w:rPr>
        <w:t xml:space="preserve"> </w:t>
      </w:r>
      <w:r>
        <w:rPr>
          <w:rFonts w:ascii="Times New Roman;serif" w:hAnsi="Times New Roman;serif"/>
          <w:b w:val="false"/>
          <w:color w:val="000000"/>
          <w:sz w:val="24"/>
        </w:rPr>
        <w:t>of the definition thereof). As of the Closing Date, none of the Subsidiaries of the Issuer is an Unrestricted Subsidiary, and in no event shall the Issuer become an Unrestricted Subsidiary.</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Unrestricted Subsidiary Holder Consent</w:t>
      </w:r>
      <w:r>
        <w:rPr>
          <w:color w:val="000000"/>
        </w:rPr>
        <w:t xml:space="preserve">” </w:t>
      </w:r>
      <w:r>
        <w:rPr>
          <w:rFonts w:ascii="Times New Roman;serif" w:hAnsi="Times New Roman;serif"/>
          <w:b w:val="false"/>
          <w:color w:val="000000"/>
          <w:sz w:val="24"/>
        </w:rPr>
        <w:t>means the prior written consent of the Controlling Parties, provided at their sole discretion, in response to a written request from the Issuer to the Controlling Parties and the Trustee (which may be made by e-mail) to designate a Subsidiary or Restricted Subsidiary as an Unrestricted Subsidiary hereunder; provided, that (a) such request includes a certification of a Responsible Officer of the Issuer specifying that all of the applicable conditions set forth in the first proviso of the definition of “Unrestricted Subsidiary” have been satisfied and (b) if the Controlling Parties do not provide a response to such written request within 10 Business Days of the date on which such request is received by the Controlling Parties and the Trustee, the Controlling Parties shall be deemed to have provided their consent to such designation.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Unsecured Indebtedness</w:t>
      </w:r>
      <w:r>
        <w:rPr>
          <w:color w:val="000000"/>
        </w:rPr>
        <w:t xml:space="preserve">” </w:t>
      </w:r>
      <w:r>
        <w:rPr>
          <w:rFonts w:ascii="Times New Roman;serif" w:hAnsi="Times New Roman;serif"/>
          <w:b w:val="false"/>
          <w:color w:val="000000"/>
          <w:sz w:val="24"/>
        </w:rPr>
        <w:t>means unsecured Indebtedness for borrowed money of the Note Parties and their Restricted Subsidiaries.</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Vice President</w:t>
      </w:r>
      <w:r>
        <w:rPr>
          <w:color w:val="000000"/>
        </w:rPr>
        <w:t>”</w:t>
      </w:r>
      <w:r>
        <w:rPr>
          <w:rFonts w:ascii="Times New Roman;serif" w:hAnsi="Times New Roman;serif"/>
          <w:b w:val="false"/>
          <w:color w:val="000000"/>
          <w:sz w:val="24"/>
        </w:rPr>
        <w:t>, when used with respect to the Issuer, means any vice president, whether or not designated by a number or a word or words added before or after the title “vice president”.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Voting Stock</w:t>
      </w:r>
      <w:r>
        <w:rPr>
          <w:color w:val="000000"/>
        </w:rPr>
        <w:t xml:space="preserve">” </w:t>
      </w:r>
      <w:r>
        <w:rPr>
          <w:rFonts w:ascii="Times New Roman;serif" w:hAnsi="Times New Roman;serif"/>
          <w:b w:val="false"/>
          <w:color w:val="000000"/>
          <w:sz w:val="24"/>
        </w:rPr>
        <w:t>means, with respect to any person, any class or classes of Equity Interests pursuant to which the holders thereof have the general voting power under ordinary circumstances to elect at least a majority of the Board of Directors of such person.</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Warrants</w:t>
      </w:r>
      <w:r>
        <w:rPr>
          <w:color w:val="000000"/>
        </w:rPr>
        <w:t xml:space="preserve">” </w:t>
      </w:r>
      <w:r>
        <w:rPr>
          <w:rFonts w:ascii="Times New Roman;serif" w:hAnsi="Times New Roman;serif"/>
          <w:b w:val="false"/>
          <w:color w:val="000000"/>
          <w:sz w:val="24"/>
        </w:rPr>
        <w:t>means the warrants to purchase shares of Common Stock to be issued to the applicable Holders pursuant to the Securities Purchase Agreement.</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Weighted Average Life to Maturity</w:t>
      </w:r>
      <w:r>
        <w:rPr>
          <w:color w:val="000000"/>
        </w:rPr>
        <w:t xml:space="preserve">” </w:t>
      </w:r>
      <w:r>
        <w:rPr>
          <w:rFonts w:ascii="Times New Roman;serif" w:hAnsi="Times New Roman;serif"/>
          <w:b w:val="false"/>
          <w:color w:val="000000"/>
          <w:sz w:val="24"/>
        </w:rPr>
        <w:t xml:space="preserve">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serif" w:hAnsi="Times New Roman;serif"/>
          <w:b w:val="false"/>
          <w:i/>
          <w:color w:val="000000"/>
          <w:sz w:val="24"/>
        </w:rPr>
        <w:t>provided</w:t>
      </w:r>
      <w:r>
        <w:rPr>
          <w:rFonts w:ascii="Times New Roman;serif" w:hAnsi="Times New Roman;serif"/>
          <w:b w:val="false"/>
          <w:color w:val="000000"/>
          <w:sz w:val="24"/>
        </w:rPr>
        <w:t>, that, for purposes of determining the Weighted Average Life to Maturity of any Indebtedness or Disqualified Capital Stock that is being modified, refinanced, refunded, renewed, replaced or extended, the effects of any prepayments or amortization made on such Indebtedness or Disqualified Capital Stock prior to the date of the applicable modification, refinancing, refunding, renewal, replacement or extension shall be disregarded.</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Wholly Owned Domestic Subsidiary</w:t>
      </w:r>
      <w:r>
        <w:rPr>
          <w:color w:val="000000"/>
        </w:rPr>
        <w:t xml:space="preserve">” </w:t>
      </w:r>
      <w:r>
        <w:rPr>
          <w:rFonts w:ascii="Times New Roman;serif" w:hAnsi="Times New Roman;serif"/>
          <w:b w:val="false"/>
          <w:color w:val="000000"/>
          <w:sz w:val="24"/>
        </w:rPr>
        <w:t>means, at any date a Wholly Owned Subsidiary which is a Domestic Subsidiary at such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Wholly Owned Restricted Subsidiary</w:t>
      </w:r>
      <w:r>
        <w:rPr>
          <w:color w:val="000000"/>
        </w:rPr>
        <w:t xml:space="preserve">” </w:t>
      </w:r>
      <w:r>
        <w:rPr>
          <w:rFonts w:ascii="Times New Roman;serif" w:hAnsi="Times New Roman;serif"/>
          <w:b w:val="false"/>
          <w:color w:val="000000"/>
          <w:sz w:val="24"/>
        </w:rPr>
        <w:t>means, at any date a Wholly Owned Subsidiary which is a Restricted Subsidiary at such date.</w:t>
      </w:r>
    </w:p>
    <w:p>
      <w:pPr>
        <w:pStyle w:val="TextBody"/>
        <w:bidi w:val="0"/>
        <w:spacing w:lineRule="auto" w:line="288" w:before="0" w:after="240"/>
        <w:ind w:left="0" w:right="0" w:firstLine="1440"/>
        <w:jc w:val="both"/>
        <w:rPr/>
      </w:pPr>
      <w:r>
        <w:rPr>
          <w:color w:val="000000"/>
        </w:rPr>
        <w:t>“</w:t>
      </w:r>
      <w:r>
        <w:rPr>
          <w:rFonts w:ascii="Times New Roman;serif" w:hAnsi="Times New Roman;serif"/>
          <w:b/>
          <w:color w:val="000000"/>
          <w:sz w:val="24"/>
        </w:rPr>
        <w:t>Wholly Owned Subsidiary</w:t>
      </w:r>
      <w:r>
        <w:rPr>
          <w:color w:val="000000"/>
        </w:rPr>
        <w:t xml:space="preserve">” </w:t>
      </w:r>
      <w:r>
        <w:rPr>
          <w:rFonts w:ascii="Times New Roman;serif" w:hAnsi="Times New Roman;serif"/>
          <w:b w:val="false"/>
          <w:color w:val="000000"/>
          <w:sz w:val="24"/>
        </w:rPr>
        <w:t>means, with respect to any Person at any date, any Subsidiary of such Person all of the shares of capital stock or other ownership interests of which (except directors’ qualifying shares or other nominal issuance in order to comply with local laws) are at the time directly or indirectly owned by such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1.02    </w:t>
      </w:r>
      <w:r>
        <w:rPr>
          <w:rFonts w:ascii="Times New Roman;serif" w:hAnsi="Times New Roman;serif"/>
          <w:b w:val="false"/>
          <w:color w:val="000000"/>
          <w:sz w:val="24"/>
          <w:u w:val="single"/>
        </w:rPr>
        <w:t>Classification of Notes</w:t>
      </w:r>
      <w:r>
        <w:rPr>
          <w:rFonts w:ascii="Times New Roman;serif" w:hAnsi="Times New Roman;serif"/>
          <w:b w:val="false"/>
          <w:color w:val="000000"/>
          <w:sz w:val="24"/>
        </w:rPr>
        <w:t>. For purposes of this Indenture, Notes may be classified and referred to by Type (</w:t>
      </w:r>
      <w:r>
        <w:rPr>
          <w:rFonts w:ascii="Times New Roman;serif" w:hAnsi="Times New Roman;serif"/>
          <w:b w:val="false"/>
          <w:i/>
          <w:color w:val="000000"/>
          <w:sz w:val="24"/>
        </w:rPr>
        <w:t>e.g.</w:t>
      </w:r>
      <w:r>
        <w:rPr>
          <w:rFonts w:ascii="Times New Roman;serif" w:hAnsi="Times New Roman;serif"/>
          <w:b w:val="false"/>
          <w:color w:val="000000"/>
          <w:sz w:val="24"/>
        </w:rPr>
        <w:t>, a “</w:t>
      </w:r>
      <w:r>
        <w:rPr>
          <w:rFonts w:ascii="Times New Roman;serif" w:hAnsi="Times New Roman;serif"/>
          <w:b/>
          <w:color w:val="000000"/>
          <w:sz w:val="24"/>
        </w:rPr>
        <w:t>SOFR Note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1.03    </w:t>
      </w:r>
      <w:r>
        <w:rPr>
          <w:rFonts w:ascii="Times New Roman;serif" w:hAnsi="Times New Roman;serif"/>
          <w:b w:val="false"/>
          <w:color w:val="000000"/>
          <w:sz w:val="24"/>
          <w:u w:val="single"/>
        </w:rPr>
        <w:t>Terms Generally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Note Document, agreement, instrument or other document herein shall be construed as referring to such agreement, </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instrument or other document as from time to time amended, restated, amended and restated, supplemented, replaced or otherwise modified (subject to any restrictions on such amendments, supplements, replacements or modifications set forth herein or any Intercreditor Agreement), (ii) any reference herein to any person shall be construed to include such person’s successors and assigns (subject to any restrictions on assignments set forth herein), (iii) the words “herein,” “hereof” and “hereunder,” and words of similar import, shall be construed to refer to this Indenture in its entirety and not to any particular provision hereof, (iv) all references herein to Articles, Sections, Exhibits and Schedules shall be construed to refer to Articles and Sections of, and Exhibits and Schedules to, this Indenture, (v) any reference to any law or regulation herein shall refer to such law or regulation as amended, modified or supplemented from time to time, (vi) the words “asset” and “property” shall be construed to have the same meaning and effect and to refer to any and all tangible and intangible assets and properties, including cash, securities, accounts and contract rights, and (vii) all references to the knowledge of any Group Member or facts known by any Group Member shall mean actual knowledge of any Responsible Officer of such Person. Any Responsible Officer executing any Note Document or any certificate or other document made or delivered pursuant hereto or thereto, so executes or certifies in his/her capacity as a Responsible Officer on behalf of the applicable Note Party and not in any individual capacity.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term “enforceability” and its derivatives when used to describe the enforceability of an agreement shall mean that such agreement is enforceable except as enforceability may be limited by any Debtor Relief Law and by general equitable principles (whether enforcement is sought by proceedings in equity or at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terms used in this Indenture that are defined in the UCC shall be construed and defined as set forth in the UCC unless otherwise defined herein; </w:t>
      </w:r>
      <w:r>
        <w:rPr>
          <w:rFonts w:ascii="Times New Roman;serif" w:hAnsi="Times New Roman;serif"/>
          <w:b w:val="false"/>
          <w:i/>
          <w:color w:val="000000"/>
          <w:sz w:val="24"/>
        </w:rPr>
        <w:t>provided</w:t>
      </w:r>
      <w:r>
        <w:rPr>
          <w:rFonts w:ascii="Times New Roman;serif" w:hAnsi="Times New Roman;serif"/>
          <w:b w:val="false"/>
          <w:color w:val="000000"/>
          <w:sz w:val="24"/>
        </w:rPr>
        <w:t>, that, to the extent that the UCC is used to define any term herein and such term is defined differently in different Articles of the UCC, the definition of such term contained in Article 9 of the UCC shall govern.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Any reference herein to a merger, transfer, consolidation, amalgamation,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amalgamation, consolidation, assignment, sale or transfer, or similar term, as applicable, to, of or with a separate Person. Any division of a limited liability company shall constitute a separate Person hereunder (and each division of any limited liability company that is a Subsidiary, Restricted Subsidiary, Unrestricted Subsidiary, joint venture or any other like term shall also constitute such a Person or entity).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References in this Indenture to the “principal amount” of the Notes shall in all circumstances include the amount of PIK Interest that has been added to the outstanding principal amount of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set forth herein, nothing herein shall prohibit or restrict (i) any Subsidiary that is not a Note Party from dividing or sub-dividing into </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one or more divisions or (ii) any Note Party from dividing or sub-dividing into one or more divisions so long as (A) the divided or sub-divided entities are both Note Parties or (B) at such time, applicable basket capacity (or flexibility, as applicable) would be available pursuant to </w:t>
      </w:r>
      <w:r>
        <w:rPr>
          <w:rFonts w:ascii="Times New Roman;serif" w:hAnsi="Times New Roman;serif"/>
          <w:b w:val="false"/>
          <w:color w:val="000000"/>
          <w:sz w:val="24"/>
          <w:u w:val="single"/>
        </w:rPr>
        <w:t>Section 6.03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6.06</w:t>
      </w:r>
      <w:r>
        <w:rPr>
          <w:color w:val="000000"/>
        </w:rPr>
        <w:t xml:space="preserve"> </w:t>
      </w:r>
      <w:r>
        <w:rPr>
          <w:rFonts w:ascii="Times New Roman;serif" w:hAnsi="Times New Roman;serif"/>
          <w:b w:val="false"/>
          <w:color w:val="000000"/>
          <w:sz w:val="24"/>
        </w:rPr>
        <w:t xml:space="preserve">(as applicable) to give effect to such division or sub-division as if the creation of such division or sub-division constituted an Investment, disposition, merger, transfer, consolidation, amalgamation, assignment, sale or dividend, in each case, as and to the extent applicable (and, for the avoidance of doubt, such division or sub-division made in reliance on this </w:t>
      </w:r>
      <w:r>
        <w:rPr>
          <w:rFonts w:ascii="Times New Roman;serif" w:hAnsi="Times New Roman;serif"/>
          <w:b w:val="false"/>
          <w:color w:val="000000"/>
          <w:sz w:val="24"/>
          <w:u w:val="single"/>
        </w:rPr>
        <w:t>clause (B)</w:t>
      </w:r>
      <w:r>
        <w:rPr>
          <w:color w:val="000000"/>
        </w:rPr>
        <w:t> </w:t>
      </w:r>
      <w:r>
        <w:rPr>
          <w:rFonts w:ascii="Times New Roman;serif" w:hAnsi="Times New Roman;serif"/>
          <w:b w:val="false"/>
          <w:color w:val="000000"/>
          <w:sz w:val="24"/>
        </w:rPr>
        <w:t>shall be deemed to constitute a utilization of the applicable basket capacity (or flexibility, as applicable) for the purposes of this Indenture and the other Note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1.04    </w:t>
      </w:r>
      <w:r>
        <w:rPr>
          <w:rFonts w:ascii="Times New Roman;serif" w:hAnsi="Times New Roman;serif"/>
          <w:b w:val="false"/>
          <w:color w:val="000000"/>
          <w:sz w:val="24"/>
          <w:u w:val="single"/>
        </w:rPr>
        <w:t>Accounting Terms; GAAP; Tax Laws</w:t>
      </w:r>
      <w:r>
        <w:rPr>
          <w:rFonts w:ascii="Times New Roman;serif" w:hAnsi="Times New Roman;serif"/>
          <w:b w:val="false"/>
          <w:color w:val="000000"/>
          <w:sz w:val="24"/>
        </w:rPr>
        <w:t xml:space="preserve">. Except as otherwise expressly provided herein, all financial statements to be delivered pursuant to this Indenture shall be prepared in accordance with GAAP as in effect from time to time and all terms of an accounting or financial nature shall be construed and interpreted in accordance with GAAP, as in effect on the date hereof. If at any time any change in GAAP or Tax Change would affect the computation of any financial ratio, standard or term set forth in any Note Document, and the Issuer or the Controlling Parties shall so request, the Controlling Parties and the Issuer shall negotiate in good faith to amend such ratio, standard or term to preserve the original intent thereof in light of such change in GAAP or Tax Change (subject to approval by the Issuer);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until so amended, such ratio, standard or term shall continue to be computed in accordance with GAAP immediately prior to such change therein or, in the case of a Tax Change, as if the Applicable Tax Laws immediately prior to such change therein continued to apply, and the Issuer shall provide to the Trustee and the Holders within five (5) days after delivery of each certificate or financial report required hereunder that is affected thereby a written statement of a Financial Officer of Issuer setting forth in reasonable detail the differences (including any differences that would affect any calculations relating to the Financial Covenants as set forth in </w:t>
      </w:r>
      <w:r>
        <w:rPr>
          <w:rFonts w:ascii="Times New Roman;serif" w:hAnsi="Times New Roman;serif"/>
          <w:b w:val="false"/>
          <w:color w:val="000000"/>
          <w:sz w:val="24"/>
          <w:u w:val="single"/>
        </w:rPr>
        <w:t>Section 6.08</w:t>
      </w:r>
      <w:r>
        <w:rPr>
          <w:rFonts w:ascii="Times New Roman;serif" w:hAnsi="Times New Roman;serif"/>
          <w:b w:val="false"/>
          <w:color w:val="000000"/>
          <w:sz w:val="24"/>
        </w:rPr>
        <w:t xml:space="preserve">) that would have resulted if such financial statements had been prepared giving effect to such change;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color w:val="000000"/>
        </w:rPr>
        <w:t xml:space="preserve"> </w:t>
      </w:r>
      <w:r>
        <w:rPr>
          <w:rFonts w:ascii="Times New Roman;serif" w:hAnsi="Times New Roman;serif"/>
          <w:b w:val="false"/>
          <w:color w:val="000000"/>
          <w:sz w:val="24"/>
        </w:rPr>
        <w:t>that, to the extent any such change would have a negative impact on the Issuer with respect to any ratio, financial calculation, financial reporting items or requirement computation, the Issuer may (in its sole discretion) elect to compute or report such ratio, financial calculation, financial reporting item or requirement in accordance with GAAP and/or the Applicable Tax Laws, as the case may be, as changed and accordingly, if such an election is made, the Issuer shall not be required to deliver the written statement described in the immediately preceding proviso with respect thereto. Notwithstanding anything to the contrary, for all purposes under this Indenture and the other Note Documents, including negative covenants, financial covenants and component definitions, GAAP will be deemed to treat operating leases and Capital Leases in a manner consistent with their current treatment under GAAP as in effect on the Restatement Effective Date, notwithstanding any modifications or interpretive changes thereto that may occur thereafter.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herein, all financial ratios and tests (including the Total Net Leverage Ratio and the amount of Consolidated Total Assets and Consolidated EBITDA) contained in this Indenture (other than for purposes of calculating Excess Cash Flow) that are calculated with respect to any Test Period during which any Subject Transaction occurs shall be calculated with respect to such Test Period and such Subject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Transaction on a Pro Forma Basis. Further, if since the beginning of any such Test Period and on or prior to the date of any required calculation of any financial ratio or test (a) any Subject Transaction shall have occurred or (b) any Person that subsequently became a Restricted Subsidiary or was merged, amalgamated or consolidated with or into Issuer or any of its Restricted Subsidiaries since the beginning of such Test Period shall have consummated any Subject Transaction, then, in each case, any applicable financial ratio or test shall be calculated on a Pro Forma Basis for such Test Period as if such Subject Transaction had occurred at the beginning of the applicable Test Period (it being understood, for the avoidance of doubt, that solely for purposes of calculating quarterly compliance with </w:t>
      </w:r>
      <w:r>
        <w:rPr>
          <w:rFonts w:ascii="Times New Roman;serif" w:hAnsi="Times New Roman;serif"/>
          <w:b w:val="false"/>
          <w:color w:val="000000"/>
          <w:sz w:val="24"/>
          <w:u w:val="single"/>
        </w:rPr>
        <w:t>Section 6.08</w:t>
      </w:r>
      <w:r>
        <w:rPr>
          <w:rFonts w:ascii="Times New Roman;serif" w:hAnsi="Times New Roman;serif"/>
          <w:b w:val="false"/>
          <w:color w:val="000000"/>
          <w:sz w:val="24"/>
        </w:rPr>
        <w:t>, the date of the required calculation shall be the last day of the Test Period, and no Subject Transaction occurring thereafter shall be taken into account).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Other than as provided in </w:t>
      </w:r>
      <w:r>
        <w:rPr>
          <w:rFonts w:ascii="Times New Roman;serif" w:hAnsi="Times New Roman;serif"/>
          <w:b w:val="false"/>
          <w:color w:val="000000"/>
          <w:sz w:val="24"/>
          <w:u w:val="single"/>
        </w:rPr>
        <w:t>Section 1.06</w:t>
      </w:r>
      <w:r>
        <w:rPr>
          <w:rFonts w:ascii="Times New Roman;serif" w:hAnsi="Times New Roman;serif"/>
          <w:b w:val="false"/>
          <w:color w:val="000000"/>
          <w:sz w:val="24"/>
        </w:rPr>
        <w:t xml:space="preserve">, for purposes of determining the permissibility of any action, change, transaction or event that by the terms of the Note Documents requires a calculation of any financial ratio or test (including the Total Net Leverage Ratio and the amount of Consolidated EBITDA and Consolidated Total Assets), (i) such financial ratio or test shall be calculated at the time such action is taken, such change is made, such transaction is consummated or such event occurs, as the case may be, and no Default or Event of Default shall be deemed to have occurred solely as a result of a change in such financial ratio or test occurring after the time such action is taken, such change is made, such transaction is consummated or such event occurs, as the case may be and (ii) such financial ratio or test shall be calculated (on a Pro Forma Basis if applicable) using the most recent financial statements which have been delivered by the Note Parties in accordance with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Notwithstanding anything to the contrary herein, to the extent compliance with a financial ratio or test is calculated prior to the date financial statements are first delivered under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such calculation shall use the Initial Financial Statements.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the defined terms “Secured Net Leverage Ratio”, “Total Net Leverage Ratio”, “Consolidated Total Assets” and “Consolidated EBITDA” when used in this Indenture or any other Note Document shall be deemed to refer to such ratio or amount with respect to the Group Members unless otherwise expressly set forth herein or therein.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At any time prior to the delivery of the financial statements in respect of the fiscal quarter of Issuer ended September 30, 2026, any provision requiring the compliance with the Financial Covenants on a Pro Forma Basis shall be made assuming that compliance with such Financial Covenants set forth in </w:t>
      </w:r>
      <w:r>
        <w:rPr>
          <w:rFonts w:ascii="Times New Roman;serif" w:hAnsi="Times New Roman;serif"/>
          <w:b w:val="false"/>
          <w:color w:val="000000"/>
          <w:sz w:val="24"/>
          <w:u w:val="single"/>
        </w:rPr>
        <w:t>Section 6.08</w:t>
      </w:r>
      <w:r>
        <w:rPr>
          <w:color w:val="000000"/>
        </w:rPr>
        <w:t xml:space="preserve"> </w:t>
      </w:r>
      <w:r>
        <w:rPr>
          <w:rFonts w:ascii="Times New Roman;serif" w:hAnsi="Times New Roman;serif"/>
          <w:b w:val="false"/>
          <w:color w:val="000000"/>
          <w:sz w:val="24"/>
        </w:rPr>
        <w:t>for the Test Period ending on September 30, 2026 is required with respect to the most recently ended Test Period prior to such time before delivery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1.05    </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1.06    </w:t>
      </w:r>
      <w:r>
        <w:rPr>
          <w:rFonts w:ascii="Times New Roman;serif" w:hAnsi="Times New Roman;serif"/>
          <w:b w:val="false"/>
          <w:color w:val="000000"/>
          <w:sz w:val="24"/>
          <w:u w:val="single"/>
        </w:rPr>
        <w:t>Limited Condition Acquisition</w:t>
      </w:r>
      <w:r>
        <w:rPr>
          <w:rFonts w:ascii="Times New Roman;serif" w:hAnsi="Times New Roman;serif"/>
          <w:b w:val="false"/>
          <w:color w:val="000000"/>
          <w:sz w:val="24"/>
        </w:rPr>
        <w:t xml:space="preserve">. Notwithstanding anything to the contrary herein, for purposes of (a) measuring the relevant ratios (including the Total Net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Leverage Ratio (including, without limitation, for purposes of determining pro forma compliance with the Financial Covenants as a condition to effecting any such transaction)) and baskets (including baskets measured as a percentage of Consolidated EBITDA or Consolidated Total Assets) with respect to the incurrence of any Indebtedness (including any Additional Notes and Permitted Additional Debt but excluding ABL Loans) or Liens or the making of any Permitted Acquisitions or other similar Investments or (b) determining compliance with representations and warranties or the occurrence of any Default or Event of Default, in the case of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rFonts w:ascii="Times New Roman;serif" w:hAnsi="Times New Roman;serif"/>
          <w:b w:val="false"/>
          <w:color w:val="000000"/>
          <w:sz w:val="24"/>
        </w:rPr>
        <w:t>, in connection with a Limited Condition Acquisition, if the Issuer has made an LCT Election with respect to such Limited Condition Acquisition, the date of determination of whether any such action is permitted hereunder (including, in the case of calculating Consolidated EBITDA, the reference date for determining which Test Period shall be the most recently ended Test Period for purposes of making such calculation) shall be deemed to be the date the definitive agreements for (or in the case of a Limited Condition Acquisition that involves some other manner of establishing a binding obligation (including, without limitation under local law), such other binding obligations to consummate) such Limited Condition Acquisition are entered into or, at the Issuer’s election, the date the applicable Limited Condition Acquisition is declared (including through public announcement) (the “</w:t>
      </w:r>
      <w:r>
        <w:rPr>
          <w:rFonts w:ascii="Times New Roman;serif" w:hAnsi="Times New Roman;serif"/>
          <w:b/>
          <w:color w:val="000000"/>
          <w:sz w:val="24"/>
        </w:rPr>
        <w:t>LCT Test Date</w:t>
      </w:r>
      <w:r>
        <w:rPr>
          <w:color w:val="000000"/>
        </w:rPr>
        <w:t>”</w:t>
      </w:r>
      <w:r>
        <w:rPr>
          <w:rFonts w:ascii="Times New Roman;serif" w:hAnsi="Times New Roman;serif"/>
          <w:b w:val="false"/>
          <w:color w:val="000000"/>
          <w:sz w:val="24"/>
        </w:rPr>
        <w:t xml:space="preserve">), and if, after giving pro forma effect to such Limited Condition Acquisition and the other transactions to be entered into in connection therewith as if they had occurred at the beginning of the most recent Test Period ending prior to the LCT Test Date, the Group Members could have taken such action on the relevant LCT Test Date in compliance with such ratio, basket, representation and warranty, or Default or Event of Default “blocker” such ratio, basket, or representation and warranty or Default or Event of Default “blocker” shall be deemed to have been complied with (and no Default or Event of Default shall be deemed to have arisen thereafter with respect to such Limited Condition Acquisition from any such failure to comply with such ratio, basket, or representation and warranty). For the avoidance of doubt, if the Issuer has made an LCT Election and any of the ratios, baskets, Default or Event of Default “blockers” or representations and warranties for which compliance was determined or tested as of the LCT Test Date would thereafter have failed to have been satisfied as a result of fluctuations in any such ratio or basket, including due to fluctuations in Consolidated EBITDA, Unrestricted Cash, Consolidated Total Indebtedness or Consolidated Total Assets or otherwise, at or prior to the consummation of the relevant transaction or action, such baskets, ratios or representations and warranties will not be deemed to have failed to have been satisfied as a result of such fluctuations or otherwise. If the Issuer has made an LCT Election for any Limited Condition Acquisition, then in connection with any subsequent calculation of any ratio or basket on or following the relevant LCT Test Date and prior to the earlier of (i) the date on which such Limited Condition Acquisition is consummated or (ii) the date that the definitive agreement for (or in the case of a Limited Condition Acquisition that involves some other manner of establishing a binding obligation under local law, such other binding obligations to consummate) such Limited Condition Acquisition is terminated or expires, in each case without consummation of such Limited Condition Acquisition, any such ratio (other than the Financial Covenant under </w:t>
      </w:r>
      <w:r>
        <w:rPr>
          <w:rFonts w:ascii="Times New Roman;serif" w:hAnsi="Times New Roman;serif"/>
          <w:b w:val="false"/>
          <w:color w:val="000000"/>
          <w:sz w:val="24"/>
          <w:u w:val="single"/>
        </w:rPr>
        <w:t>Section 6.08(a)</w:t>
      </w:r>
      <w:r>
        <w:rPr>
          <w:rFonts w:ascii="Times New Roman;serif" w:hAnsi="Times New Roman;serif"/>
          <w:b w:val="false"/>
          <w:color w:val="000000"/>
          <w:sz w:val="24"/>
        </w:rPr>
        <w:t>) or basket shall be calculated on a Pro Forma Basis assuming such Limited Condition Acquisition and other transactions in connection therewith (including any incurrence of Indebtedness and the use of proceeds thereof) have been consummated.</w:t>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1.07    </w:t>
      </w:r>
      <w:r>
        <w:rPr>
          <w:rFonts w:ascii="Times New Roman;serif" w:hAnsi="Times New Roman;serif"/>
          <w:b w:val="false"/>
          <w:color w:val="000000"/>
          <w:sz w:val="24"/>
          <w:u w:val="single"/>
        </w:rPr>
        <w:t>Times of Day</w:t>
      </w:r>
      <w:r>
        <w:rPr>
          <w:rFonts w:ascii="Times New Roman;serif" w:hAnsi="Times New Roman;serif"/>
          <w:b w:val="false"/>
          <w:color w:val="000000"/>
          <w:sz w:val="24"/>
        </w:rPr>
        <w:t>. Unless otherwise specified, all references herein to times of day shall be references to New York City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1.08    </w:t>
      </w:r>
      <w:r>
        <w:rPr>
          <w:rFonts w:ascii="Times New Roman;serif" w:hAnsi="Times New Roman;serif"/>
          <w:b w:val="false"/>
          <w:color w:val="000000"/>
          <w:sz w:val="24"/>
          <w:u w:val="single"/>
        </w:rPr>
        <w:t>Deliveries</w:t>
      </w:r>
      <w:r>
        <w:rPr>
          <w:rFonts w:ascii="Times New Roman;serif" w:hAnsi="Times New Roman;serif"/>
          <w:b w:val="false"/>
          <w:color w:val="000000"/>
          <w:sz w:val="24"/>
        </w:rPr>
        <w:t>. Notwithstanding anything herein to the contrary, whenever any document, agreement, payment or other item is required by any Note Document to be delivered, made or completed on a day that is not a Business Day, the due date thereof shall be extended to the next succeeding Business Day.</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1.09    </w:t>
      </w:r>
      <w:r>
        <w:rPr>
          <w:rFonts w:ascii="Times New Roman;serif" w:hAnsi="Times New Roman;serif"/>
          <w:b w:val="false"/>
          <w:color w:val="000000"/>
          <w:sz w:val="24"/>
          <w:u w:val="single"/>
        </w:rPr>
        <w:t>Schedules and Exhibits</w:t>
      </w:r>
      <w:r>
        <w:rPr>
          <w:rFonts w:ascii="Times New Roman;serif" w:hAnsi="Times New Roman;serif"/>
          <w:b w:val="false"/>
          <w:color w:val="000000"/>
          <w:sz w:val="24"/>
        </w:rPr>
        <w:t>. All of the schedules and exhibits attached to this Indenture shall be deemed incorporated herein by reference.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    </w:t>
      </w:r>
      <w:r>
        <w:rPr>
          <w:rFonts w:ascii="Times New Roman;serif" w:hAnsi="Times New Roman;serif"/>
          <w:b w:val="false"/>
          <w:color w:val="000000"/>
          <w:sz w:val="24"/>
          <w:u w:val="single"/>
        </w:rPr>
        <w:t>Currency Generally</w:t>
      </w:r>
      <w:r>
        <w:rPr>
          <w:rFonts w:ascii="Times New Roman;serif" w:hAnsi="Times New Roman;serif"/>
          <w:b w:val="false"/>
          <w:color w:val="000000"/>
          <w:sz w:val="24"/>
        </w:rPr>
        <w:t xml:space="preserve">. For purposes of determining compliance with </w:t>
      </w:r>
      <w:r>
        <w:rPr>
          <w:rFonts w:ascii="Times New Roman;serif" w:hAnsi="Times New Roman;serif"/>
          <w:b w:val="false"/>
          <w:color w:val="000000"/>
          <w:sz w:val="24"/>
          <w:u w:val="single"/>
        </w:rPr>
        <w:t>Sections 6.01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6.09</w:t>
      </w:r>
      <w:r>
        <w:rPr>
          <w:rFonts w:ascii="Times New Roman;serif" w:hAnsi="Times New Roman;serif"/>
          <w:b w:val="false"/>
          <w:color w:val="000000"/>
          <w:sz w:val="24"/>
        </w:rPr>
        <w:t>, with respect to any Indebtedness, Liens, Investments, liquidations, dissolutions, mergers, consolidations, Asset Sales or other dispositions, Dividends, affiliate transactions or Restricted Debt Payments in a currency other than Dollars, no Default or Event of Default shall be deemed to have occurred solely as a result of changes in rates of currency exchange occurring after the time Issuer or one of its Restricted Subsidiaries shall (or, solely in connection with a Limited Condition Acquisition, shall enter into a contractual obligation to) incur, enter into, make or acquire such Indebtedness, Liens, Investments, liquidations, dissolutions, mergers, consolidations, Asset Sales or other dispositions, Dividends, affiliate transactions or Restricted Debt Payments (so long as, at the time of incurring, entering into, making or acquiring (or, solely in connection with a Limited Condition Acquisition, at the time of entering into the contract to incur, enter into, make or acquire) such Indebtedness, Liens, Investments, liquidations, dissolutions, mergers, consolidations, Asset Sales or other dispositions, Dividends, affiliate transactions or Restricted Debt Payments, such transaction was permitted hereunder) and once incurred, entered into, made or acquired (or, solely in connection with a Limited Condition Acquisition, contractually obligated to be incurred, entered into, made or acquired), the amount of such Indebtedness, Liens, Investments, liquidations, dissolutions, mergers, consolidations, Asset Sales or other dispositions, Dividends, affiliate transactions or Restricted Debt Payments, shall be always deemed to be at the Dollar equivalent amount on such date, regardless of later changes in currency exchange rates. The Issuer shall determine in good faith the Dollar equivalent amount of such utilization or other measurement denominated in a currency other than Dollars.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1.11    </w:t>
      </w:r>
      <w:r>
        <w:rPr>
          <w:rFonts w:ascii="Times New Roman;serif" w:hAnsi="Times New Roman;serif"/>
          <w:b w:val="false"/>
          <w:color w:val="000000"/>
          <w:sz w:val="24"/>
          <w:u w:val="single"/>
        </w:rPr>
        <w:t>Basket Amounts and Application of Multiple Relevant Provisions</w:t>
      </w:r>
      <w:r>
        <w:rPr>
          <w:rFonts w:ascii="Times New Roman;serif" w:hAnsi="Times New Roman;serif"/>
          <w:b w:val="false"/>
          <w:color w:val="000000"/>
          <w:sz w:val="24"/>
        </w:rPr>
        <w:t xml:space="preserve">. Notwithstanding anything to the contrary, (a) unless specifically stated otherwise herein, any Dollar, number, percentage or other amount available under any carve-out, basket, exclusion or exception to any individual affirmative, negative or other covenant in this Indenture or the other Note Documents may be accumulated, added, combined, aggregated or used together by any Note Party and its Subsidiaries under such individual covenant without limitation, and (b) any action or event permitted by this Indenture or the other Note Documents need not be permitted solely by reference to one provision permitting such action or event but may be permitted in part by one such provision and in part by one or more other provisions of this Indenture and the other Note Documents. For purposes of determining compliance with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in the event that any Lien, Investment, liquidation, dissolution, merger, consolidation, Indebtedness (whether at the </w:t>
      </w:r>
    </w:p>
    <w:p>
      <w:pPr>
        <w:pStyle w:val="TextBody"/>
        <w:bidi w:val="0"/>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time of incurrence or upon application of all or a portion of the proceeds thereof), disposition, Dividend, Affiliate transaction, contractual requirement or prepayment of Indebtedness meets the criteria of one, or more than one, of the “baskets” or categories of transactions then permitted pursuant to any clause or subsection of the applicable covenant under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such transaction (or any portion thereof) at any time shall be permitted under one or more of such “baskets” or categories at the time of such transaction or any later time from time to time, in each case, as determined by the Issuer in its sole discretion at such time and thereafter may be reclassified or divided among such baskets or categories (as if incurred at such later time) by the Issuer in any manner not expressly prohibited by this Indenture;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all Indebtedness outstanding under the Note Documents on the Closing Date will be deemed to be incurred only in reliance on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and any ABL Obligations outstanding on the Closing Date will be deemed to be incurred only in reliance on </w:t>
      </w:r>
      <w:r>
        <w:rPr>
          <w:rFonts w:ascii="Times New Roman;serif" w:hAnsi="Times New Roman;serif"/>
          <w:b w:val="false"/>
          <w:color w:val="000000"/>
          <w:sz w:val="24"/>
          <w:u w:val="single"/>
        </w:rPr>
        <w:t>Section 6.01(c)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1.12    </w:t>
      </w:r>
      <w:r>
        <w:rPr>
          <w:rFonts w:ascii="Times New Roman;serif" w:hAnsi="Times New Roman;serif"/>
          <w:b w:val="false"/>
          <w:color w:val="000000"/>
          <w:sz w:val="24"/>
          <w:u w:val="single"/>
        </w:rPr>
        <w:t>Acts of Holders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and the Guarantors. Proof of execution of any such instrument or of a writing appointing any such agent, or the holding by any Person of a Note, shall be sufficient for any purpose of this Indenture and (subject to </w:t>
      </w:r>
      <w:r>
        <w:rPr>
          <w:rFonts w:ascii="Times New Roman;serif" w:hAnsi="Times New Roman;serif"/>
          <w:b w:val="false"/>
          <w:color w:val="000000"/>
          <w:sz w:val="24"/>
          <w:u w:val="single"/>
        </w:rPr>
        <w:t>Section 9.01</w:t>
      </w:r>
      <w:r>
        <w:rPr>
          <w:rFonts w:ascii="Times New Roman;serif" w:hAnsi="Times New Roman;serif"/>
          <w:b w:val="false"/>
          <w:color w:val="000000"/>
          <w:sz w:val="24"/>
        </w:rPr>
        <w:t xml:space="preserve">) conclusive in favor of the Trustee, the Collateral Agent, the Issuer and the Guarantors, if made in the manner provided in this </w:t>
      </w:r>
      <w:r>
        <w:rPr>
          <w:rFonts w:ascii="Times New Roman;serif" w:hAnsi="Times New Roman;serif"/>
          <w:b w:val="false"/>
          <w:color w:val="000000"/>
          <w:sz w:val="24"/>
          <w:u w:val="single"/>
        </w:rPr>
        <w:t>Section 1.12.</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fact and date of the execution by any Person of any such instrument or writing may be proved (i) by the affidavit of a witness of such execution or by the certificate of any notary public or other officer authorized by law to take acknowledgments of deeds, certifying that the individual signing such instrument or writing acknowledged to him the execution thereof or (ii) in any other manner deemed reasonably sufficient by the Trustee. Where such execution is by a signer acting in a capacity other than such signer’s individual capacity, such certificate or affidavit shall also constitute proof of such signer’s authority. The fact and date of the execution of any such instrument or writing, or the authority of the Person executing the same, may also be proved in any other manner that the Trustee deems sufficient.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ownership of Notes shall be proved by the Note Register.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the Collateral Agent, the Issuer or the Guarantors in reliance thereon, whether or not notation of such action is made upon such Note.</w:t>
      </w:r>
    </w:p>
    <w:p>
      <w:pPr>
        <w:pStyle w:val="TextBody"/>
        <w:bidi w:val="0"/>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If the Issuer shall solicit from the Holders any request, demand, authorization, direction, notice, consent, waiver or other act, the Issuer may, at its option, by or pursuant to a board resolution of the Issuer’s Board of Directors, fix in advance a record date for the determination of Holders entitled to give such request, demand, authorization, direction, notice, consent, waiver or other act, but the Issuer shall have no obligation to do so. Any such record date shall be the record date specified in or pursuant to such board resolution, which shall be a date not more than 30 days prior to the first solicitation of Holders generally in connection therewith and no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Notes have authorized or agreed or consented to such request, demand, authorization, direction, notice, consent, waiver or other act, and for that purpose the outstanding Notes shall be computed as of such record date;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no request, demand, authorization, direction, notice, consent, waiver or other act by the Holders on such record date shall be deemed effective unless it shall become effective pursuant to the provisions of this Indenture not later than six months after the record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 Note may provide its proxy or proxies to the beneficial owners of interests in any such Global Note through such Depositary’s standing instructions and customary practices.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With respect to any Global Note, the Issuer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if such a record date is fixed, only the beneficial owners of interests in such Global Note on such record date or their duly appointed proxy or proxies shall be entitled to make, give or take such request, demand, authorization, direction, notice, consent, waiver or other action, whether or not such beneficial owners remain beneficial owners of interests in such Global Note after such record date. No such request, demand, authorization, </w:t>
      </w:r>
    </w:p>
    <w:p>
      <w:pPr>
        <w:pStyle w:val="TextBody"/>
        <w:bidi w:val="0"/>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direction, notice, consent, waiver or other action shall be effective hereunder unless made, given or taken on or prior to the expiration date, if any, designated by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Notwithstanding anything else in this Indenture to the contrary, with respect to any Global Note held through the Depositary (or a nominee thereof), each Person holding a beneficial interest in such Global Note may be considered to be a noteholder of its portion of the notes for purposes of providing any consent or direction requested by the Trustee hereunder or providing any other consent or direction contemplated hereby (for example, such Person may consent to any waiver or amendment directly without requiring the participation of the applicable clearing system or its nominee and may attend and vote at meetings of noteholders); it being understood that the Trustee must have received from (or on behalf of) such Person evidence satisfactory to the Trustee (in its sole discretion) that such Person holds the beneficial interests in such Global Note that it purports to hold, and such evidence of ownership may include a securities position or participant list or other information obtained from the applicable clearing system.  The Trustee shall have no liability for acting in good faith on any such consent, waiver, direction, instruction or other vote from any such Person or for the sufficiency of the evidence deemed satisfactory to the Trustee. Each beneficial owner of an interest in a Global Note, by its acceptance of such interest, agrees to be bound by the provisions of this </w:t>
      </w:r>
      <w:r>
        <w:rPr>
          <w:rFonts w:ascii="Times New Roman;serif" w:hAnsi="Times New Roman;serif"/>
          <w:b w:val="false"/>
          <w:color w:val="000000"/>
          <w:sz w:val="24"/>
          <w:u w:val="single"/>
        </w:rPr>
        <w:t>Section 1.12(i)</w:t>
      </w:r>
      <w:r>
        <w:rPr>
          <w:color w:val="000000"/>
        </w:rPr>
        <w:t xml:space="preserve"> </w:t>
      </w:r>
      <w:r>
        <w:rPr>
          <w:rFonts w:ascii="Times New Roman;serif" w:hAnsi="Times New Roman;serif"/>
          <w:b w:val="false"/>
          <w:color w:val="000000"/>
          <w:sz w:val="24"/>
        </w:rPr>
        <w:t xml:space="preserve">and waives any claim arising from actions taken by the Trustee in reliance on this </w:t>
      </w:r>
      <w:r>
        <w:rPr>
          <w:rFonts w:ascii="Times New Roman;serif" w:hAnsi="Times New Roman;serif"/>
          <w:b w:val="false"/>
          <w:color w:val="000000"/>
          <w:sz w:val="24"/>
          <w:u w:val="single"/>
        </w:rPr>
        <w:t>Section 1.12(i)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1.13    </w:t>
      </w:r>
      <w:r>
        <w:rPr>
          <w:rFonts w:ascii="Times New Roman;serif" w:hAnsi="Times New Roman;serif"/>
          <w:b w:val="false"/>
          <w:color w:val="000000"/>
          <w:sz w:val="24"/>
          <w:u w:val="single"/>
        </w:rPr>
        <w:t>Currency Translation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For purposes of determining compliance as of any date after the Closing Date with </w:t>
      </w:r>
      <w:r>
        <w:rPr>
          <w:rFonts w:ascii="Times New Roman;serif" w:hAnsi="Times New Roman;serif"/>
          <w:b w:val="false"/>
          <w:color w:val="000000"/>
          <w:sz w:val="24"/>
          <w:u w:val="single"/>
        </w:rPr>
        <w:t>Section 5.10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6.09</w:t>
      </w:r>
      <w:r>
        <w:rPr>
          <w:rFonts w:ascii="Times New Roman;serif" w:hAnsi="Times New Roman;serif"/>
          <w:b w:val="false"/>
          <w:color w:val="000000"/>
          <w:sz w:val="24"/>
        </w:rPr>
        <w:t>, or, or for any other specified purpose hereunder, amounts incurred (or first committed, in the case of revolving credit debt), distributed, paid, invested or outstanding in currencies other than Dollars shall be translated into Dollars at the exchange rates in effect on such date, as such exchange rates shall be determined in good faith by the Issuer by reference to customary indices.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For purposes of determining compliance with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5.03(a)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5.03(b)</w:t>
      </w:r>
      <w:r>
        <w:rPr>
          <w:rFonts w:ascii="Times New Roman;serif" w:hAnsi="Times New Roman;serif"/>
          <w:b w:val="false"/>
          <w:color w:val="000000"/>
          <w:sz w:val="24"/>
        </w:rPr>
        <w:t xml:space="preserve">, if Indebtedness is incurred or a Lien is granted to extend, replace, refund, refinance, renew or defease other Indebtedness (secured or otherwise) denominated in a foreign currency, and such extension, replacement, refunding, refinancing, renewal or defeasance would cause the applicable restriction to be exceeded if calculated at the relevant currency exchange rate in effect on the date of such extension, replacement, refunding, refinancing, renewal or defeasance, such restriction shall be deemed not to have been exceeded so long as the principal amount of such refinancing Indebtedness does not exceed the principal amount of such Indebtedness being extended, replaced, refunded, refinanced, renewed or defeased,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amount of any premium paid, and fees and expenses incurred, in connection with such extension, replacement, refunding, refinancing, renewal or defeasance (including any fees and original issue discount incurred in respect of such resulting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For purposes of determining compliance with the Total Net Leverage Ratio on any date of determination, amounts denominated in a currency other than Dollars will be translated into Dollars (i) with respect to income statement items, at the currency exchange </w:t>
      </w:r>
    </w:p>
    <w:p>
      <w:pPr>
        <w:pStyle w:val="TextBody"/>
        <w:bidi w:val="0"/>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rates used in calculating Consolidated Net Income in the latest financial statements delivered pursuant to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color w:val="000000"/>
        </w:rPr>
        <w:t xml:space="preserve"> </w:t>
      </w:r>
      <w:r>
        <w:rPr>
          <w:rFonts w:ascii="Times New Roman;serif" w:hAnsi="Times New Roman;serif"/>
          <w:b w:val="false"/>
          <w:color w:val="000000"/>
          <w:sz w:val="24"/>
        </w:rPr>
        <w:t xml:space="preserve">(or, if such financial statements have not yet been delivered, pursuant to the Initial Financial Statements) and (ii) with respect to balance sheet items, at the currency exchange rates used in calculating balance sheet items in the latest financial statements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color w:val="000000"/>
        </w:rPr>
        <w:t xml:space="preserve"> </w:t>
      </w:r>
      <w:r>
        <w:rPr>
          <w:rFonts w:ascii="Times New Roman;serif" w:hAnsi="Times New Roman;serif"/>
          <w:b w:val="false"/>
          <w:color w:val="000000"/>
          <w:sz w:val="24"/>
        </w:rPr>
        <w:t>(or, if such financial statements have not yet been delivered, pursuant to the Initial Financial Statements) and will, in the case of Indebtedness, reflect the currency translation effects, determined in accordance with GAAP, of Hedging Agreements permitted hereunder for currency exchange risks with respect to the applicable currency in effect on the date of determination of the Dollar equivalent of such Indebtedness.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1.14    </w:t>
      </w:r>
      <w:r>
        <w:rPr>
          <w:rFonts w:ascii="Times New Roman;serif" w:hAnsi="Times New Roman;serif"/>
          <w:b w:val="false"/>
          <w:color w:val="000000"/>
          <w:sz w:val="24"/>
          <w:u w:val="single"/>
        </w:rPr>
        <w:t>Disclaimer and Exculpation With Respect to SOFR and any Benchmark Rate</w:t>
      </w:r>
      <w:r>
        <w:rPr>
          <w:rFonts w:ascii="Times New Roman;serif" w:hAnsi="Times New Roman;serif"/>
          <w:b w:val="false"/>
          <w:color w:val="000000"/>
          <w:sz w:val="24"/>
        </w:rPr>
        <w:t>. None of the Trustee, the Paying Agent or the Calculation Agent warrant or accept responsibility for, and none of the Trustee, Paying Agent or Calculation Agent shall have any liability or obligation with respect to (a) monitoring, determining or verifying the unavailability, the cessation, the continuation of, administration of, submission of, calculation of (other than as set forth in Section 2.12, with respect to the Calculation Agent) or any other matter related to Alternate Base Rate, the Term SOFR Reference Rate, Term SOFR, SOFR, any other Benchmark, or any component definition thereof or rates referred to in the definition thereof, or any alternative, comparable, replacement or successor rate thereto, including whether the composition or characteristics of any such alternative, comparable, replacement or successor rate will be similar to, or produce the same value or economic equivalence of, or have the same volume or liquidity as, Alternate Base Rate, the Term SOFR Reference Rate, Term SOFR, SOFR, or any other Benchmark prior to its discontinuance or unavailability, or to determine whether or when there has occurred, or to give notice to any other transaction party of the occurrence of any Benchmark Transition Event or Benchmark Replacement Date or any successor replacement index, (b) to select, determine or designate any Benchmark Replacement, or other successor or replacement benchmark index, or determine whether any conditions to the designation of such a rate have been satisfied or, (c) to select, determine or designate any Benchmark Replacement Adjustment, or other modifier to any replacement or successor index, or (d) the effect, implementation or composition of any Conforming Changes made to this Indenture or any other Note Document with respect to the implementation or replacement of any of the aforementioned benchmark rates.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Trustee and its affiliates or other related entities may engage in transactions that affect the calculation of Alternate Base Rate, the Term SOFR Reference Rate, Term SOFR, any alternative, successor or replacement rate thereto, or any relevant adjustments thereto, in each case, in a manner adverse to the Issuer, the Holders or any other party to any Note Document.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None of the Trustee, Paying Agent, nor Calculation Agent shall be liable for any inability, failure or delay on its part to perform any of its duties set forth in this Indenture or other Transaction Document as a result of the unavailability of Alternate Base Rate, the Term SOFR Reference Rate, Term SOFR, SOFR (or other applicable Benchmark) and absence of a designated replacement Benchmark, including as a result of any inability, delay, error or </w:t>
      </w:r>
    </w:p>
    <w:p>
      <w:pPr>
        <w:pStyle w:val="TextBody"/>
        <w:bidi w:val="0"/>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inaccuracy on the part of any other transaction party, in providing any direction, instruction, notice or information required or contemplated by the terms of this Indenture or other Transaction Document and reasonably required for the performance of such duties. The Calculation Agent shall, in respect of any Interest Payment Determination Date or any other day on which an interest rate is determined, have no liability for the application of the Benchmark as determined on the previous day such interest rate was determined or any preceding U.S. Government Securities Business Day if so required hereunder. If the Calculation Agent at any time or times determines in its reasonable judgment that guidance is needed to perform its duties, or if it is required to decide between alternative courses of action, the Calculation Agent may (but is not obligated to) reasonably request guidance in the form of written instructions (or, in its sole discretion, oral instruction followed by written confirmation) from the Issuer or its designee, including without limitation in respect of facilitating or specifying administrative procedures with respect to the calculation of any Benchmark, on which the Calculation Agent shall be entitled to rely without liability. The Calculation Agent shall be entitled to refrain from action pending receipt of such instruction.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w:t>
        <w:br/>
        <w:t>THE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2.01    </w:t>
      </w:r>
      <w:r>
        <w:rPr>
          <w:rFonts w:ascii="Times New Roman;serif" w:hAnsi="Times New Roman;serif"/>
          <w:b w:val="false"/>
          <w:color w:val="000000"/>
          <w:sz w:val="24"/>
          <w:u w:val="single"/>
        </w:rPr>
        <w:t>Form and Dating, Terms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parties hereto acknowledge and agree that, prior to the effectiveness of this Indenture, the Prior Notes were issued and authenticated under the Prior Notes Indenture in an aggregate principal amount equal to $232,160,000. Upon the effectiveness of this Indenture on the Restatement Effective Date, (i) the Prior Notes shall be treated as Notes issued under this Indenture and shall constitute a single class together with any PIK Notes and any Additional Notes for all purposes under this Indenture, including waivers, amendments, redemptions and offers to purchase, (ii) all references in this Indenture to the “Initial Notes” shall be deemed to include the Initial Notes issued under the Prior Notes Indenture, (iii) unless otherwise specified, all references in this Indenture to “PIK Notes” shall be deemed to include PIK Notes issued under the Prior Notes Indenture, and (iv) such treatment shall not constitute a novation or satisfaction of the Obligations under the Prior Notes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Provisions relating to the Initial Notes (including the Initial Notes issued under the Prior Notes Indenture), PIK Notes (including PIK Notes issued under the Prior Notes Indenture), Additional Notes and any other Notes issued under this Indenture are set forth in Appendix A, which is hereby incorporated in and expressly made a part of this Indenture (with such appropriate insertions, omissions, substitutions and other variations as are required or permitted by this Indenture). The Notes and the Trustee’s certificate of authentication shall each be substantially in the form of </w:t>
      </w:r>
      <w:r>
        <w:rPr>
          <w:rFonts w:ascii="Times New Roman;serif" w:hAnsi="Times New Roman;serif"/>
          <w:b w:val="false"/>
          <w:color w:val="000000"/>
          <w:sz w:val="24"/>
          <w:u w:val="single"/>
        </w:rPr>
        <w:t xml:space="preserve">Exhibit A </w:t>
      </w:r>
      <w:r>
        <w:rPr>
          <w:rFonts w:ascii="Times New Roman;serif" w:hAnsi="Times New Roman;serif"/>
          <w:b w:val="false"/>
          <w:color w:val="000000"/>
          <w:sz w:val="24"/>
        </w:rPr>
        <w:t>hereto (with such appropriate insertions, omissions, substitutions and other variations as are required or permitted by this Indenture), which is hereby incorporated in and expressly made a part of this Indenture. The Notes may have notations, legends or endorsements required by law, rules or agreements with national securities exchanges to which the Issuer or any Guarantor is subject, if any, or usage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any such notation, legend or endorsement is in a form acceptable to the Issuer). Each Note shall be dated the date of </w:t>
      </w:r>
    </w:p>
    <w:p>
      <w:pPr>
        <w:pStyle w:val="TextBody"/>
        <w:bidi w:val="0"/>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its authentication. The Notes shall be issued only in fully registered form without coupons and only in minimum denominations of $1.00 and integral multiples of $1.00 in excess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aggregate principal amount of Notes that may be authenticated and delivered under this Indenture is unlimited.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terms and provisions contained in the Notes shall constitute, and are hereby expressly made, a part of this Indenture, and the Issuer, the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The Notes shall be subject to repurchase by the Issuer pursuant to a Net Cash Proceeds Offer as provided in </w:t>
      </w:r>
      <w:r>
        <w:rPr>
          <w:rFonts w:ascii="Times New Roman;serif" w:hAnsi="Times New Roman;serif"/>
          <w:b w:val="false"/>
          <w:color w:val="000000"/>
          <w:sz w:val="24"/>
          <w:u w:val="single"/>
        </w:rPr>
        <w:t>Section 3.08</w:t>
      </w:r>
      <w:r>
        <w:rPr>
          <w:color w:val="000000"/>
        </w:rPr>
        <w:t xml:space="preserve"> </w:t>
      </w:r>
      <w:r>
        <w:rPr>
          <w:rFonts w:ascii="Times New Roman;serif" w:hAnsi="Times New Roman;serif"/>
          <w:b w:val="false"/>
          <w:color w:val="000000"/>
          <w:sz w:val="24"/>
        </w:rPr>
        <w:t xml:space="preserve">or a Change of Control Offer as provided in </w:t>
      </w:r>
      <w:r>
        <w:rPr>
          <w:rFonts w:ascii="Times New Roman;serif" w:hAnsi="Times New Roman;serif"/>
          <w:b w:val="false"/>
          <w:color w:val="000000"/>
          <w:sz w:val="24"/>
          <w:u w:val="single"/>
        </w:rPr>
        <w:t>Section 3.09</w:t>
      </w:r>
      <w:r>
        <w:rPr>
          <w:rFonts w:ascii="Times New Roman;serif" w:hAnsi="Times New Roman;serif"/>
          <w:b w:val="false"/>
          <w:color w:val="000000"/>
          <w:sz w:val="24"/>
        </w:rPr>
        <w:t xml:space="preserve">, and otherwise as not prohibited by this Indenture. The Notes shall not be redeemable, other than as provided in </w:t>
      </w:r>
      <w:r>
        <w:rPr>
          <w:rFonts w:ascii="Times New Roman;serif" w:hAnsi="Times New Roman;serif"/>
          <w:b w:val="false"/>
          <w:color w:val="000000"/>
          <w:sz w:val="24"/>
          <w:u w:val="single"/>
        </w:rPr>
        <w:t>Article III</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An unlimited aggregate principal amount of Additional Notes ranking pari passu with the Initial Notes and the PIK Notes may be created and issued from time to time by the Issuer without notice to or consent of the Holders and shall be consolidated with and form a single class with the Initial Notes and the PIK Notes and shall have the same terms as to status, redemption or otherwise (other than Closing Date, issue price and, if applicable, the first interest payment date and the first date from which interest will accrue) as the Initial Notes and the PIK Notes;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Issuer’s ability to issue Additional Notes shall be subject to the Issuer’s compliance with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that if any Additional Notes are not fungible with the Initial Notes for U.S. federal income tax purposes, such Additional Notes shall have separate CUSIP and ISIN numbers from the Initial Notes. The Initial Notes, any PIK Notes and any Additional Notes shall be treated as a single class for all purposes under this Indenture, including waivers, amendments, redemptions and offers to purchase. Any Additional Notes shall be issued either pursuant to an Officer’s Certificate of the Issuer, pursuant to a resolution by the Board of Directors of the Issuer or pursuant to an indenture supplemental to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In connection with the payment of PIK Interest in respect of the Notes from and after the Restatement Effective Date, the Issuer is entitled to, without the consent of the Holders, issue additional Notes (the “</w:t>
      </w:r>
      <w:r>
        <w:rPr>
          <w:rFonts w:ascii="Times New Roman;serif" w:hAnsi="Times New Roman;serif"/>
          <w:b/>
          <w:color w:val="000000"/>
          <w:sz w:val="24"/>
        </w:rPr>
        <w:t>PIK Notes</w:t>
      </w:r>
      <w:r>
        <w:rPr>
          <w:color w:val="000000"/>
        </w:rPr>
        <w:t>”</w:t>
      </w:r>
      <w:r>
        <w:rPr>
          <w:rFonts w:ascii="Times New Roman;serif" w:hAnsi="Times New Roman;serif"/>
          <w:b w:val="false"/>
          <w:color w:val="000000"/>
          <w:sz w:val="24"/>
        </w:rPr>
        <w:t>) under this Indenture having the same terms and conditions as the applicable outstanding Notes or increase the outstanding principal amount of the Notes in the amount of such PIK Interest. For the avoidance of doubt, references in this Indenture to the principal amount of Notes shall include any PIK Notes, as applicable and any PIK Interest which has been added to the principal of a Global Note.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The Initial Notes, the Additional Notes and any PIK Notes issued as a result of a PIK Election, to the maximum extent possible, shall be considered collectively as a single class for all purposes of this Indenture, including waivers, amendments, redemptions and offers to repurchase and Holders of Additional Notes and PIK Notes will share equally and </w:t>
      </w:r>
    </w:p>
    <w:p>
      <w:pPr>
        <w:pStyle w:val="TextBody"/>
        <w:bidi w:val="0"/>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ratably in the Collateral with other Holders;</w:t>
      </w:r>
      <w:r>
        <w:rPr>
          <w:color w:val="000000"/>
        </w:rPr>
        <w:t>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any Additional Notes will not be issued with the same CUSIP number, ISIN or other identifying number as the Initial Notes unless such Additional Notes are fungible with the Initial Notes for U.S. federal income tax and securities law purposes. Holders of the Initial Notes, the Additional Notes and the PIK Notes will vote and consent together on all matters to which such Holders are entitled to vote or consent as one class, and none of the Holders of the Initial Notes, the Additional Notes or the PIK Notes shall have the right to vote or consent as a separate class on any matter to which such Holders are entitled to vote or consent.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2.02    </w:t>
      </w:r>
      <w:r>
        <w:rPr>
          <w:rFonts w:ascii="Times New Roman;serif" w:hAnsi="Times New Roman;serif"/>
          <w:b w:val="false"/>
          <w:color w:val="000000"/>
          <w:sz w:val="24"/>
          <w:u w:val="single"/>
        </w:rPr>
        <w:t>Execution and Authentication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At least one Officer of the Issuer shall execute the Notes on behalf of the Issuer by manual, electronic or facsimile signature. If an Officer whose signature is on a Note no longer holds that or any office at the time a Note is authenticated, the Note shall nevertheless be valid.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 Note shall not be entitled to any benefit under this Indenture or be valid or obligatory for any purpose until authenticated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by the manual signature of an authorized signatory of the Trustee. The signature shall be conclusive evidence that the Note has been duly authenticated and delivered under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On the Closing Date, the Trustee, upon receipt of a written request or order of the Issuer signed by an Officer of the Issuer (an “</w:t>
      </w:r>
      <w:r>
        <w:rPr>
          <w:rFonts w:ascii="Times New Roman;serif" w:hAnsi="Times New Roman;serif"/>
          <w:b/>
          <w:color w:val="000000"/>
          <w:sz w:val="24"/>
        </w:rPr>
        <w:t>Authentication Order</w:t>
      </w:r>
      <w:r>
        <w:rPr>
          <w:color w:val="000000"/>
        </w:rPr>
        <w:t>”</w:t>
      </w:r>
      <w:r>
        <w:rPr>
          <w:rFonts w:ascii="Times New Roman;serif" w:hAnsi="Times New Roman;serif"/>
          <w:b w:val="false"/>
          <w:color w:val="000000"/>
          <w:sz w:val="24"/>
        </w:rPr>
        <w:t>), authenticated and delivered the Initial Notes. At any time and from time to time from and after the Restatement Effective Date, the Trustee shall, upon receipt of an Authentication Order, authenticate and deliver any Additional Notes in an aggregate principal amount specified in such Authentication Order for such Additional Notes issued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The Trustee may appoint an Authenticating Agent acceptable to the Issuer to authenticate Notes in accordance </w:t>
      </w:r>
      <w:r>
        <w:rPr>
          <w:rFonts w:ascii="Times New Roman;serif" w:hAnsi="Times New Roman;serif"/>
          <w:b w:val="false"/>
          <w:color w:val="000000"/>
          <w:sz w:val="24"/>
          <w:u w:val="single"/>
        </w:rPr>
        <w:t>with Section 9.10</w:t>
      </w:r>
      <w:r>
        <w:rPr>
          <w:color w:val="000000"/>
        </w:rPr>
        <w:t xml:space="preserve"> </w:t>
      </w:r>
      <w:r>
        <w:rPr>
          <w:rFonts w:ascii="Times New Roman;serif" w:hAnsi="Times New Roman;serif"/>
          <w:b w:val="false"/>
          <w:color w:val="000000"/>
          <w:sz w:val="24"/>
        </w:rPr>
        <w:t>hereof. Unless limited by the terms of such appointment, an Authenticating Agent may authenticate Notes whenever the Trustee may do so. Each reference in this Indenture to authentication by the Trustee includes authentication by such agent. An Authenticating Agent has the same rights as an Agent to deal with Holders, the Issuer or an Affiliate of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The Trustee shall authenticate and make available for delivery upon receipt of an Authentication Order from the Issuer (i) subject to the terms of this Indenture, Additional Notes, (ii) any PIK Notes issued in payment of PIK Interest and (iii) any Unrestricted Global Notes (as defined in </w:t>
      </w:r>
      <w:r>
        <w:rPr>
          <w:rFonts w:ascii="Times New Roman;serif" w:hAnsi="Times New Roman;serif"/>
          <w:b w:val="false"/>
          <w:color w:val="000000"/>
          <w:sz w:val="24"/>
          <w:u w:val="single"/>
        </w:rPr>
        <w:t>Appendix A</w:t>
      </w:r>
      <w:r>
        <w:rPr>
          <w:rFonts w:ascii="Times New Roman;serif" w:hAnsi="Times New Roman;serif"/>
          <w:b w:val="false"/>
          <w:color w:val="000000"/>
          <w:sz w:val="24"/>
        </w:rPr>
        <w:t>) issued in exchange for (x) the Initial Notes and (y) any of the foregoing in accordance with this Indenture. Such order shall specify the amount of the Notes to be authenticated, the date on which the Notes are to be authenticated and whether the Notes are to be Initial Notes, PIK Notes, Additional Notes or Unrestricted Global Notes. Upon receipt of a written order of the Issuer signed by one Officer of the Issuer, the Trustee shall authenticate Notes in substitution for Notes originally issued to reflect any name change of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On any Interest Payment Date on which the Issuer pays PIK Interest with respect to a Global Note, the Trustee shall increase the principal amount of such Global Note by an amount equal to the interest payable, rounded up to the nearest whole Dollar, for the relevant interest period on the principal amount of such Global Note as of the relevant record date for such Interest Payment Date, to the credit of the Holders on such record date, pro rata in accordance with their interests, and an adjustment shall be made on the books and records of the Trustee (if it is then the Custodian for such Global Note) with respect to such Global Note, by the Trustee or the Custodian, to reflect such increase.  On any Interest Payment Date on which the Issuer pays PIK Interest by issuing definitive PIK Notes, the principal amount of any such PIK Notes issued to any Holder, for the relevant interest period as of the relevant record date for such Interest Payment Date, shall be rounded up to the nearest whole Dollar.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2.03    </w:t>
      </w:r>
      <w:r>
        <w:rPr>
          <w:rFonts w:ascii="Times New Roman;serif" w:hAnsi="Times New Roman;serif"/>
          <w:b w:val="false"/>
          <w:color w:val="000000"/>
          <w:sz w:val="24"/>
          <w:u w:val="single"/>
        </w:rPr>
        <w:t>Registrar; Paying Agent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The Issuer shall maintain an office or agency where Notes may be presented for registration of transfer or for exchange (“</w:t>
      </w:r>
      <w:r>
        <w:rPr>
          <w:rFonts w:ascii="Times New Roman;serif" w:hAnsi="Times New Roman;serif"/>
          <w:b/>
          <w:color w:val="000000"/>
          <w:sz w:val="24"/>
        </w:rPr>
        <w:t>Registrar</w:t>
      </w:r>
      <w:r>
        <w:rPr>
          <w:color w:val="000000"/>
        </w:rPr>
        <w:t>”</w:t>
      </w:r>
      <w:r>
        <w:rPr>
          <w:rFonts w:ascii="Times New Roman;serif" w:hAnsi="Times New Roman;serif"/>
          <w:b w:val="false"/>
          <w:color w:val="000000"/>
          <w:sz w:val="24"/>
        </w:rPr>
        <w:t>) and at least one office or agency where Notes may be presented for payment (“</w:t>
      </w:r>
      <w:r>
        <w:rPr>
          <w:rFonts w:ascii="Times New Roman;serif" w:hAnsi="Times New Roman;serif"/>
          <w:b/>
          <w:color w:val="000000"/>
          <w:sz w:val="24"/>
        </w:rPr>
        <w:t>Paying Agent</w:t>
      </w:r>
      <w:r>
        <w:rPr>
          <w:color w:val="000000"/>
        </w:rPr>
        <w:t>”</w:t>
      </w:r>
      <w:r>
        <w:rPr>
          <w:rFonts w:ascii="Times New Roman;serif" w:hAnsi="Times New Roman;serif"/>
          <w:b w:val="false"/>
          <w:color w:val="000000"/>
          <w:sz w:val="24"/>
        </w:rPr>
        <w:t>). The Registrar shall keep a register of the Notes (“</w:t>
      </w:r>
      <w:r>
        <w:rPr>
          <w:rFonts w:ascii="Times New Roman;serif" w:hAnsi="Times New Roman;serif"/>
          <w:b/>
          <w:color w:val="000000"/>
          <w:sz w:val="24"/>
        </w:rPr>
        <w:t>Note Register</w:t>
      </w:r>
      <w:r>
        <w:rPr>
          <w:color w:val="000000"/>
        </w:rPr>
        <w:t>”</w:t>
      </w:r>
      <w:r>
        <w:rPr>
          <w:rFonts w:ascii="Times New Roman;serif" w:hAnsi="Times New Roman;serif"/>
          <w:b w:val="false"/>
          <w:color w:val="000000"/>
          <w:sz w:val="24"/>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and/or any Restricted Subsidiary may act as Paying Agent or Registrar.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Issuer initially appoints The Depository Trust Company to act as Depositary with respect to the Global Notes. The Issuer initially appoints U.S. Bank to act as Paying Agent and Registrar for the Notes and to act as Custodian with respect to the Global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2.04    </w:t>
      </w:r>
      <w:r>
        <w:rPr>
          <w:rFonts w:ascii="Times New Roman;serif" w:hAnsi="Times New Roman;serif"/>
          <w:b w:val="false"/>
          <w:color w:val="000000"/>
          <w:sz w:val="24"/>
          <w:u w:val="single"/>
        </w:rPr>
        <w:t>Paying Agent to Hold Money in Trust</w:t>
      </w:r>
      <w:r>
        <w:rPr>
          <w:rFonts w:ascii="Times New Roman;serif" w:hAnsi="Times New Roman;serif"/>
          <w:b w:val="false"/>
          <w:color w:val="000000"/>
          <w:sz w:val="24"/>
        </w:rPr>
        <w:t xml:space="preserve">. Unless otherwise agreed with the Paying Agent, the Issuer shall, no later than 12:00 p.m. (New York City time) on each due date for the payment of principal, premium, if any, and interest on any of the Notes, deposit with a Paying Agent a sum sufficient to pay such amount, such sum to be held in trust for the Holders entitled to the same, and (unless such Paying Agent is the Trustee) the Issuer shall promptly notify the Trustee of its action or failure so to act. The Issuer shall require each Paying Agent other than the Trustee to agree in writing that such Paying Agent shall hold in trust for the benefit of Holders or the Trustee all money held by such Paying Agent for the payment of principal, premium, if any, and interest on the Notes, and shall notify the Trustee of any default by the Issuer in making any such payment. While any such default continues, the Trustee may require a Paying Agent to pay all money held by it in trust for the benefit of the Holders to the Trustee. The Issuer at any time may require a Paying Agent to pay all money held by it to the Trustee. Upon payment over to the Trustee, a Paying Agent shall have no further liability for the money. If the Issuer or a Subsidiary acts as Paying Agent, it shall segregate and hold in a </w:t>
      </w:r>
    </w:p>
    <w:p>
      <w:pPr>
        <w:pStyle w:val="TextBody"/>
        <w:bidi w:val="0"/>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separate trust fund for the benefit of the Holders all money held by it as Paying Agent. Upon any bankruptcy or reorganization proceedings relating to the Issuer specified in </w:t>
      </w:r>
      <w:r>
        <w:rPr>
          <w:rFonts w:ascii="Times New Roman;serif" w:hAnsi="Times New Roman;serif"/>
          <w:b w:val="false"/>
          <w:color w:val="000000"/>
          <w:sz w:val="24"/>
          <w:u w:val="single"/>
        </w:rPr>
        <w:t>Section 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rFonts w:ascii="Times New Roman;serif" w:hAnsi="Times New Roman;serif"/>
          <w:b w:val="false"/>
          <w:color w:val="000000"/>
          <w:sz w:val="24"/>
        </w:rPr>
        <w:t>, the Trustee shall serve as Paying Agent for the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2.05    </w:t>
      </w:r>
      <w:r>
        <w:rPr>
          <w:rFonts w:ascii="Times New Roman;serif" w:hAnsi="Times New Roman;serif"/>
          <w:b w:val="false"/>
          <w:color w:val="000000"/>
          <w:sz w:val="24"/>
          <w:u w:val="single"/>
        </w:rPr>
        <w:t>Holder Lists</w:t>
      </w:r>
      <w:r>
        <w:rPr>
          <w:rFonts w:ascii="Times New Roman;serif" w:hAnsi="Times New Roman;serif"/>
          <w:b w:val="false"/>
          <w:color w:val="000000"/>
          <w:sz w:val="24"/>
        </w:rPr>
        <w:t>. The Trustee, for so long as it is acting as Registrar, shall preserve in as current a form as is reasonably practicable the most recent list available to it of the names and addresses of all Holders.  If the Trustee is not the Registrar, the Issuer shall furnish to the Trustee at least two Business Days before each interest payment date, and at such other times as the Trustee may request in writing, a list in such form and as of such date as the Trustee may reasonably require of the names and addresses of the Holders.  Every Holder, by receiving and holding the same, agrees with the Issuer, the Guarantors, the Trustee and the Collateral Agent that none of the Issuer, the Guarantors, the Trustee or the Collateral Agent or any agent of any of them shall be held accountable by reason of the disclosure of any information as to the names and addresses of the Holders, regardless of the source from which such information was derived.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2.06    </w:t>
      </w:r>
      <w:r>
        <w:rPr>
          <w:rFonts w:ascii="Times New Roman;serif" w:hAnsi="Times New Roman;serif"/>
          <w:b w:val="false"/>
          <w:color w:val="000000"/>
          <w:sz w:val="24"/>
          <w:u w:val="single"/>
        </w:rPr>
        <w:t>Transfers and Exchange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Notes shall be issued in registered form and shall be transferable only upon the surrender of a Note for registration of transfer and in compliance with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To permit registrations of transfers and exchanges, the Issuer shall execute and the Trustee shall authenticate Global Notes and Definitive Notes upon receipt of an Authentication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or at the Registrar’s request.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No service charge shall be imposed in connection with any registration of transfer or exchange of the Notes (other than pursuant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 xml:space="preserve">), but the Holders shall be required to pay any documentary, stamp, similar issue or transfer tax or similar governmental charge payable in connection therewith (other than any such documentary, stamp, similar issue or transfer tax or similar governmental charge payable upon exchange or transfer pursuant to </w:t>
      </w:r>
      <w:r>
        <w:rPr>
          <w:rFonts w:ascii="Times New Roman;serif" w:hAnsi="Times New Roman;serif"/>
          <w:b w:val="false"/>
          <w:color w:val="000000"/>
          <w:sz w:val="24"/>
          <w:u w:val="single"/>
        </w:rPr>
        <w:t>Sections 2.10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12.04</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Neither the Issuer nor the Registrar shall be required (i) to issue, to register the transfer of or to exchange any Note during a period beginning at the opening of business 15 days before the day of any selection of Notes for redemption in accordance with </w:t>
      </w:r>
      <w:r>
        <w:rPr>
          <w:rFonts w:ascii="Times New Roman;serif" w:hAnsi="Times New Roman;serif"/>
          <w:b w:val="false"/>
          <w:color w:val="000000"/>
          <w:sz w:val="24"/>
          <w:u w:val="single"/>
        </w:rPr>
        <w:t>Section 3.02</w:t>
      </w:r>
      <w:r>
        <w:rPr>
          <w:color w:val="000000"/>
        </w:rPr>
        <w:t xml:space="preserve"> </w:t>
      </w:r>
      <w:r>
        <w:rPr>
          <w:rFonts w:ascii="Times New Roman;serif" w:hAnsi="Times New Roman;serif"/>
          <w:b w:val="false"/>
          <w:color w:val="000000"/>
          <w:sz w:val="24"/>
        </w:rPr>
        <w:t>and ending at the close of business on the day of selection, (ii) to register the transfer of or to exchange any Note so selected for redemption (including in connection with a Change of Control Offer or a Net Cash Proceeds Offer), in whole or in part, except the unredeemed or unpurchased portion of any Note being redeemed or repurchased in part or (iii) to register the transfer of or to exchange any Note between a record date and the next succeeding interest payment date.</w:t>
      </w:r>
    </w:p>
    <w:p>
      <w:pPr>
        <w:pStyle w:val="TextBody"/>
        <w:bidi w:val="0"/>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Prior to due presentment for the registration of a transfer of any Note, the Trustee, any Agent and the Issuer may deem and treat the Person in whose name any Note is registered as the absolute owner of such Note for the purpose of receiving payment of principal, premium, if any, and (subject to the record date provisions of the Notes) interest on such Notes and, subject to </w:t>
      </w:r>
      <w:r>
        <w:rPr>
          <w:rFonts w:ascii="Times New Roman;serif" w:hAnsi="Times New Roman;serif"/>
          <w:b w:val="false"/>
          <w:color w:val="000000"/>
          <w:sz w:val="24"/>
          <w:u w:val="single"/>
        </w:rPr>
        <w:t>Section 1.12(i</w:t>
      </w:r>
      <w:r>
        <w:rPr>
          <w:rFonts w:ascii="Times New Roman;serif" w:hAnsi="Times New Roman;serif"/>
          <w:b w:val="false"/>
          <w:color w:val="000000"/>
          <w:sz w:val="24"/>
        </w:rPr>
        <w:t>) for any other purposes, and none of the Trustee, any Agent or the Issuer shall be affected by notice to the contrary.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Upon surrender for registration of transfer of any Note at the office or agency of the Issuer designated pursuant to </w:t>
      </w:r>
      <w:r>
        <w:rPr>
          <w:rFonts w:ascii="Times New Roman;serif" w:hAnsi="Times New Roman;serif"/>
          <w:b w:val="false"/>
          <w:color w:val="000000"/>
          <w:sz w:val="24"/>
          <w:u w:val="single"/>
        </w:rPr>
        <w:t>Section 5.02</w:t>
      </w:r>
      <w:r>
        <w:rPr>
          <w:rFonts w:ascii="Times New Roman;serif" w:hAnsi="Times New Roman;serif"/>
          <w:b w:val="false"/>
          <w:color w:val="000000"/>
          <w:sz w:val="24"/>
        </w:rPr>
        <w:t>, the Issuer shall execute, and the Trustee shall authenticate and mail, in the name of the designated transferee or transferees, one or more replacement Notes of any authorized denomination or denominations of a like aggregate principal amount.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w:t>
      </w:r>
      <w:r>
        <w:rPr>
          <w:rFonts w:ascii="Times New Roman;serif" w:hAnsi="Times New Roman;serif"/>
          <w:b w:val="false"/>
          <w:color w:val="000000"/>
          <w:sz w:val="24"/>
          <w:u w:val="single"/>
        </w:rPr>
        <w:t>Appendix 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All certifications, certificates and Opinions of Counsel required to be submitted to the Registrar pursuant to this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to effect a registration of transfer or exchange may be submitted by mail or by facsimile or electronic transmission.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Every Note presented or surrendered for registration of transfer or for exchange shall (if so required by the Issuer or the Registrar) be duly endorsed, or be accompanied by a written instrument of transfer, in form satisfactory to the Issuer and the Registrar, duly executed by the Holder thereof or his or her attorney duly authorized in writing.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2.07    </w:t>
      </w:r>
      <w:r>
        <w:rPr>
          <w:rFonts w:ascii="Times New Roman;serif" w:hAnsi="Times New Roman;serif"/>
          <w:b w:val="false"/>
          <w:color w:val="000000"/>
          <w:sz w:val="24"/>
          <w:u w:val="single"/>
        </w:rPr>
        <w:t>Replacement Notes</w:t>
      </w:r>
      <w:r>
        <w:rPr>
          <w:rFonts w:ascii="Times New Roman;serif" w:hAnsi="Times New Roman;serif"/>
          <w:b w:val="false"/>
          <w:color w:val="000000"/>
          <w:sz w:val="24"/>
        </w:rPr>
        <w:t xml:space="preserve">. If a mutilated Note is surrendered to the Trustee or if a Holder claims that its Note has been lost, destroyed or wrongfully taken and the Trustee receives evidence to its satisfaction of the ownership and loss, destruction or theft of such Note, the Issuer shall issue and the Trustee, upon receipt of an Authentication Order, shall authenticate a replacement Note if the Trustee’s requirements are otherwise met. If required by the Trustee or the Issuer, an indemnity bond must be provided by the Holder that is sufficient in the judgment of the Trustee and the Issuer to protect the Issuer, the Trustee, any Agent and any authenticating agent from any loss that any of them may suffer if a Note is replaced. The Issuer may charge the Holder for the expenses of the Issuer and the Trustee in replacing a Note. Every replacement Note is a contractual obligation of the Issuer and shall be entitled to all of the benefits of this Indenture equally and proportionately with all other Notes duly issued hereunder. Notwithstanding the foregoing provisions of this </w:t>
      </w:r>
      <w:r>
        <w:rPr>
          <w:rFonts w:ascii="Times New Roman;serif" w:hAnsi="Times New Roman;serif"/>
          <w:b w:val="false"/>
          <w:color w:val="000000"/>
          <w:sz w:val="24"/>
          <w:u w:val="single"/>
        </w:rPr>
        <w:t>Section 2.07</w:t>
      </w:r>
      <w:r>
        <w:rPr>
          <w:rFonts w:ascii="Times New Roman;serif" w:hAnsi="Times New Roman;serif"/>
          <w:b w:val="false"/>
          <w:color w:val="000000"/>
          <w:sz w:val="24"/>
        </w:rPr>
        <w:t>, in case any mutilated, lost, destroyed or wrongfully taken Note has become or is about to become due and payable, the Issuer in its discretion may, instead of issuing a new Note, pay such Note.</w:t>
      </w:r>
    </w:p>
    <w:p>
      <w:pPr>
        <w:pStyle w:val="TextBody"/>
        <w:bidi w:val="0"/>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2.08    </w:t>
      </w:r>
      <w:r>
        <w:rPr>
          <w:rFonts w:ascii="Times New Roman;serif" w:hAnsi="Times New Roman;serif"/>
          <w:b w:val="false"/>
          <w:color w:val="000000"/>
          <w:sz w:val="24"/>
          <w:u w:val="single"/>
        </w:rPr>
        <w:t>Outstanding Notes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w:t>
      </w:r>
      <w:r>
        <w:rPr>
          <w:rFonts w:ascii="Times New Roman;serif" w:hAnsi="Times New Roman;serif"/>
          <w:b w:val="false"/>
          <w:color w:val="000000"/>
          <w:sz w:val="24"/>
          <w:u w:val="single"/>
        </w:rPr>
        <w:t>Section 2.08</w:t>
      </w:r>
      <w:r>
        <w:rPr>
          <w:color w:val="000000"/>
        </w:rPr>
        <w:t xml:space="preserve"> </w:t>
      </w:r>
      <w:r>
        <w:rPr>
          <w:rFonts w:ascii="Times New Roman;serif" w:hAnsi="Times New Roman;serif"/>
          <w:b w:val="false"/>
          <w:color w:val="000000"/>
          <w:sz w:val="24"/>
        </w:rPr>
        <w:t xml:space="preserve">as not outstanding. Except as set forth in </w:t>
      </w:r>
      <w:r>
        <w:rPr>
          <w:rFonts w:ascii="Times New Roman;serif" w:hAnsi="Times New Roman;serif"/>
          <w:b w:val="false"/>
          <w:color w:val="000000"/>
          <w:sz w:val="24"/>
          <w:u w:val="single"/>
        </w:rPr>
        <w:t>Section 2.09</w:t>
      </w:r>
      <w:r>
        <w:rPr>
          <w:rFonts w:ascii="Times New Roman;serif" w:hAnsi="Times New Roman;serif"/>
          <w:b w:val="false"/>
          <w:color w:val="000000"/>
          <w:sz w:val="24"/>
        </w:rPr>
        <w:t>, a Note does not cease to be outstanding because the Issuer or an Affiliate of the Issuer holds the Note.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If a Note is replaced pursuant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 it ceases to be outstanding unless the Trustee receives proof satisfactory to it that the replaced Note is held by a protected purchaser, as such term is defined in Section 8-303 of the New York UCC.</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If the principal amount of any Note is considered paid under </w:t>
      </w:r>
      <w:r>
        <w:rPr>
          <w:rFonts w:ascii="Times New Roman;serif" w:hAnsi="Times New Roman;serif"/>
          <w:b w:val="false"/>
          <w:color w:val="000000"/>
          <w:sz w:val="24"/>
          <w:u w:val="single"/>
        </w:rPr>
        <w:t>Section 5.01</w:t>
      </w:r>
      <w:r>
        <w:rPr>
          <w:rFonts w:ascii="Times New Roman;serif" w:hAnsi="Times New Roman;serif"/>
          <w:b w:val="false"/>
          <w:color w:val="000000"/>
          <w:sz w:val="24"/>
        </w:rPr>
        <w:t>, it ceases to be outstanding and interest on it ceases to accrue from and after the date of such payment.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If a Paying Agent (other than the Issuer, a Subsidiary or an Affiliate of any thereof) holds, on the maturity date, any redemption date or any date of purchase pursuant to a Change of Control Offer, money sufficient to pay Notes payable or to be redeemed or purchased on that date, then on and after that date such Notes shall be deemed to be no longer outstanding and shall cease to accrue interest.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2.09    </w:t>
      </w:r>
      <w:r>
        <w:rPr>
          <w:rFonts w:ascii="Times New Roman;serif" w:hAnsi="Times New Roman;serif"/>
          <w:b w:val="false"/>
          <w:color w:val="000000"/>
          <w:sz w:val="24"/>
          <w:u w:val="single"/>
        </w:rPr>
        <w:t>Treasury Notes</w:t>
      </w:r>
      <w:r>
        <w:rPr>
          <w:rFonts w:ascii="Times New Roman;serif" w:hAnsi="Times New Roman;serif"/>
          <w:b w:val="false"/>
          <w:color w:val="000000"/>
          <w:sz w:val="24"/>
        </w:rPr>
        <w:t>. In determining whether the Holders of the requisite principal amount of Notes have concurred in any direction, waiver or consent, Notes beneficially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has written notice as being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 Notwithstanding the foregoing, Notes that are to be acquired by the Issuer or an Affiliate of the Issuer pursuant to an exchange offer, tender offer or other agreement shall not be deemed to be owned by such entity until legal title to such Notes passes to such entity. To the extent the Issuer acquires Notes, the Issuer may in its discretion, but is not required to, submit such Notes to the Trustee for cancellation.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2.10    </w:t>
      </w:r>
      <w:r>
        <w:rPr>
          <w:rFonts w:ascii="Times New Roman;serif" w:hAnsi="Times New Roman;serif"/>
          <w:b w:val="false"/>
          <w:color w:val="000000"/>
          <w:sz w:val="24"/>
          <w:u w:val="single"/>
        </w:rPr>
        <w:t>Temporary Notes</w:t>
      </w:r>
      <w:r>
        <w:rPr>
          <w:rFonts w:ascii="Times New Roman;serif" w:hAnsi="Times New Roman;serif"/>
          <w:b w:val="false"/>
          <w:color w:val="000000"/>
          <w:sz w:val="24"/>
        </w:rPr>
        <w:t>. Until Definitive Notes are ready for delivery, the Issuer may prepare and the Trustee, upon receipt of an Authentication Order, shall authenticate temporary Notes. Temporary Notes shall be substantially in the form of Definitive Notes but may have variations that the Issuer considers appropriate for temporary Notes. Without unreasonable delay, the Issuer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2.11    </w:t>
      </w:r>
      <w:r>
        <w:rPr>
          <w:rFonts w:ascii="Times New Roman;serif" w:hAnsi="Times New Roman;serif"/>
          <w:b w:val="false"/>
          <w:color w:val="000000"/>
          <w:sz w:val="24"/>
          <w:u w:val="single"/>
        </w:rPr>
        <w:t>Cancellation</w:t>
      </w:r>
      <w:r>
        <w:rPr>
          <w:rFonts w:ascii="Times New Roman;serif" w:hAnsi="Times New Roman;serif"/>
          <w:b w:val="false"/>
          <w:color w:val="000000"/>
          <w:sz w:val="24"/>
        </w:rPr>
        <w:t xml:space="preserve">. All Notes surrendered for payment, redemption, registration of transfer or exchange or for credit against any current or future sinking fund payment shall, if surrendered to any Person other than the Trustee, be delivered to the Trustee. All Notes so delivered to the Trustee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 authenticated hereunder which the Issuer has not issued and sold, and all Notes so delivered shall be promptly cancelled by the Trustee. If the Issuer shall acquire any of the Notes, however, such acquisition shall not operate as a redemption, cancellation or satisfaction of the indebtedness represented by such Notes unless and until the same are surrendered to the Trustee for cancellation. If the Issuer or any of its Restricted Subsidiaries acquires any of the Notes, the Issuer and its Restricted Subsidiaries may, but are not required to, submit such Notes to the Trustee for cancellation. No Notes shall be authenticated in lieu of or in exchange for any Notes cancelled as provided in this </w:t>
      </w:r>
      <w:r>
        <w:rPr>
          <w:rFonts w:ascii="Times New Roman;serif" w:hAnsi="Times New Roman;serif"/>
          <w:b w:val="false"/>
          <w:color w:val="000000"/>
          <w:sz w:val="24"/>
          <w:u w:val="single"/>
        </w:rPr>
        <w:t>Section 2.11</w:t>
      </w:r>
      <w:r>
        <w:rPr>
          <w:rFonts w:ascii="Times New Roman;serif" w:hAnsi="Times New Roman;serif"/>
          <w:b w:val="false"/>
          <w:color w:val="000000"/>
          <w:sz w:val="24"/>
        </w:rPr>
        <w:t>, except as expressly permitted by this Indenture. All cancelled Notes held by the Trustee shall be disposed of by the Trustee in accordance with its customary procedures. The Issuer may not issue new Notes or replace Notes that it has paid or that have been delivered to Trustee for cancellation. The Trustee shall, at the Issuer’s written request, provide certification of the disposal of cancelled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2.12    </w:t>
      </w:r>
      <w:r>
        <w:rPr>
          <w:rFonts w:ascii="Times New Roman;serif" w:hAnsi="Times New Roman;serif"/>
          <w:b w:val="false"/>
          <w:color w:val="000000"/>
          <w:sz w:val="24"/>
          <w:u w:val="single"/>
        </w:rPr>
        <w:t>Calculations</w:t>
      </w:r>
      <w:r>
        <w:rPr>
          <w:rFonts w:ascii="Times New Roman;serif" w:hAnsi="Times New Roman;serif"/>
          <w:b w:val="false"/>
          <w:color w:val="000000"/>
          <w:sz w:val="24"/>
        </w:rPr>
        <w:t xml:space="preserve">. The Calculation Agent shall as soon as practicable (but in any event no later than five (5) days prior to any Interest Payment Date or the date of any other amount payable under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notify the Issuer and the Holders of the payment date and the amount of interest payment, or other payment due on such Interest Payment Date. Each determination of an interest rate or interest payment amount by the Calculation Agent pursuant to any provision of this Indenture shall be conclusive and binding on the Issuer and the Holders in the absence of manifest error. Concurrent with each notice delivered pursuant to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the Calculation Agent shall deliver to the Issuer and the Holders showing the quotations used by the Calculation Agent in determining any interest rate, if applicable, and the calculations related to any interest payment amount.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2.13    </w:t>
      </w:r>
      <w:r>
        <w:rPr>
          <w:rFonts w:ascii="Times New Roman;serif" w:hAnsi="Times New Roman;serif"/>
          <w:b w:val="false"/>
          <w:color w:val="000000"/>
          <w:sz w:val="24"/>
          <w:u w:val="single"/>
        </w:rPr>
        <w:t>Interest on Notes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Interest Election</w:t>
      </w:r>
      <w:r>
        <w:rPr>
          <w:rFonts w:ascii="Times New Roman;serif" w:hAnsi="Times New Roman;serif"/>
          <w:b w:val="false"/>
          <w:color w:val="000000"/>
          <w:sz w:val="24"/>
        </w:rPr>
        <w:t xml:space="preserve">. At least five (5) Business Days prior to the expiration of the then current Interest Period (with respect to SOFR Notes) or before an Interest Payment Date (with respect to ABR Notes), the Issuer shall deliver an Interest Election Request to the Trustee, the Calculation Agent and the Paying Agent pursuant to which the Issuer shall elect (i) in the case of a SOFR Note, to (x) continue such Note as a SOFR Note with such Interest Period duration as the Issuer may specify in such notice or (y) convert such Note to an ABR Note upon the expiration of the then current Interest Period or (ii) in the case of an ABR Note, to (x) continue such Note as an ABR Note or (y) convert such Note to a SOFR Note with such Interest Period duration as the Issuer may specify effective as of the upcoming Interest Payment Date. In the absence of receipt of an Interest Election Request by the time specified in the immediately preceding sentence, (i) in the case of a SOFR Note, such Note shall continue as a SOFR Note with an Interest Period of the same duration and (ii) in the case of an ABR Note, such ABR Note </w:t>
      </w:r>
    </w:p>
    <w:p>
      <w:pPr>
        <w:pStyle w:val="TextBody"/>
        <w:bidi w:val="0"/>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shall continue as an ABR Note effective as of the upcoming Interest Payment Date. At all times, there shall be only ABR Notes or only SOFR Notes. The Initial Notes were issued as SOFR Notes with an Interest Period of one (1) month on the Closing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ABR Notes</w:t>
      </w: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Section 2.13(d)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2.13(g)</w:t>
      </w:r>
      <w:r>
        <w:rPr>
          <w:rFonts w:ascii="Times New Roman;serif" w:hAnsi="Times New Roman;serif"/>
          <w:b w:val="false"/>
          <w:color w:val="000000"/>
          <w:sz w:val="24"/>
        </w:rPr>
        <w:t xml:space="preserve">, the ABR Notes shall bear interest at a rate per annum equal to the Alternate Base Rate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Applicable Margin in effect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SOFR Notes</w:t>
      </w:r>
      <w:r>
        <w:rPr>
          <w:rFonts w:ascii="Times New Roman;serif" w:hAnsi="Times New Roman;serif"/>
          <w:b w:val="false"/>
          <w:color w:val="000000"/>
          <w:sz w:val="24"/>
        </w:rPr>
        <w:t xml:space="preserve">. Subject to the provisions of </w:t>
      </w:r>
      <w:r>
        <w:rPr>
          <w:rFonts w:ascii="Times New Roman;serif" w:hAnsi="Times New Roman;serif"/>
          <w:b w:val="false"/>
          <w:color w:val="000000"/>
          <w:sz w:val="24"/>
          <w:u w:val="single"/>
        </w:rPr>
        <w:t>Section 2.13(d)</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2.13(g)</w:t>
      </w:r>
      <w:r>
        <w:rPr>
          <w:rFonts w:ascii="Times New Roman;serif" w:hAnsi="Times New Roman;serif"/>
          <w:b w:val="false"/>
          <w:color w:val="000000"/>
          <w:sz w:val="24"/>
        </w:rPr>
        <w:t xml:space="preserve">, the SOFR Notes shall bear interest at a rate per annum equal to the applicable Term SOFR for the Interest Period in effect for such Note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the Applicable Margin in effect from time to time.</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Default Rate and Interest Payable at Default Rate</w:t>
      </w:r>
      <w:r>
        <w:rPr>
          <w:rFonts w:ascii="Times New Roman;serif" w:hAnsi="Times New Roman;serif"/>
          <w:b w:val="false"/>
          <w:color w:val="000000"/>
          <w:sz w:val="24"/>
        </w:rPr>
        <w:t xml:space="preserve">. Notwithstanding the foregoing, upon the occurrence and during the existence of an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rFonts w:ascii="Times New Roman;serif" w:hAnsi="Times New Roman;serif"/>
          <w:b w:val="false"/>
          <w:color w:val="000000"/>
          <w:sz w:val="24"/>
        </w:rPr>
        <w:t xml:space="preserve">, the overdue Obligations and, at the election of the Controlling Parties, any other Obligations, shall bear interest at a </w:t>
      </w:r>
      <w:r>
        <w:rPr>
          <w:rFonts w:ascii="Times New Roman;serif" w:hAnsi="Times New Roman;serif"/>
          <w:b w:val="false"/>
          <w:i/>
          <w:color w:val="000000"/>
          <w:sz w:val="24"/>
        </w:rPr>
        <w:t>per</w:t>
      </w:r>
      <w:r>
        <w:rPr>
          <w:color w:val="000000"/>
        </w:rPr>
        <w:t xml:space="preserve"> </w:t>
      </w:r>
      <w:r>
        <w:rPr>
          <w:rFonts w:ascii="Times New Roman;serif" w:hAnsi="Times New Roman;serif"/>
          <w:b w:val="false"/>
          <w:i/>
          <w:color w:val="000000"/>
          <w:sz w:val="24"/>
        </w:rPr>
        <w:t>annum</w:t>
      </w:r>
      <w:r>
        <w:rPr>
          <w:color w:val="000000"/>
        </w:rPr>
        <w:t xml:space="preserve"> </w:t>
      </w:r>
      <w:r>
        <w:rPr>
          <w:rFonts w:ascii="Times New Roman;serif" w:hAnsi="Times New Roman;serif"/>
          <w:b w:val="false"/>
          <w:color w:val="000000"/>
          <w:sz w:val="24"/>
        </w:rPr>
        <w:t xml:space="preserve">rate equal to (i) in the case of principal on any Note, two percent (2.00%)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the rate otherwise applicable to such Note as provided in </w:t>
      </w:r>
      <w:r>
        <w:rPr>
          <w:rFonts w:ascii="Times New Roman;serif" w:hAnsi="Times New Roman;serif"/>
          <w:b w:val="false"/>
          <w:color w:val="000000"/>
          <w:sz w:val="24"/>
          <w:u w:val="single"/>
        </w:rPr>
        <w:t>Section 2.13(b)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2.13(c)</w:t>
      </w:r>
      <w:r>
        <w:rPr>
          <w:color w:val="000000"/>
        </w:rPr>
        <w:t xml:space="preserve"> </w:t>
      </w:r>
      <w:r>
        <w:rPr>
          <w:rFonts w:ascii="Times New Roman;serif" w:hAnsi="Times New Roman;serif"/>
          <w:b w:val="false"/>
          <w:color w:val="000000"/>
          <w:sz w:val="24"/>
        </w:rPr>
        <w:t xml:space="preserve">or (ii) in the case of any other such Obligations, two percent (2.00%)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the rate applicable to ABR Notes as provided in </w:t>
      </w:r>
      <w:r>
        <w:rPr>
          <w:rFonts w:ascii="Times New Roman;serif" w:hAnsi="Times New Roman;serif"/>
          <w:b w:val="false"/>
          <w:color w:val="000000"/>
          <w:sz w:val="24"/>
          <w:u w:val="single"/>
        </w:rPr>
        <w:t>Section 2.13(b)</w:t>
      </w:r>
      <w:r>
        <w:rPr>
          <w:rFonts w:ascii="Times New Roman;serif" w:hAnsi="Times New Roman;serif"/>
          <w:b w:val="false"/>
          <w:color w:val="000000"/>
          <w:sz w:val="24"/>
        </w:rPr>
        <w:t xml:space="preserve">. The Issuer shall pay such interest to the Persons who are Holders on a subsequent special record date at the rate provided in this </w:t>
      </w:r>
      <w:r>
        <w:rPr>
          <w:rFonts w:ascii="Times New Roman;serif" w:hAnsi="Times New Roman;serif"/>
          <w:b w:val="false"/>
          <w:color w:val="000000"/>
          <w:sz w:val="24"/>
          <w:u w:val="single"/>
        </w:rPr>
        <w:t>Section 2.13(d)</w:t>
      </w:r>
      <w:r>
        <w:rPr>
          <w:rFonts w:ascii="Times New Roman;serif" w:hAnsi="Times New Roman;serif"/>
          <w:b w:val="false"/>
          <w:color w:val="000000"/>
          <w:sz w:val="24"/>
        </w:rPr>
        <w:t xml:space="preserve">. The Issuer shall notify the Trustee and the Paying Agent in writing of the amount of such interest proposed to be paid on each Note and the date of the proposed payment, and at the same time the Issuer shall deposit with the Trustee or the Paying Agent an amount of money equal to the aggregate amount proposed to be paid in respect of such interest or shall make arrangements satisfactory to the Trustee for such deposit prior to the date of the proposed payment, such money when deposited to be held in trust for the benefit of the Persons entitled to such interest as provided in this </w:t>
      </w:r>
      <w:r>
        <w:rPr>
          <w:rFonts w:ascii="Times New Roman;serif" w:hAnsi="Times New Roman;serif"/>
          <w:b w:val="false"/>
          <w:color w:val="000000"/>
          <w:sz w:val="24"/>
          <w:u w:val="single"/>
        </w:rPr>
        <w:t>Section 2.13</w:t>
      </w:r>
      <w:r>
        <w:rPr>
          <w:rFonts w:ascii="Times New Roman;serif" w:hAnsi="Times New Roman;serif"/>
          <w:b w:val="false"/>
          <w:color w:val="000000"/>
          <w:sz w:val="24"/>
        </w:rPr>
        <w:t xml:space="preserve">. The Issuer shall fix or cause to be fixed any such special record date and payment date; provided that no such special record date shall be less than 10 days prior to the related payment date for such interest. The Issuer shall promptly notify the Trustee and the Paying Agent of any such special record date. At least 15 days before any such special record date, the Issuer (or, upon the written request of the Issuer, the Trustee or the Paying Agent in the name and at the expense of the Issuer) shall send or cause to be sent to each Holder, with a copy to the Trustee and the Paying Agent, a notice at his or her address as it appears in the Note Register that states the special record date, the related payment date and the amount of such interest to be paid. Subject to the foregoing provisions of this </w:t>
      </w:r>
      <w:r>
        <w:rPr>
          <w:rFonts w:ascii="Times New Roman;serif" w:hAnsi="Times New Roman;serif"/>
          <w:b w:val="false"/>
          <w:color w:val="000000"/>
          <w:sz w:val="24"/>
          <w:u w:val="single"/>
        </w:rPr>
        <w:t>Section 2.13</w:t>
      </w:r>
      <w:r>
        <w:rPr>
          <w:color w:val="000000"/>
        </w:rPr>
        <w:t xml:space="preserve"> </w:t>
      </w:r>
      <w:r>
        <w:rPr>
          <w:rFonts w:ascii="Times New Roman;serif" w:hAnsi="Times New Roman;serif"/>
          <w:b w:val="false"/>
          <w:color w:val="000000"/>
          <w:sz w:val="24"/>
        </w:rPr>
        <w:t>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Yield</w:t>
      </w:r>
      <w:r>
        <w:rPr>
          <w:rFonts w:ascii="Times New Roman;serif" w:hAnsi="Times New Roman;serif"/>
          <w:b w:val="false"/>
          <w:i/>
          <w:color w:val="000000"/>
          <w:sz w:val="24"/>
        </w:rPr>
        <w:t xml:space="preserve">. </w:t>
      </w:r>
      <w:r>
        <w:rPr>
          <w:rFonts w:ascii="Times New Roman;serif" w:hAnsi="Times New Roman;serif"/>
          <w:b w:val="false"/>
          <w:color w:val="000000"/>
          <w:sz w:val="24"/>
        </w:rPr>
        <w:t>If the initial Yield on any Pari Passu Notes Lien Indebtedness incurred pursuant to</w:t>
      </w:r>
      <w:r>
        <w:rPr>
          <w:color w:val="000000"/>
        </w:rPr>
        <w:t xml:space="preserve"> </w:t>
      </w:r>
      <w:r>
        <w:rPr>
          <w:rFonts w:ascii="Times New Roman;serif" w:hAnsi="Times New Roman;serif"/>
          <w:b w:val="false"/>
          <w:color w:val="000000"/>
          <w:sz w:val="24"/>
          <w:u w:val="single"/>
        </w:rPr>
        <w:t>Section 6.01(d)</w:t>
      </w:r>
      <w:r>
        <w:rPr>
          <w:color w:val="000000"/>
        </w:rPr>
        <w:t xml:space="preserve"> </w:t>
      </w:r>
      <w:r>
        <w:rPr>
          <w:rFonts w:ascii="Times New Roman;serif" w:hAnsi="Times New Roman;serif"/>
          <w:b w:val="false"/>
          <w:color w:val="000000"/>
          <w:sz w:val="24"/>
        </w:rPr>
        <w:t xml:space="preserve">or any Permitted Additional Debt in the form of loans or notes secured on a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basis with the Obligations incurred pursuant to Section 6.01(a) exceeds the then applicable Yield on the Notes by more than 50 basis points (the amount of such excess above 50 basis points being referred to herein as the “</w:t>
      </w:r>
      <w:r>
        <w:rPr>
          <w:rFonts w:ascii="Times New Roman;serif" w:hAnsi="Times New Roman;serif"/>
          <w:b/>
          <w:color w:val="000000"/>
          <w:sz w:val="24"/>
        </w:rPr>
        <w:t>Yield Differential</w:t>
      </w:r>
      <w:r>
        <w:rPr>
          <w:color w:val="000000"/>
        </w:rPr>
        <w:t>”</w:t>
      </w:r>
      <w:r>
        <w:rPr>
          <w:rFonts w:ascii="Times New Roman;serif" w:hAnsi="Times New Roman;serif"/>
          <w:b w:val="false"/>
          <w:color w:val="000000"/>
          <w:sz w:val="24"/>
        </w:rPr>
        <w:t xml:space="preserve">), then the </w:t>
      </w:r>
    </w:p>
    <w:p>
      <w:pPr>
        <w:pStyle w:val="TextBody"/>
        <w:bidi w:val="0"/>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Applicable Margin then in effect for the Notes shall, upon receipt by the Trustee and the Calculation Agent of an Officer’s Certificate notifying it of such increase, be increased by the Yield Differential beginning on the Interest Payment Date after receipt of such Officer’s Certificate. “</w:t>
      </w:r>
      <w:r>
        <w:rPr>
          <w:rFonts w:ascii="Times New Roman;serif" w:hAnsi="Times New Roman;serif"/>
          <w:b/>
          <w:color w:val="000000"/>
          <w:sz w:val="24"/>
        </w:rPr>
        <w:t>Yield</w:t>
      </w:r>
      <w:r>
        <w:rPr>
          <w:color w:val="000000"/>
        </w:rPr>
        <w:t xml:space="preserve">” </w:t>
      </w:r>
      <w:r>
        <w:rPr>
          <w:rFonts w:ascii="Times New Roman;serif" w:hAnsi="Times New Roman;serif"/>
          <w:b w:val="false"/>
          <w:color w:val="000000"/>
          <w:sz w:val="24"/>
        </w:rPr>
        <w:t>means, with respect to any indebtedness, the then “effective yield” on such Indebtedness consistent with generally accepted financial practice, it being understood that (a) any amendments to the Applicable Margin prior to the applicable Indebtedness incurrence date shall be included, (b) customary arrangement, commitment, structuring, underwriting, ticking, unused line and amendment fees paid or payable to one or more placement agents, underwriters, initial purchasers or arrangers (or their Affiliates) (regardless of whether such fees are paid to or shared in whole or in part with any debt financing source) in their respective capacities as such in connection with the applicable Indebtedness (and the Notes) and any other fees that are not generally payable to all lenders, noteholders or other debt financing sources (or their Affiliates) ratably with respect to any such Indebtedness (and the Notes) and that are paid or payable in connection with such Indebtedness (or the Notes) shall be excluded, (c) original issue discount and upfront fees paid or payable to the debt financing sources thereunder (and with respect to the Notes) shall be included (with original issue discount and upfront fees being equated to interest based on assumed four-year life to maturity (or, if less, the remaining life to maturity) without any present value discount) and (d) to the extent that Term SOFR for a three-month interest period on the closing date of any such Indebtedness is less than the interest rate floor, if any, applicable to any such Indebtedness, the amount of such difference shall be deemed added to the interest rate margins for such Indebtedness.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Interest Payment Dates</w:t>
      </w:r>
      <w:r>
        <w:rPr>
          <w:rFonts w:ascii="Times New Roman;serif" w:hAnsi="Times New Roman;serif"/>
          <w:b w:val="false"/>
          <w:color w:val="000000"/>
          <w:sz w:val="24"/>
        </w:rPr>
        <w:t xml:space="preserve">. Accrued interest on each Note shall be payable in arrears on each Interest Payment Date for such Note;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additional interest accrued pursuant to </w:t>
      </w:r>
      <w:r>
        <w:rPr>
          <w:rFonts w:ascii="Times New Roman;serif" w:hAnsi="Times New Roman;serif"/>
          <w:b w:val="false"/>
          <w:color w:val="000000"/>
          <w:sz w:val="24"/>
          <w:u w:val="single"/>
        </w:rPr>
        <w:t>Section 2.13(d)</w:t>
      </w:r>
      <w:r>
        <w:rPr>
          <w:color w:val="000000"/>
        </w:rPr>
        <w:t xml:space="preserve"> </w:t>
      </w:r>
      <w:r>
        <w:rPr>
          <w:rFonts w:ascii="Times New Roman;serif" w:hAnsi="Times New Roman;serif"/>
          <w:b w:val="false"/>
          <w:color w:val="000000"/>
          <w:sz w:val="24"/>
        </w:rPr>
        <w:t xml:space="preserve">shall be payable in accordance with </w:t>
      </w:r>
      <w:r>
        <w:rPr>
          <w:rFonts w:ascii="Times New Roman;serif" w:hAnsi="Times New Roman;serif"/>
          <w:b w:val="false"/>
          <w:color w:val="000000"/>
          <w:sz w:val="24"/>
          <w:u w:val="single"/>
        </w:rPr>
        <w:t>Section 2.13(d)</w:t>
      </w:r>
      <w:r>
        <w:rPr>
          <w:color w:val="000000"/>
        </w:rPr>
        <w:t xml:space="preserve"> </w:t>
      </w:r>
      <w:r>
        <w:rPr>
          <w:rFonts w:ascii="Times New Roman;serif" w:hAnsi="Times New Roman;serif"/>
          <w:b w:val="false"/>
          <w:color w:val="000000"/>
          <w:sz w:val="24"/>
        </w:rPr>
        <w:t>and (ii) in the event of any repayment, redemption or prepayment of any Note, accrued interest on the principal amount repaid or prepaid shall be payable on the date of such repayment or prepayment.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PIK Option</w:t>
      </w:r>
      <w:r>
        <w:rPr>
          <w:rFonts w:ascii="Times New Roman;serif" w:hAnsi="Times New Roman;serif"/>
          <w:b w:val="false"/>
          <w:color w:val="000000"/>
          <w:sz w:val="24"/>
        </w:rPr>
        <w:t xml:space="preserve">. </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With respect to payments of interest due on any Interest Payment Dates occurring prior to the Maturity Date, the Issuer shall have the option to make any such interest payments in whole or in part (i) in kind (such election, a “</w:t>
      </w:r>
      <w:r>
        <w:rPr>
          <w:rFonts w:ascii="Times New Roman;serif" w:hAnsi="Times New Roman;serif"/>
          <w:b/>
          <w:color w:val="000000"/>
          <w:sz w:val="24"/>
        </w:rPr>
        <w:t>PIK Election</w:t>
      </w:r>
      <w:r>
        <w:rPr>
          <w:color w:val="000000"/>
        </w:rPr>
        <w:t xml:space="preserve">” </w:t>
      </w:r>
      <w:r>
        <w:rPr>
          <w:rFonts w:ascii="Times New Roman;serif" w:hAnsi="Times New Roman;serif"/>
          <w:b w:val="false"/>
          <w:color w:val="000000"/>
          <w:sz w:val="24"/>
        </w:rPr>
        <w:t>and such interest, “</w:t>
      </w:r>
      <w:r>
        <w:rPr>
          <w:rFonts w:ascii="Times New Roman;serif" w:hAnsi="Times New Roman;serif"/>
          <w:b/>
          <w:color w:val="000000"/>
          <w:sz w:val="24"/>
        </w:rPr>
        <w:t>PIK Interest</w:t>
      </w:r>
      <w:r>
        <w:rPr>
          <w:color w:val="000000"/>
        </w:rPr>
        <w:t>”</w:t>
      </w:r>
      <w:r>
        <w:rPr>
          <w:rFonts w:ascii="Times New Roman;serif" w:hAnsi="Times New Roman;serif"/>
          <w:b w:val="false"/>
          <w:color w:val="000000"/>
          <w:sz w:val="24"/>
        </w:rPr>
        <w:t xml:space="preserve">) at a </w:t>
      </w:r>
      <w:r>
        <w:rPr>
          <w:rFonts w:ascii="Times New Roman;serif" w:hAnsi="Times New Roman;serif"/>
          <w:b w:val="false"/>
          <w:i/>
          <w:color w:val="000000"/>
          <w:sz w:val="24"/>
        </w:rPr>
        <w:t xml:space="preserve">per annum rate </w:t>
      </w:r>
      <w:r>
        <w:rPr>
          <w:rFonts w:ascii="Times New Roman;serif" w:hAnsi="Times New Roman;serif"/>
          <w:b w:val="false"/>
          <w:color w:val="000000"/>
          <w:sz w:val="24"/>
        </w:rPr>
        <w:t>equal to 1.00%</w:t>
      </w:r>
      <w:r>
        <w:rPr>
          <w:color w:val="000000"/>
        </w:rPr>
        <w:t xml:space="preserve">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the rate otherwise applicable to such Note as provided in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2.13(b)</w:t>
      </w:r>
      <w:r>
        <w:rPr>
          <w:color w:val="000000"/>
        </w:rPr>
        <w:t xml:space="preserve"> </w:t>
      </w:r>
      <w:r>
        <w:rPr>
          <w:rFonts w:ascii="Times New Roman;serif" w:hAnsi="Times New Roman;serif"/>
          <w:b w:val="false"/>
          <w:color w:val="000000"/>
          <w:sz w:val="24"/>
        </w:rPr>
        <w:t>or (ii) in cash (such election, a “</w:t>
      </w:r>
      <w:r>
        <w:rPr>
          <w:rFonts w:ascii="Times New Roman;serif" w:hAnsi="Times New Roman;serif"/>
          <w:b/>
          <w:color w:val="000000"/>
          <w:sz w:val="24"/>
        </w:rPr>
        <w:t>Cash Election</w:t>
      </w:r>
      <w:r>
        <w:rPr>
          <w:color w:val="000000"/>
        </w:rPr>
        <w:t>”</w:t>
      </w:r>
      <w:r>
        <w:rPr>
          <w:rFonts w:ascii="Times New Roman;serif" w:hAnsi="Times New Roman;serif"/>
          <w:b w:val="false"/>
          <w:color w:val="000000"/>
          <w:sz w:val="24"/>
        </w:rPr>
        <w:t xml:space="preserve">) at the rate applicable to such Note as provided in </w:t>
      </w:r>
      <w:r>
        <w:rPr>
          <w:rFonts w:ascii="Times New Roman;serif" w:hAnsi="Times New Roman;serif"/>
          <w:b w:val="false"/>
          <w:color w:val="000000"/>
          <w:sz w:val="24"/>
          <w:u w:val="single"/>
        </w:rPr>
        <w:t>Section 2.13(a)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2.13(b)</w:t>
      </w:r>
      <w:r>
        <w:rPr>
          <w:rFonts w:ascii="Times New Roman;serif" w:hAnsi="Times New Roman;serif"/>
          <w:b w:val="false"/>
          <w:color w:val="000000"/>
          <w:sz w:val="24"/>
        </w:rPr>
        <w:t xml:space="preserve">. With respect to any Interest Payment Date with respect to which the Issuer makes a PIK Election, such PIK Election shall be made by the Issuer delivering a written notice in the form attached hereto as </w:t>
      </w:r>
      <w:r>
        <w:rPr>
          <w:rFonts w:ascii="Times New Roman;serif" w:hAnsi="Times New Roman;serif"/>
          <w:b w:val="false"/>
          <w:color w:val="000000"/>
          <w:sz w:val="24"/>
          <w:u w:val="single"/>
        </w:rPr>
        <w:t>Exhibit E</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PIK Interest Election Notice</w:t>
      </w:r>
      <w:r>
        <w:rPr>
          <w:color w:val="000000"/>
        </w:rPr>
        <w:t>”</w:t>
      </w:r>
      <w:r>
        <w:rPr>
          <w:rFonts w:ascii="Times New Roman;serif" w:hAnsi="Times New Roman;serif"/>
          <w:b w:val="false"/>
          <w:color w:val="000000"/>
          <w:sz w:val="24"/>
        </w:rPr>
        <w:t xml:space="preserve">) to the Trustee (not later than 12:00 p.m., New York City time), at least ten (10) days prior to (x) with respect to SOFR Notes, the beginning of the applicable Interest Period during which such election shall apply, or (y) with respect to ABR Notes, the applicable Interest Payment Date upon and following which such election shall apply. If the Issuer fails to provide a PIK Interest Election Notice, the Issuer shall be deemed to have made a Cash Election. </w:t>
      </w:r>
    </w:p>
    <w:p>
      <w:pPr>
        <w:pStyle w:val="TextBody"/>
        <w:bidi w:val="0"/>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PIK Interest on the Notes, for applicable interest periods, will be payable on the Interest Payment Date to which such PIK Election relates (x) with respect to Notes represented by one or more Global Notes registered in the name of, or held by, the Depositary or its nominee on the relevant record date, by increasing the principal amount of the outstanding Global Notes by an amount equal to the amount of PIK Interest for the applicable interest period (rounded up to the nearest whole Dollar) and (y) with respect to Notes represented by certificated notes, by issuing PIK Notes in certificated form in an aggregate principal amount equal to the amount of PIK Interest for the applicable period (rounded up to the nearest whole Dollar), and the Trustee will, at the request of the Issuer, authenticate and deliver such PIK Notes in certificated form for original issuance to the Holders on the relevant record date, as shown by the Note Register. Following a PIK Election, the Notes will bear interest at the rate set forth in </w:t>
      </w:r>
      <w:r>
        <w:rPr>
          <w:rFonts w:ascii="Times New Roman;serif" w:hAnsi="Times New Roman;serif"/>
          <w:b w:val="false"/>
          <w:color w:val="000000"/>
          <w:sz w:val="24"/>
          <w:u w:val="single"/>
        </w:rPr>
        <w:t>Section 2.13(g)(i)</w:t>
      </w:r>
      <w:r>
        <w:rPr>
          <w:color w:val="000000"/>
        </w:rPr>
        <w:t xml:space="preserve"> </w:t>
      </w:r>
      <w:r>
        <w:rPr>
          <w:rFonts w:ascii="Times New Roman;serif" w:hAnsi="Times New Roman;serif"/>
          <w:b w:val="false"/>
          <w:color w:val="000000"/>
          <w:sz w:val="24"/>
        </w:rPr>
        <w:t>above from and after (x) in the case of SOFR Notes, the first day of the Interest Period to which such PIK Election relates and (y) in the case of ABR Notes, the Interest Payment Date constituting the beginning of the period for which such PIK Election relates. Any PIK Notes issued in certificated form will be dated as of the Interest Payment Date to which such PIK Election relates and will bear interest from and after such date. All PIK Notes issued pursuant to a PIK Election will mature on the Maturity Date and will be governed by, and subject to the terms, provisions and conditions of, the Indenture and shall have the same rights and benefits as the Notes issued on the Closing Date. Any certificated PIK Notes will be issued with the description “PIK” on the face of such Notes, and references to the “principal amount” of the Notes shall include any increase in the principal amount of the Notes as a result of any PIK Interest. The calculation of PIK Interest will be made by the Calculation Agent, and such calculation and the correctness thereof shall not be a duty or obligation of the Trustee. PIK Interest on the Notes will be paid in denominations of $1.00 and integral multiples of $1.00 in excess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Interest Calculation</w:t>
      </w:r>
      <w:r>
        <w:rPr>
          <w:rFonts w:ascii="Times New Roman;serif" w:hAnsi="Times New Roman;serif"/>
          <w:b w:val="false"/>
          <w:color w:val="000000"/>
          <w:sz w:val="24"/>
        </w:rPr>
        <w:t xml:space="preserve">. All interest hereunder shall be computed on the basis of a year of three hundred sixty (360) days, except that interest computed by reference to the Base Rate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definition of “Alternate Base Rate” shall be computed on the basis of a year of three hundred sixty-five (365) days (or three hundred sixty-six (366) days in a leap year), and in each case shall be payable for the actual number of days elapsed (including the first day but excluding the last day). The applicable Alternate Base Rate or Term SOFR shall be determined in accordance with the provisions of this Indenture and such determination shall be deemed presumptively correct absent manifest error.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(i)    </w:t>
      </w:r>
      <w:r>
        <w:rPr>
          <w:rFonts w:ascii="Times New Roman;serif" w:hAnsi="Times New Roman;serif"/>
          <w:b w:val="false"/>
          <w:color w:val="000000"/>
          <w:sz w:val="24"/>
          <w:u w:val="single"/>
        </w:rPr>
        <w:t>Term SOFR Conforming Changes</w:t>
      </w:r>
      <w:r>
        <w:rPr>
          <w:rFonts w:ascii="Times New Roman;serif" w:hAnsi="Times New Roman;serif"/>
          <w:b w:val="false"/>
          <w:color w:val="000000"/>
          <w:sz w:val="24"/>
        </w:rPr>
        <w:t>. In connection with the use or administration of Term SOFR, the Issuer or its designee (with the approval of the Controlling Party) will have the right to make Conforming Changes from time to time and, notwithstanding anything to the contrary herein or in any other Note Document, any amendments implementing such Conforming Changes will become effective without any further action or consent of any other party to this Indenture or any other Note Document. The Issuer or its designee will promptly notify the Calculation Agent, the Trustee and the Holders of the effectiveness of any Conforming Changes in connection with the use or administration of Term SOFR.</w:t>
      </w:r>
    </w:p>
    <w:p>
      <w:pPr>
        <w:pStyle w:val="TextBody"/>
        <w:bidi w:val="0"/>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2.14    </w:t>
      </w:r>
      <w:r>
        <w:rPr>
          <w:rFonts w:ascii="Times New Roman;serif" w:hAnsi="Times New Roman;serif"/>
          <w:b w:val="false"/>
          <w:color w:val="000000"/>
          <w:sz w:val="24"/>
          <w:u w:val="single"/>
        </w:rPr>
        <w:t>CUSIP and ISIN Numbers</w:t>
      </w:r>
      <w:r>
        <w:rPr>
          <w:rFonts w:ascii="Times New Roman;serif" w:hAnsi="Times New Roman;serif"/>
          <w:b w:val="false"/>
          <w:color w:val="000000"/>
          <w:sz w:val="24"/>
        </w:rPr>
        <w:t xml:space="preserve">. The Issuer in issuing the Notes may use CUSIP or ISIN numbers (if then generally in use) and, if so, such CUSIP or ISIN numbers may be used in notices of redemption (including Change of Control Offers and Net Cash Proceeds Offers) as a convenience to Holders;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the Trustee shall not be responsible for the accuracy of any CUSIP or ISIN number printed on any note, notice or elsewhere, any such notice may state that no representation is made as to the correctness of such numbers either as printed on the Notes or as contained in any notice of redemption (including Change of Control Offers and Net Cash Proceeds Offers) and that reliance may be placed only on the other identification numbers printed on the Notes, and any such redemption (including Change of Control Offers and Net Cash Proceeds Offers) shall not be affected by any defect in or omission of such numbers.  The Issuer shall promptly notify the Trustee in writing of any change in the CUSIP or ISIN numbers.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2.15    </w:t>
      </w:r>
      <w:r>
        <w:rPr>
          <w:rFonts w:ascii="Times New Roman;serif" w:hAnsi="Times New Roman;serif"/>
          <w:b w:val="false"/>
          <w:color w:val="000000"/>
          <w:sz w:val="24"/>
          <w:u w:val="single"/>
        </w:rPr>
        <w:t>Persons Deemed Owners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Prior to due presentment of a Note for registration of transfer, the Issuer, the Trustee and any agent of the Issuer or the Trustee may treat the Person in whose name such Note is registered as the owner of such Note for the purpose of receiving payment of principal of (and premium, if any) and (subject to </w:t>
      </w:r>
      <w:r>
        <w:rPr>
          <w:rFonts w:ascii="Times New Roman;serif" w:hAnsi="Times New Roman;serif"/>
          <w:b w:val="false"/>
          <w:color w:val="000000"/>
          <w:sz w:val="24"/>
          <w:u w:val="single"/>
        </w:rPr>
        <w:t>Section 2.13</w:t>
      </w:r>
      <w:r>
        <w:rPr>
          <w:rFonts w:ascii="Times New Roman;serif" w:hAnsi="Times New Roman;serif"/>
          <w:b w:val="false"/>
          <w:color w:val="000000"/>
          <w:sz w:val="24"/>
        </w:rPr>
        <w:t>) interest, if any, on such Note and, subject to Section 1.12(i) for any other purposes whatsoever, whether or not such Note be overdue, and none of the Issuer, the Trustee or any agent of the Issuer or the Trustee shall be affected by notice to the contrary.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None of the Issuer, the Trustee, the Calculation Agent, any Paying Agent or the Registrar will have any responsibility or liability for any aspect of (i) the records relating to or payments made on account of any participants in the Depositary or any beneficial ownership interests of a Global Note, (ii) maintaining, supervising or reviewing any records maintained by any Depositary or participant therein or any other Person relating to such beneficial ownership interests, or (iii) any consent given or other action taken by the Depositary or other Holder of a Note, as the registered holder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Notwithstanding the foregoing, with respect to any Global Note, nothing herein shall prevent the Issuer, the Trustee, or any agent of the Issuer or the Trustee, from giving effect to any written certification, proxy or other authorization furnished by any Depositary, as a Holder, with respect to such Global Note or impair, as between such Depositary and owners of beneficial interests in such Global Note, the operation of customary practices governing the exercise of the rights of such Depositary (or its nominee) as Holder of such Global Note.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2.16    </w:t>
      </w:r>
      <w:r>
        <w:rPr>
          <w:rFonts w:ascii="Times New Roman;serif" w:hAnsi="Times New Roman;serif"/>
          <w:b w:val="false"/>
          <w:color w:val="000000"/>
          <w:sz w:val="24"/>
          <w:u w:val="single"/>
        </w:rPr>
        <w:t>Alternate Rate of Interest</w:t>
      </w:r>
      <w:r>
        <w:rPr>
          <w:rFonts w:ascii="Times New Roman;serif" w:hAnsi="Times New Roman;serif"/>
          <w:b w:val="false"/>
          <w:color w:val="000000"/>
          <w:sz w:val="24"/>
        </w:rPr>
        <w:t>. If prior to the commencement of any Interest Period for a SOFR Note: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Calculation Agent determines in good faith and in its reasonable discretion (which determination shall be deemed presumptively correct absent manifest error) that adequate and reasonable means do not exist for ascertaining Term SOFR for such Interest Period; or</w:t>
      </w:r>
    </w:p>
    <w:p>
      <w:pPr>
        <w:pStyle w:val="TextBody"/>
        <w:bidi w:val="0"/>
        <w:spacing w:before="0" w:after="0"/>
        <w:jc w:val="both"/>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Calculation Agent determines in good faith and in its reasonable discretion or is advised in writing by the Controlling Parties that Term SOFR for such Interest Period will not adequately and fairly reflect the cost to such Holders of purchasing or maintaining their Notes for such Interest Period;</w:t>
      </w:r>
    </w:p>
    <w:p>
      <w:pPr>
        <w:pStyle w:val="TextBody"/>
        <w:bidi w:val="0"/>
        <w:spacing w:lineRule="auto" w:line="288" w:before="0" w:after="240"/>
        <w:jc w:val="both"/>
        <w:rPr/>
      </w:pPr>
      <w:r>
        <w:rPr>
          <w:rFonts w:ascii="Times New Roman;serif" w:hAnsi="Times New Roman;serif"/>
          <w:b w:val="false"/>
          <w:color w:val="000000"/>
          <w:sz w:val="24"/>
        </w:rPr>
        <w:t xml:space="preserve">then the Calculation Agent shall give written notice thereof to the Issuer and the Holders as promptly as practicable thereafter and, until the Calculation Agent notifies the Issuer and the Holders that the circumstances giving rise to such notice no longer exist (which notice shall be delivered by the Calculation Agent promptly after such situation ceases to exist), (i) any Notes requested to be issued and purchased on the first day of such Interest Period shall be issued and purchased as ABR Notes and (ii) any outstanding Notes shall be converted, on the last day of the then-current Interest Period, to ABR Notes; </w:t>
      </w:r>
      <w:r>
        <w:rPr>
          <w:rFonts w:ascii="Times New Roman;serif" w:hAnsi="Times New Roman;serif"/>
          <w:b w:val="false"/>
          <w:i/>
          <w:color w:val="000000"/>
          <w:sz w:val="24"/>
        </w:rPr>
        <w:t>provided</w:t>
      </w:r>
      <w:r>
        <w:rPr>
          <w:rFonts w:ascii="Times New Roman;serif" w:hAnsi="Times New Roman;serif"/>
          <w:b w:val="false"/>
          <w:color w:val="000000"/>
          <w:sz w:val="24"/>
        </w:rPr>
        <w:t>, that, the Issuer may revoke any such issuance request (without penalty) prior to such issuance upon written notice to the Calculation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2.17    </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Notwithstanding anything to the contrary herein or in any other Note Document, if a Benchmark Transition Event and its related Benchmark Replacement Date have occurred prior to any setting of the then-current Benchmark, then such Benchmark Replacement will replace such Benchmark for all purposes hereunder and under any Note Document in respect of any Benchmark setting at or after 5:00 p.m. (New York City time) on the fifth (5th) Business Day after the date notice of such Benchmark Replacement is provided to the Holders, the Trustee and the Calculation Agent without any amendment to, or further action or consent of any other party to, this Indenture or any other Note Document so long as the Issuer has not received, by such time, written notice of objection to such Benchmark Replacement from Holders comprising the Controlling Parties.</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No Hedging Agreement shall be deemed to be a “Note Document” for purposes of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xml:space="preserve">. In connection with the use, administration, adoption or implementation of a Benchmark Replacement, the Issuer or its designee (with approval of the Controlling Party) will have the right to make Conforming Changes from time to time and, notwithstanding anything to the contrary herein or in any other Note Document, any amendments implementing such Conforming Changes will become effective without any further action or consent of any other party to this Indenture or any other Note Document;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 no such changes may adversely affect the Trustee or the Calculation Agent without their prior written consent.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xml:space="preserve">. The Issuer or its designee will promptly notify the Calculation Agent, the Trustee and the Holders of (i) the implementation of any Benchmark Replacement and (ii) the effectiveness of any Conforming Changes in connection with the use, administration, adoption or implementation of a Benchmark </w:t>
      </w:r>
    </w:p>
    <w:p>
      <w:pPr>
        <w:pStyle w:val="TextBody"/>
        <w:bidi w:val="0"/>
        <w:spacing w:before="0" w:after="0"/>
        <w:jc w:val="both"/>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Replacement. The Issuer or its designee will notify the Calculation Agent, the Trustee and the Holders of (A) the removal or reinstatement of any tenor of a Benchmark pursuant to </w:t>
      </w:r>
      <w:r>
        <w:rPr>
          <w:rFonts w:ascii="Times New Roman;serif" w:hAnsi="Times New Roman;serif"/>
          <w:b w:val="false"/>
          <w:color w:val="000000"/>
          <w:sz w:val="24"/>
          <w:u w:val="single"/>
        </w:rPr>
        <w:t>Section 2.17(d)</w:t>
      </w:r>
      <w:r>
        <w:rPr>
          <w:color w:val="000000"/>
        </w:rPr>
        <w:t xml:space="preserve"> </w:t>
      </w:r>
      <w:r>
        <w:rPr>
          <w:rFonts w:ascii="Times New Roman;serif" w:hAnsi="Times New Roman;serif"/>
          <w:b w:val="false"/>
          <w:color w:val="000000"/>
          <w:sz w:val="24"/>
        </w:rPr>
        <w:t xml:space="preserve">and (B) the commencement of any Benchmark Unavailability Period. Any determination, decision or election that may be made by the Issuer or its designee (with approval of the Controlling Party) or, if applicable, any Holder (or group of Holders) pursuant to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Indenture or any other Note Document, except, in each case, as expressly required pursuant to this </w:t>
      </w:r>
      <w:r>
        <w:rPr>
          <w:rFonts w:ascii="Times New Roman;serif" w:hAnsi="Times New Roman;serif"/>
          <w:b w:val="false"/>
          <w:color w:val="000000"/>
          <w:sz w:val="24"/>
          <w:u w:val="single"/>
        </w:rPr>
        <w:t>Section 2.17</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Note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Issuer or its designee in its reasonable discretion or (B) the regulatory supervisor for the administrator of such Benchmark has provided a public statement or publication of information announcing that any tenor for such Benchmark is not or will not be representative, then the Issuer or its designee may modify the definition of “Interest Period” (or any similar or analogous definition) for any Benchmark settings at or after such time to remove such unavailable or non-representative tenor and (ii) if a tenor that was removed pursuant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Issuer or its designee (with approval of the Controlling Party) may modify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commencement of a Benchmark Unavailability Period, the Issuer may revoke any pending request for the issuance of a SOFR Note of, conversion to or continuation of SOFR Notes to be made, converted or continued during any Benchmark Unavailability Period and, failing that, the Issuer will be deemed to have converted any such request into a request for the issuance of a Note of or conversion to ABR Notes. During a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III</w:t>
        <w:br/>
        <w:t>REDEMPTION AND PREPAYMENT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3.01    </w:t>
      </w:r>
      <w:r>
        <w:rPr>
          <w:rFonts w:ascii="Times New Roman;serif" w:hAnsi="Times New Roman;serif"/>
          <w:b w:val="false"/>
          <w:color w:val="000000"/>
          <w:sz w:val="24"/>
          <w:u w:val="single"/>
        </w:rPr>
        <w:t>Notices to Trustee</w:t>
      </w:r>
      <w:r>
        <w:rPr>
          <w:rFonts w:ascii="Times New Roman;serif" w:hAnsi="Times New Roman;serif"/>
          <w:b w:val="false"/>
          <w:color w:val="000000"/>
          <w:sz w:val="24"/>
        </w:rPr>
        <w:t xml:space="preserve">. If the Issuer elects to redeem Notes pursuant to the optional redemption provisions of </w:t>
      </w:r>
      <w:r>
        <w:rPr>
          <w:rFonts w:ascii="Times New Roman;serif" w:hAnsi="Times New Roman;serif"/>
          <w:b w:val="false"/>
          <w:color w:val="000000"/>
          <w:sz w:val="24"/>
          <w:u w:val="single"/>
        </w:rPr>
        <w:t>Section 3.07</w:t>
      </w:r>
      <w:r>
        <w:rPr>
          <w:rFonts w:ascii="Times New Roman;serif" w:hAnsi="Times New Roman;serif"/>
          <w:b w:val="false"/>
          <w:color w:val="000000"/>
          <w:sz w:val="24"/>
        </w:rPr>
        <w:t xml:space="preserve">, it shall furnish to the Trustee, at least three </w:t>
      </w:r>
    </w:p>
    <w:p>
      <w:pPr>
        <w:pStyle w:val="TextBody"/>
        <w:bidi w:val="0"/>
        <w:spacing w:before="0" w:after="0"/>
        <w:jc w:val="both"/>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Business Days (or such shorter period as is acceptable to the Trustee) before sending a notice of such redemption to the Holders, a notice setting forth the (a) section of this Indenture pursuant to which the redemption shall occur, (b) redemption date and (c) principal amount of Notes to be redeemed. Any such notice to the Trustee may be cancelled at any time prior to notice of such redemption being sent to any Holder and shall thereby be void and of no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3.02    </w:t>
      </w:r>
      <w:r>
        <w:rPr>
          <w:rFonts w:ascii="Times New Roman;serif" w:hAnsi="Times New Roman;serif"/>
          <w:b w:val="false"/>
          <w:color w:val="000000"/>
          <w:sz w:val="24"/>
          <w:u w:val="single"/>
        </w:rPr>
        <w:t>Selection of Notes to Be Redeemed</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In the event that less than all of the Notes are to be redeemed at any time, the Trustee shall select the Notes to be redeemed among the Holders on a pro rata basis (except that any Notes represented by a Global Note will be redeemed by such method as the Depositary may require) unless otherwise required by law or any applicable depositary or stock exchange requirements;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Notes of $1.00 in original principal amount or less shall be selected for redemption in part.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On and after the redemption date, unless the Issuer defaults in the payment of the redemption price, interest will cease to accrue on Notes or portions of them called for redemption so long as the Issuer has deposited with the Paying Agent funds in satisfaction of the applicable redemption price pursuant to this Indenture (including accrued and unpaid interest on the Notes to be redeemed). The Trustee shall promptly notify the Issuer in writing of the Notes selected for redemption. The Trustee may select for redemption portions (equal to $1.00 or any integral multiples of $1.00 thereof) of the principal of the Notes that have minimum denominations larger than $1.00.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3.03    </w:t>
      </w:r>
      <w:r>
        <w:rPr>
          <w:rFonts w:ascii="Times New Roman;serif" w:hAnsi="Times New Roman;serif"/>
          <w:b w:val="false"/>
          <w:color w:val="000000"/>
          <w:sz w:val="24"/>
          <w:u w:val="single"/>
        </w:rPr>
        <w:t>Notice of Optional Redemption</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Issuer shall deliver or cause to be delivered in accordance with </w:t>
      </w:r>
      <w:r>
        <w:rPr>
          <w:rFonts w:ascii="Times New Roman;serif" w:hAnsi="Times New Roman;serif"/>
          <w:b w:val="false"/>
          <w:color w:val="000000"/>
          <w:sz w:val="24"/>
          <w:u w:val="single"/>
        </w:rPr>
        <w:t>Section 13.02</w:t>
      </w:r>
      <w:r>
        <w:rPr>
          <w:rFonts w:ascii="Times New Roman;serif" w:hAnsi="Times New Roman;serif"/>
          <w:b w:val="false"/>
          <w:color w:val="000000"/>
          <w:sz w:val="24"/>
        </w:rPr>
        <w:t xml:space="preserve">, a notice of optional redemption to each Holder whose Notes are to be redeemed (with a copy to the Trustee), at least 10 days but not more than 60 days before a redemption date (except that notices may be delivered more than 60 days before a redemption date if the notice is issued in connection with a transaction effected pursuant to </w:t>
      </w:r>
      <w:r>
        <w:rPr>
          <w:rFonts w:ascii="Times New Roman;serif" w:hAnsi="Times New Roman;serif"/>
          <w:b w:val="false"/>
          <w:color w:val="000000"/>
          <w:sz w:val="24"/>
          <w:u w:val="single"/>
        </w:rPr>
        <w:t>Article X</w:t>
      </w:r>
      <w:r>
        <w:rPr>
          <w:rFonts w:ascii="Times New Roman;serif" w:hAnsi="Times New Roman;serif"/>
          <w:b w:val="false"/>
          <w:color w:val="000000"/>
          <w:sz w:val="24"/>
        </w:rPr>
        <w:t xml:space="preserve">). Any notice of redemption made in connection with a related transaction or event (including, without limitation, a Change of Control, Asset Sale, Debt Issuance or other transaction) may, at the Issuer’s discretion, be given prior to the completion or the occurrence thereof, and any such redemption or notice may, at the Issuer’s discretion, be subject to one or more conditions precedent, including, but not limited to, the completion or occurrence of the related transaction or event, as the case may be. In addition, if such redemption is subject to satisfaction of one or more conditions precedent, such notice will describe each such condition, and, if applicable, will state that, in the Issuer’s discretion, the redemption date may be delayed until such time (including more than 60 days after the date the notice of redemption was mailed or delivered, including by electronic transmission) as any or all such conditions are satisfied (or waived by the Issuer in its sole discretion), or that such redemption may not occur and such notice may be rescinded in the event that any or all such conditions are not satisfied (or waived by the Issuer in its sole discretion) by the redemption date, or by the redemption date as so delayed, or that such notice may be rescinded at any time in the Issuer’s discretion if as determined in good faith by the Issuer, any or all of such conditions will not be satisfied. The Issuer will provide the Trustee with written notice </w:t>
      </w:r>
    </w:p>
    <w:p>
      <w:pPr>
        <w:pStyle w:val="TextBody"/>
        <w:bidi w:val="0"/>
        <w:spacing w:before="0" w:after="0"/>
        <w:jc w:val="both"/>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of the satisfaction or waiver of such conditions precedent, the delay of such redemption or the rescission of such notice of redemption in the same manner that the related notice of redemption was given to the Trustee, and, at the request of the Issuer, the Trustee will send a copy of such notice to the Trustee to the Holders in the same manner that the related notice of redemption was given to such Holders. In addition, the Issuer may provide in such notice that payment of the redemption price and performance of the Issuer’s obligations with respect to such redemption may be performed by another Person.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The notice shall identify the Notes to be redeemed (including “</w:t>
      </w:r>
      <w:r>
        <w:rPr>
          <w:rFonts w:ascii="Times New Roman;serif" w:hAnsi="Times New Roman;serif"/>
          <w:b/>
          <w:color w:val="000000"/>
          <w:sz w:val="24"/>
        </w:rPr>
        <w:t>CUSIP</w:t>
      </w:r>
      <w:r>
        <w:rPr>
          <w:color w:val="000000"/>
        </w:rPr>
        <w:t xml:space="preserve">” </w:t>
      </w:r>
      <w:r>
        <w:rPr>
          <w:rFonts w:ascii="Times New Roman;serif" w:hAnsi="Times New Roman;serif"/>
          <w:b w:val="false"/>
          <w:color w:val="000000"/>
          <w:sz w:val="24"/>
        </w:rPr>
        <w:t>numbers and corresponding “</w:t>
      </w:r>
      <w:r>
        <w:rPr>
          <w:rFonts w:ascii="Times New Roman;serif" w:hAnsi="Times New Roman;serif"/>
          <w:b/>
          <w:color w:val="000000"/>
          <w:sz w:val="24"/>
        </w:rPr>
        <w:t>ISINs</w:t>
      </w:r>
      <w:r>
        <w:rPr>
          <w:color w:val="000000"/>
        </w:rPr>
        <w:t>”</w:t>
      </w:r>
      <w:r>
        <w:rPr>
          <w:rFonts w:ascii="Times New Roman;serif" w:hAnsi="Times New Roman;serif"/>
          <w:b w:val="false"/>
          <w:color w:val="000000"/>
          <w:sz w:val="24"/>
        </w:rPr>
        <w:t>, if applicable) and shall state: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redemption date;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redemption price (or the method by which it is to be determined);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if any Note is being redeemed in part, the portion of the principal amount of such Note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the name and address of the Paying Agent;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that Notes called for redemption must be surrendered to the Paying Agent to collect the redemption price;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that, unless the Issuer defaults in making such redemption payment, interest, if any, on Notes called for redemption ceases to accrue on and after the redemption date;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    the paragraph of the Notes and/or Section of this Indenture pursuant to which the Notes called for redemption are being redeemed;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(viii)    that no representation is made as to the correctness or accuracy of the CUSIP number, if any, listed in such notice or printed on the Notes;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(ix)    any conditions precedent to such redemption.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At the Issuer’s written request, the Trustee shall give the notice of redemption in the Issuer’s name and at the Issuer’s expense;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Issuer shall have delivered to the Trustee, at least three Business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Any such request to the Trustee may be revoked or cancelled at any time prior to notice of such redemption being sent to any Holder and shall thereby be void and of no effect. The notice sent in the manner herein provided shall be deemed </w:t>
      </w:r>
    </w:p>
    <w:p>
      <w:pPr>
        <w:pStyle w:val="TextBody"/>
        <w:bidi w:val="0"/>
        <w:spacing w:before="0" w:after="0"/>
        <w:jc w:val="both"/>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to have been duly given whether or not the Holder receives such notice. In any case, failure to give such notice or any defect in the notice to the Holder of any Note shall not affect the validity of the proceeding for the redemption of any other Note. The notice of redemption issued pursuant to </w:t>
      </w:r>
      <w:r>
        <w:rPr>
          <w:rFonts w:ascii="Times New Roman;serif" w:hAnsi="Times New Roman;serif"/>
          <w:b w:val="false"/>
          <w:color w:val="000000"/>
          <w:sz w:val="24"/>
          <w:u w:val="single"/>
        </w:rPr>
        <w:t>Section 3.07(a)</w:t>
      </w:r>
      <w:r>
        <w:rPr>
          <w:color w:val="000000"/>
        </w:rPr>
        <w:t xml:space="preserve"> </w:t>
      </w:r>
      <w:r>
        <w:rPr>
          <w:rFonts w:ascii="Times New Roman;serif" w:hAnsi="Times New Roman;serif"/>
          <w:b w:val="false"/>
          <w:color w:val="000000"/>
          <w:sz w:val="24"/>
        </w:rPr>
        <w:t>need not set forth the Make-Whole Amount but only the manner of calculation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3.04    </w:t>
      </w:r>
      <w:r>
        <w:rPr>
          <w:rFonts w:ascii="Times New Roman;serif" w:hAnsi="Times New Roman;serif"/>
          <w:b w:val="false"/>
          <w:color w:val="000000"/>
          <w:sz w:val="24"/>
          <w:u w:val="single"/>
        </w:rPr>
        <w:t>Effect of Notice of Redemption</w:t>
      </w:r>
      <w:r>
        <w:rPr>
          <w:rFonts w:ascii="Times New Roman;serif" w:hAnsi="Times New Roman;serif"/>
          <w:b w:val="false"/>
          <w:color w:val="000000"/>
          <w:sz w:val="24"/>
        </w:rPr>
        <w:t xml:space="preserve">. Once notice of redemption is delivered in accordance with </w:t>
      </w:r>
      <w:r>
        <w:rPr>
          <w:rFonts w:ascii="Times New Roman;serif" w:hAnsi="Times New Roman;serif"/>
          <w:b w:val="false"/>
          <w:color w:val="000000"/>
          <w:sz w:val="24"/>
          <w:u w:val="single"/>
        </w:rPr>
        <w:t>Section 3.03</w:t>
      </w:r>
      <w:r>
        <w:rPr>
          <w:rFonts w:ascii="Times New Roman;serif" w:hAnsi="Times New Roman;serif"/>
          <w:b w:val="false"/>
          <w:color w:val="000000"/>
          <w:sz w:val="24"/>
        </w:rPr>
        <w:t>, Notes called for redemption become due and payable on the redemption date at the applicable redemption price, subject to satisfaction of any conditions specified in the notice of redemption.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3.05    </w:t>
      </w:r>
      <w:r>
        <w:rPr>
          <w:rFonts w:ascii="Times New Roman;serif" w:hAnsi="Times New Roman;serif"/>
          <w:b w:val="false"/>
          <w:color w:val="000000"/>
          <w:sz w:val="24"/>
          <w:u w:val="single"/>
        </w:rPr>
        <w:t>Deposit of Redemption Price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On or before 12:00 p.m. (New York City time) on the redemption date, the Issuer shall deposit with the Trustee or with the Paying Agent (or, if the Issuer or a Subsidiary of the Issuer is the Paying Agent, shall segregate and hold in trust) money sufficient to pay the redemption price on all Notes to be redeemed on that date. The Trustee or the Paying Agent shall promptly return to the Issuer any money deposited with the Trustee or the Paying Agent by the Issuer in excess of the amounts necessary to pay the redemption price of all Notes to be redeemed.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If Notes called for redemption or tendered in connection with a Net Cash Proceeds Offer or Change of Control Offer are paid or if the Issuer has deposited with the Trustee or Paying Agent money sufficient to pay the redemption or purchase price of, and unpaid and accrued interest, if any, on, all Notes to be redeemed or purchased, on and after the redemption or purchase date, interest, if any, shall cease to accrue on the Notes or the portions of Notes called for redemption or tendered and not withdrawn in a Net Cash Proceeds Offer or Change of Control Offer (regardless of whether certificates for such securities are actually surrendered). If a Note is redeemed or purchased on or after an interest record date but on or prior to the related Interest Payment Date, then any accrued and unpaid interest, if any, shall be paid to the Person in whose name such Note was registered at the close of business on such record date. If any Note called for redemption shall not be so paid upon surrender for redemption because of the failure of the Issuer to comply with the preceding paragraph, interest, if any, shall be paid on the unpaid principal from the redemption or purchase date until such principal is paid, and to the extent lawful on any interest, if any, not paid on such unpaid principal, in each case, at the rate provided in the Notes and in </w:t>
      </w:r>
      <w:r>
        <w:rPr>
          <w:rFonts w:ascii="Times New Roman;serif" w:hAnsi="Times New Roman;serif"/>
          <w:b w:val="false"/>
          <w:color w:val="000000"/>
          <w:sz w:val="24"/>
          <w:u w:val="single"/>
        </w:rPr>
        <w:t>Section 5.01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3.06    </w:t>
      </w:r>
      <w:r>
        <w:rPr>
          <w:rFonts w:ascii="Times New Roman;serif" w:hAnsi="Times New Roman;serif"/>
          <w:b w:val="false"/>
          <w:color w:val="000000"/>
          <w:sz w:val="24"/>
          <w:u w:val="single"/>
        </w:rPr>
        <w:t>Notes Redeemed in Part</w:t>
      </w:r>
      <w:r>
        <w:rPr>
          <w:rFonts w:ascii="Times New Roman;serif" w:hAnsi="Times New Roman;serif"/>
          <w:b w:val="false"/>
          <w:color w:val="000000"/>
          <w:sz w:val="24"/>
        </w:rPr>
        <w:t xml:space="preserve">. Upon surrender and cancellation of a Note that is redeemed in part, the Issuer shall issue and, upon receipt of an Authentication Order from the Issuer, the Trustee shall authenticate for the Holder at the expense of the Issuer a new Note equal in principal amount to the unredeemed portion of the Note surrendered and canceled;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each such new Note will be in a minimum denomination of $1.00 or integral multiples of $1.00 in excess thereof.</w:t>
      </w:r>
    </w:p>
    <w:p>
      <w:pPr>
        <w:pStyle w:val="TextBody"/>
        <w:bidi w:val="0"/>
        <w:spacing w:before="0" w:after="0"/>
        <w:jc w:val="both"/>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3.07    </w:t>
      </w:r>
      <w:r>
        <w:rPr>
          <w:rFonts w:ascii="Times New Roman;serif" w:hAnsi="Times New Roman;serif"/>
          <w:b w:val="false"/>
          <w:color w:val="000000"/>
          <w:sz w:val="24"/>
          <w:u w:val="single"/>
        </w:rPr>
        <w:t>Optional Redemption</w:t>
      </w:r>
      <w:r>
        <w:rPr>
          <w:rFonts w:ascii="Times New Roman;serif" w:hAnsi="Times New Roman;serif"/>
          <w:b w:val="false"/>
          <w:color w:val="000000"/>
          <w:sz w:val="24"/>
        </w:rPr>
        <w:t xml:space="preserve">. The Issuer shall have the right at any time and from time to time to redeem the Notes, in whole or in part, upon notice as provided in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as follows: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on or prior to September 29, 2028 (the “</w:t>
      </w:r>
      <w:r>
        <w:rPr>
          <w:rFonts w:ascii="Times New Roman;serif" w:hAnsi="Times New Roman;serif"/>
          <w:b/>
          <w:color w:val="000000"/>
          <w:sz w:val="24"/>
        </w:rPr>
        <w:t>Make-Whole Expiry Date</w:t>
      </w:r>
      <w:r>
        <w:rPr>
          <w:color w:val="000000"/>
        </w:rPr>
        <w:t>”</w:t>
      </w:r>
      <w:r>
        <w:rPr>
          <w:rFonts w:ascii="Times New Roman;serif" w:hAnsi="Times New Roman;serif"/>
          <w:b w:val="false"/>
          <w:color w:val="000000"/>
          <w:sz w:val="24"/>
        </w:rPr>
        <w:t xml:space="preserve">), at a redemption price equal to (i) the Make-Whole Amount as of the date of such redemption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 any accrued and unpaid interest to but excluding the date of such redemption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(iii) 101.0% of the principal amount of the Notes to be redeemed, which would have been owed on such redeemed amounts if such redemption occurred on the day after the Make-Whole Expiry Date; and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at any time after the Make-Whole Expiry Date, at the redemption prices (expressed as percentages of the principal amount of the Notes to be redeemed) set forth below, if redeemed during the 12-month period beginning March 12 of the years indicated below (the amount payable pursuant to this clause (b), as applicable, the “</w:t>
      </w:r>
      <w:r>
        <w:rPr>
          <w:rFonts w:ascii="Times New Roman;serif" w:hAnsi="Times New Roman;serif"/>
          <w:b/>
          <w:color w:val="000000"/>
          <w:sz w:val="24"/>
        </w:rPr>
        <w:t>Call Premium</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any accrued and unpaid interest to but excluding the date of such redemption:</w:t>
      </w:r>
    </w:p>
    <w:tbl>
      <w:tblPr>
        <w:tblW w:w="7266" w:type="dxa"/>
        <w:jc w:val="left"/>
        <w:tblInd w:w="0" w:type="dxa"/>
        <w:tblLayout w:type="fixed"/>
        <w:tblCellMar>
          <w:top w:w="28" w:type="dxa"/>
          <w:left w:w="28" w:type="dxa"/>
          <w:bottom w:w="28" w:type="dxa"/>
          <w:right w:w="28" w:type="dxa"/>
        </w:tblCellMar>
      </w:tblPr>
      <w:tblGrid>
        <w:gridCol w:w="750"/>
        <w:gridCol w:w="660"/>
        <w:gridCol w:w="661"/>
        <w:gridCol w:w="1073"/>
        <w:gridCol w:w="1073"/>
        <w:gridCol w:w="3049"/>
      </w:tblGrid>
      <w:tr>
        <w:trPr/>
        <w:tc>
          <w:tcPr>
            <w:tcW w:w="75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1440"/>
              <w:jc w:val="both"/>
              <w:rPr>
                <w:rFonts w:ascii="Times New Roman;serif" w:hAnsi="Times New Roman;serif"/>
                <w:b/>
                <w:color w:val="000000"/>
                <w:sz w:val="24"/>
              </w:rPr>
            </w:pPr>
            <w:r>
              <w:rPr>
                <w:rFonts w:ascii="Times New Roman;serif" w:hAnsi="Times New Roman;serif"/>
                <w:b/>
                <w:color w:val="000000"/>
                <w:sz w:val="24"/>
              </w:rPr>
              <w:t>Year</w:t>
            </w:r>
          </w:p>
        </w:tc>
        <w:tc>
          <w:tcPr>
            <w:tcW w:w="5195"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1440"/>
              <w:jc w:val="right"/>
              <w:rPr>
                <w:rFonts w:ascii="Times New Roman;serif" w:hAnsi="Times New Roman;serif"/>
                <w:b/>
                <w:color w:val="000000"/>
                <w:sz w:val="24"/>
              </w:rPr>
            </w:pPr>
            <w:r>
              <w:rPr>
                <w:rFonts w:ascii="Times New Roman;serif" w:hAnsi="Times New Roman;serif"/>
                <w:b/>
                <w:color w:val="000000"/>
                <w:sz w:val="24"/>
              </w:rPr>
              <w:t>Redemption Price</w:t>
            </w:r>
          </w:p>
        </w:tc>
      </w:tr>
      <w:tr>
        <w:trPr/>
        <w:tc>
          <w:tcPr>
            <w:tcW w:w="207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2028</w:t>
            </w:r>
          </w:p>
        </w:tc>
        <w:tc>
          <w:tcPr>
            <w:tcW w:w="21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1440"/>
              <w:jc w:val="right"/>
              <w:rPr>
                <w:rFonts w:ascii="Times New Roman;serif" w:hAnsi="Times New Roman;serif"/>
                <w:b w:val="false"/>
                <w:color w:val="000000"/>
                <w:sz w:val="24"/>
              </w:rPr>
            </w:pPr>
            <w:r>
              <w:rPr>
                <w:rFonts w:ascii="Times New Roman;serif" w:hAnsi="Times New Roman;serif"/>
                <w:b w:val="false"/>
                <w:color w:val="000000"/>
                <w:sz w:val="24"/>
              </w:rPr>
              <w:t>101.0 </w:t>
            </w:r>
          </w:p>
        </w:tc>
        <w:tc>
          <w:tcPr>
            <w:tcW w:w="304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1440"/>
              <w:jc w:val="right"/>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2071" w:type="dxa"/>
            <w:gridSpan w:val="3"/>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2029</w:t>
            </w:r>
          </w:p>
        </w:tc>
        <w:tc>
          <w:tcPr>
            <w:tcW w:w="2146" w:type="dxa"/>
            <w:gridSpan w:val="2"/>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1440"/>
              <w:jc w:val="right"/>
              <w:rPr>
                <w:rFonts w:ascii="Times New Roman;serif" w:hAnsi="Times New Roman;serif"/>
                <w:b w:val="false"/>
                <w:color w:val="000000"/>
                <w:sz w:val="24"/>
              </w:rPr>
            </w:pPr>
            <w:r>
              <w:rPr>
                <w:rFonts w:ascii="Times New Roman;serif" w:hAnsi="Times New Roman;serif"/>
                <w:b w:val="false"/>
                <w:color w:val="000000"/>
                <w:sz w:val="24"/>
              </w:rPr>
              <w:t>100.0 </w:t>
            </w:r>
          </w:p>
        </w:tc>
        <w:tc>
          <w:tcPr>
            <w:tcW w:w="3049" w:type="dxa"/>
            <w:tcBorders/>
            <w:shd w:fill="CCEEFF" w:val="clear"/>
            <w:tcMar>
              <w:top w:w="0" w:type="dxa"/>
              <w:left w:w="0" w:type="dxa"/>
              <w:bottom w:w="0" w:type="dxa"/>
              <w:right w:w="0" w:type="dxa"/>
            </w:tcMar>
            <w:vAlign w:val="center"/>
          </w:tcPr>
          <w:p>
            <w:pPr>
              <w:pStyle w:val="TableContents"/>
              <w:bidi w:val="0"/>
              <w:spacing w:lineRule="auto" w:line="240" w:before="0" w:after="240"/>
              <w:ind w:left="0" w:right="0" w:firstLine="1440"/>
              <w:jc w:val="right"/>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lineRule="auto" w:line="288" w:before="0" w:after="240"/>
        <w:jc w:val="both"/>
        <w:rPr/>
      </w:pP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notwithstanding anything to the contrary herein, no Make-Whole Amount pursuant to </w:t>
      </w:r>
      <w:r>
        <w:rPr>
          <w:rFonts w:ascii="Times New Roman;serif" w:hAnsi="Times New Roman;serif"/>
          <w:b w:val="false"/>
          <w:color w:val="000000"/>
          <w:sz w:val="24"/>
          <w:u w:val="single"/>
        </w:rPr>
        <w:t>Section 3.07(a)</w:t>
      </w:r>
      <w:r>
        <w:rPr>
          <w:color w:val="000000"/>
        </w:rPr>
        <w:t xml:space="preserve"> </w:t>
      </w:r>
      <w:r>
        <w:rPr>
          <w:rFonts w:ascii="Times New Roman;serif" w:hAnsi="Times New Roman;serif"/>
          <w:b w:val="false"/>
          <w:color w:val="000000"/>
          <w:sz w:val="24"/>
        </w:rPr>
        <w:t xml:space="preserve">nor any Call Premium pursuant to </w:t>
      </w:r>
      <w:r>
        <w:rPr>
          <w:rFonts w:ascii="Times New Roman;serif" w:hAnsi="Times New Roman;serif"/>
          <w:b w:val="false"/>
          <w:color w:val="000000"/>
          <w:sz w:val="24"/>
          <w:u w:val="single"/>
        </w:rPr>
        <w:t>Section 3.07(b)</w:t>
      </w:r>
      <w:r>
        <w:rPr>
          <w:color w:val="000000"/>
        </w:rPr>
        <w:t xml:space="preserve"> </w:t>
      </w:r>
      <w:r>
        <w:rPr>
          <w:rFonts w:ascii="Times New Roman;serif" w:hAnsi="Times New Roman;serif"/>
          <w:b w:val="false"/>
          <w:color w:val="000000"/>
          <w:sz w:val="24"/>
        </w:rPr>
        <w:t>shall be due and payable with respect to any optional redemption of the Notes made pursuant to, and in accordance with, Section 14 of the Rights Offering Backstop Agreement, and such optional redemption shall be made at a redemption price equal to 100% of the principal amount of such Notes, plus accrued and unpaid interest thereon to, but excluding, the date of such redemption. The Issuer shall notify the Trustee if any redemption is pursuant to, and in accordance with, Section 14 of the Rights Offering Backstop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Notwithstanding anything to the contrary, each redemption or distribution in respect of the principal amount of the Notes after acceleration thereof under Section 8.01 hereof (including automatically pursuant to Section 8.01 hereof), shall be accompanied by, and there shall become due and payable automatically upon acceleration, a payment premium payable in cash on the principal amount so redeemed or distributed or on the principal amount that has become or is declared accelerated, in an amount equal to the redemption price that would have applied for an optional redemption of such Notes at such time pursuant to this Section 3.07, calculated on the aggregate principal amount of the Notes so redeemed, distributed or accelerated, together with all accrued and unpaid interest on such Notes.</w:t>
      </w:r>
    </w:p>
    <w:p>
      <w:pPr>
        <w:pStyle w:val="TextBody"/>
        <w:bidi w:val="0"/>
        <w:spacing w:before="0" w:after="0"/>
        <w:jc w:val="both"/>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3.08    </w:t>
      </w:r>
      <w:r>
        <w:rPr>
          <w:rFonts w:ascii="Times New Roman;serif" w:hAnsi="Times New Roman;serif"/>
          <w:b w:val="false"/>
          <w:color w:val="000000"/>
          <w:sz w:val="24"/>
          <w:u w:val="single"/>
        </w:rPr>
        <w:t>Net Cash Proceeds Offers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Asset Sales</w:t>
      </w:r>
      <w:r>
        <w:rPr>
          <w:rFonts w:ascii="Times New Roman;serif" w:hAnsi="Times New Roman;serif"/>
          <w:b w:val="false"/>
          <w:color w:val="000000"/>
          <w:sz w:val="24"/>
        </w:rPr>
        <w:t xml:space="preserve">. Subject to the terms of the ABL/Note Intercreditor Agreement, no later than ten (10) Business Days following the receipt of any Net Cash Proceeds of any Asset Sale by any Group Member, the Issuer shall make an offer to repurchase Notes in accordance with </w:t>
      </w:r>
      <w:r>
        <w:rPr>
          <w:rFonts w:ascii="Times New Roman;serif" w:hAnsi="Times New Roman;serif"/>
          <w:b w:val="false"/>
          <w:color w:val="000000"/>
          <w:sz w:val="24"/>
          <w:u w:val="single"/>
        </w:rPr>
        <w:t>Section 3.08(e)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 xml:space="preserve">in an aggregate amount equal to one hundred percent (100%) of such Net Cash Proceeds;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no such offer to repurchase shall be required under this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(A) with respect to any disposition of property which constitutes a Casualty Event or (B) to the extent the Net Cash Proceeds of any Asset Sales do not result in more than $5,000,000 in any twelve (12) month period (the “</w:t>
      </w:r>
      <w:r>
        <w:rPr>
          <w:rFonts w:ascii="Times New Roman;serif" w:hAnsi="Times New Roman;serif"/>
          <w:b/>
          <w:color w:val="000000"/>
          <w:sz w:val="24"/>
        </w:rPr>
        <w:t>Asset Sale Threshold</w:t>
      </w:r>
      <w:r>
        <w:rPr>
          <w:color w:val="000000"/>
        </w:rPr>
        <w:t xml:space="preserve">” </w:t>
      </w:r>
      <w:r>
        <w:rPr>
          <w:rFonts w:ascii="Times New Roman;serif" w:hAnsi="Times New Roman;serif"/>
          <w:b w:val="false"/>
          <w:color w:val="000000"/>
          <w:sz w:val="24"/>
        </w:rPr>
        <w:t>and the Net Cash Proceeds in excess of the Asset Sale Threshold, the “</w:t>
      </w:r>
      <w:r>
        <w:rPr>
          <w:rFonts w:ascii="Times New Roman;serif" w:hAnsi="Times New Roman;serif"/>
          <w:b/>
          <w:color w:val="000000"/>
          <w:sz w:val="24"/>
        </w:rPr>
        <w:t>Excess Net Cash Proceeds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such proceeds with respect to any such Asset Sale shall not be required to be so applied on such date to the extent that the Issuer shall have notified the Trustee on or prior to such date stating that such Excess Net Cash Proceeds are expected to be reinvested in assets used or useful in the business of any Group Member (including pursuant to a Permitted Acquisition, Investment or Capital Expenditure) or to be contractually committed to be so reinvested, within twelve (12) months (or within eighteen (18) months following receipt thereof if a contractual commitment to reinvest is entered into within twelve (12) months following receipt thereof) following the date of such Asset Sale;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if all or any portion of such Excess Net Cash Proceeds that are the subject of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immediately above is neither reinvested nor contractually committed to be so reinvested within such twelve (12) month period (and actually reinvested within eighteen (18) months of the receipt of the Net Cash Proceeds related thereto), the Issuer shall make an offer to repurchase Notes with such unused portion within five (5) Business Days after the last day of such period as provided in this </w:t>
      </w:r>
      <w:r>
        <w:rPr>
          <w:rFonts w:ascii="Times New Roman;serif" w:hAnsi="Times New Roman;serif"/>
          <w:b w:val="false"/>
          <w:color w:val="000000"/>
          <w:sz w:val="24"/>
          <w:u w:val="single"/>
        </w:rPr>
        <w:t>Section 3.08(a)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Debt Issuance</w:t>
      </w:r>
      <w:r>
        <w:rPr>
          <w:rFonts w:ascii="Times New Roman;serif" w:hAnsi="Times New Roman;serif"/>
          <w:b w:val="false"/>
          <w:color w:val="000000"/>
          <w:sz w:val="24"/>
        </w:rPr>
        <w:t xml:space="preserve">. Not later than one (1) Business Day following the receipt of any Net Cash Proceeds of any Debt Issuance by any Group Member, the Issuer shall make an offer to repurchase Notes in accordance with </w:t>
      </w:r>
      <w:r>
        <w:rPr>
          <w:rFonts w:ascii="Times New Roman;serif" w:hAnsi="Times New Roman;serif"/>
          <w:b w:val="false"/>
          <w:color w:val="000000"/>
          <w:sz w:val="24"/>
          <w:u w:val="single"/>
        </w:rPr>
        <w:t>Section 3.08(e)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in an aggregate principal amount equal to one hundred percent (100%) of such Net Cash Proceeds.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Casualty Events</w:t>
      </w:r>
      <w:r>
        <w:rPr>
          <w:rFonts w:ascii="Times New Roman;serif" w:hAnsi="Times New Roman;serif"/>
          <w:b w:val="false"/>
          <w:color w:val="000000"/>
          <w:sz w:val="24"/>
        </w:rPr>
        <w:t xml:space="preserve">. Subject to the terms of the ABL/Note Intercreditor Agreement, not later than five (5) Business Days following the receipt of any Net Cash Proceeds from a Casualty Event by any Group Member, the Issuer shall make an offer to repurchase Notes, in accordance with </w:t>
      </w:r>
      <w:r>
        <w:rPr>
          <w:rFonts w:ascii="Times New Roman;serif" w:hAnsi="Times New Roman;serif"/>
          <w:b w:val="false"/>
          <w:color w:val="000000"/>
          <w:sz w:val="24"/>
          <w:u w:val="single"/>
        </w:rPr>
        <w:t>Section 3.08(e)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 xml:space="preserve">Section 3.11 in </w:t>
      </w:r>
      <w:r>
        <w:rPr>
          <w:rFonts w:ascii="Times New Roman;serif" w:hAnsi="Times New Roman;serif"/>
          <w:b w:val="false"/>
          <w:color w:val="000000"/>
          <w:sz w:val="24"/>
        </w:rPr>
        <w:t xml:space="preserve">an amount equal to one hundred percent (100%) of such Net Cash Proceeds; </w:t>
      </w:r>
      <w:r>
        <w:rPr>
          <w:rFonts w:ascii="Times New Roman;serif" w:hAnsi="Times New Roman;serif"/>
          <w:b w:val="false"/>
          <w:i/>
          <w:color w:val="000000"/>
          <w:sz w:val="24"/>
        </w:rPr>
        <w:t>provided</w:t>
      </w:r>
      <w:r>
        <w:rPr>
          <w:rFonts w:ascii="Times New Roman;serif" w:hAnsi="Times New Roman;serif"/>
          <w:b w:val="false"/>
          <w:color w:val="000000"/>
          <w:sz w:val="24"/>
        </w:rPr>
        <w:t>, that: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    such Net Cash Proceeds shall not be required to be so applied on such date to the extent that (A) the Net Cash Proceeds of a Casualty Event do not exceed $5,000,000 in any twelve (12) month period (the “</w:t>
      </w:r>
      <w:r>
        <w:rPr>
          <w:rFonts w:ascii="Times New Roman;serif" w:hAnsi="Times New Roman;serif"/>
          <w:b/>
          <w:color w:val="000000"/>
          <w:sz w:val="24"/>
        </w:rPr>
        <w:t>Casualty Event Threshold</w:t>
      </w:r>
      <w:r>
        <w:rPr>
          <w:color w:val="000000"/>
        </w:rPr>
        <w:t>”</w:t>
      </w:r>
      <w:r>
        <w:rPr>
          <w:rFonts w:ascii="Times New Roman;serif" w:hAnsi="Times New Roman;serif"/>
          <w:b w:val="false"/>
          <w:color w:val="000000"/>
          <w:sz w:val="24"/>
        </w:rPr>
        <w:t xml:space="preserve">), or (B) in the event that such Net Cash Proceeds exceed the Casualty Event Threshold, the Issuer shall have notified the Trustee on or prior to such date stating that such proceeds in excess of the Casualty </w:t>
      </w:r>
    </w:p>
    <w:p>
      <w:pPr>
        <w:pStyle w:val="TextBody"/>
        <w:bidi w:val="0"/>
        <w:spacing w:before="0" w:after="0"/>
        <w:jc w:val="both"/>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Event Threshold are expected to be used to repair, replace or restore any Property in respect of which such Net Cash Proceeds were paid or to reinvest in other fixed or Capital Assets or assets that are otherwise used or useful in the business of the Group Members (including pursuant to a Permitted Acquisition, Investment or Capital Expenditure) or to be contractually committed to be so reinvested, in each case, no later than twelve (12) months (or within eighteen (18) months following receipt thereof if such contractual commitment to reinvest has been entered into within twelve (12) months following receipt thereof) following the date of receipt of such proceeds;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if all or any portion of such Net Cash Proceeds is contractually committed within such twelve (12)-month period to be so reinvested within such eighteen (18) month period but is not actually reinvested within eighteen (18) months of the receipt of the Net Cash Proceeds related thereto, the Issuer shall make an offer to repurchase Notes with such unused portion within five (5) Business Days after the last day of such period as provided in this </w:t>
      </w:r>
      <w:r>
        <w:rPr>
          <w:rFonts w:ascii="Times New Roman;serif" w:hAnsi="Times New Roman;serif"/>
          <w:b w:val="false"/>
          <w:color w:val="000000"/>
          <w:sz w:val="24"/>
          <w:u w:val="single"/>
        </w:rPr>
        <w:t>Section 3.08(c)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Excess Cash Flow</w:t>
      </w:r>
      <w:r>
        <w:rPr>
          <w:rFonts w:ascii="Times New Roman;serif" w:hAnsi="Times New Roman;serif"/>
          <w:b w:val="false"/>
          <w:color w:val="000000"/>
          <w:sz w:val="24"/>
        </w:rPr>
        <w:t xml:space="preserve">. No later than five (5) Business Days after the date on which the financial statements with respect to each fiscal year of the Issuer, commencing with the fiscal year ended December 31, 2026, in which an Excess Cash Flow Period occurs are required to be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(each such date, an “</w:t>
      </w:r>
      <w:r>
        <w:rPr>
          <w:rFonts w:ascii="Times New Roman;serif" w:hAnsi="Times New Roman;serif"/>
          <w:b/>
          <w:color w:val="000000"/>
          <w:sz w:val="24"/>
        </w:rPr>
        <w:t>ECF Payment Date</w:t>
      </w:r>
      <w:r>
        <w:rPr>
          <w:color w:val="000000"/>
        </w:rPr>
        <w:t>”</w:t>
      </w:r>
      <w:r>
        <w:rPr>
          <w:rFonts w:ascii="Times New Roman;serif" w:hAnsi="Times New Roman;serif"/>
          <w:b w:val="false"/>
          <w:color w:val="000000"/>
          <w:sz w:val="24"/>
        </w:rPr>
        <w:t xml:space="preserve">), the Issuer shall, to the extent Excess Cash Flow for such Excess Cash Flow Period exceeds $1,000,000, make an offer to repurchase Notes, in accordance with </w:t>
      </w:r>
      <w:r>
        <w:rPr>
          <w:rFonts w:ascii="Times New Roman;serif" w:hAnsi="Times New Roman;serif"/>
          <w:b w:val="false"/>
          <w:color w:val="000000"/>
          <w:sz w:val="24"/>
          <w:u w:val="single"/>
        </w:rPr>
        <w:t>Section 3.08(e)</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3.11</w:t>
      </w:r>
      <w:r>
        <w:rPr>
          <w:color w:val="000000"/>
        </w:rPr>
        <w:t xml:space="preserve"> </w:t>
      </w:r>
      <w:r>
        <w:rPr>
          <w:rFonts w:ascii="Times New Roman;serif" w:hAnsi="Times New Roman;serif"/>
          <w:b w:val="false"/>
          <w:color w:val="000000"/>
          <w:sz w:val="24"/>
        </w:rPr>
        <w:t xml:space="preserve">in an aggregate amount equal to (i) the Applicable ECF Percentage of the amount equal to the Excess Cash Flow for the Excess Cash Flow Period then ended (for the avoidance of doubt, including the $1,000,000 floor above)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 xml:space="preserve">(ii) at the option of the Issuer, the aggregate principal amount of any Notes, Additional Notes, or Permitted Additional Debt, in each case secured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basis with the Obligations (or, in each case, any Notes Refinancing Indebtedness in respect thereof, to the extent secured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basis with the Obligations), in each case redeemed pursuant to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or pursuant to the corresponding provisions of the documentation governing any such Permitted Additional Debt or Notes Refinancing Indebtedness in respect thereof during the applicable Excess Cash Flow Period (or, at the option of the Issuer, and without duplication, after such Excess Cash Flow Period and prior to such subsequent ECF Payment Date) (and the Total Net Leverage Ratio shall be recalculated for purposes of determining the Applicable ECF Percentage to give pro forma effect to all such voluntary redemptions), and in the case of all such redemptions, to the extent that such redemptions were financed with sources other than the proceeds of long-term Indebtedness (other than revolving Indebtedness to the extent intended to be repaid from operating cash flow) of Issuer or its Restricted Subsidiaries;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any cash proceeds received by the Issuer from the Rights Offering in an aggregate principal amount up to the Excess Proceeds Reduction (as defined in the Backstop Offering Rights Agreement) and applied as an optional redemption in accordance with Section 3.07 shall be excluded from the calculation of Excess Cash Flow for purposes of this </w:t>
      </w:r>
      <w:r>
        <w:rPr>
          <w:rFonts w:ascii="Times New Roman;serif" w:hAnsi="Times New Roman;serif"/>
          <w:b w:val="false"/>
          <w:color w:val="000000"/>
          <w:sz w:val="24"/>
          <w:u w:val="single"/>
        </w:rPr>
        <w:t>Section 3.08(d)</w:t>
      </w:r>
      <w:r>
        <w:rPr>
          <w:color w:val="000000"/>
        </w:rPr>
        <w:t xml:space="preserve"> </w:t>
      </w:r>
      <w:r>
        <w:rPr>
          <w:rFonts w:ascii="Times New Roman;serif" w:hAnsi="Times New Roman;serif"/>
          <w:b w:val="false"/>
          <w:color w:val="000000"/>
          <w:sz w:val="24"/>
        </w:rPr>
        <w:t>(such payment, the “</w:t>
      </w:r>
      <w:r>
        <w:rPr>
          <w:rFonts w:ascii="Times New Roman;serif" w:hAnsi="Times New Roman;serif"/>
          <w:b/>
          <w:color w:val="000000"/>
          <w:sz w:val="24"/>
        </w:rPr>
        <w:t>ECF Payment Amount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Net Cash Proceeds Offer.</w:t>
      </w:r>
      <w:r>
        <w:rPr>
          <w:color w:val="000000"/>
        </w:rPr>
        <w:t xml:space="preserve"> </w:t>
      </w:r>
      <w:r>
        <w:rPr>
          <w:rFonts w:ascii="Times New Roman;serif" w:hAnsi="Times New Roman;serif"/>
          <w:b w:val="false"/>
          <w:color w:val="000000"/>
          <w:sz w:val="24"/>
        </w:rPr>
        <w:t xml:space="preserve">Upon the occurrence of an event requiring that the Issuer make an offer to repurchase Notes pursuant to </w:t>
      </w:r>
      <w:r>
        <w:rPr>
          <w:rFonts w:ascii="Times New Roman;serif" w:hAnsi="Times New Roman;serif"/>
          <w:b w:val="false"/>
          <w:color w:val="000000"/>
          <w:sz w:val="24"/>
          <w:u w:val="single"/>
        </w:rPr>
        <w:t>Section 3.08(a)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3.08(d)</w:t>
      </w:r>
      <w:r>
        <w:rPr>
          <w:color w:val="000000"/>
        </w:rPr>
        <w:t xml:space="preserve"> </w:t>
      </w:r>
      <w:r>
        <w:rPr>
          <w:rFonts w:ascii="Times New Roman;serif" w:hAnsi="Times New Roman;serif"/>
          <w:b w:val="false"/>
          <w:color w:val="000000"/>
          <w:sz w:val="24"/>
        </w:rPr>
        <w:t>(a “</w:t>
      </w:r>
      <w:r>
        <w:rPr>
          <w:rFonts w:ascii="Times New Roman;serif" w:hAnsi="Times New Roman;serif"/>
          <w:b/>
          <w:color w:val="000000"/>
          <w:sz w:val="24"/>
        </w:rPr>
        <w:t>Net Cash Proceeds Offer</w:t>
      </w:r>
      <w:r>
        <w:rPr>
          <w:color w:val="000000"/>
        </w:rPr>
        <w:t>”</w:t>
      </w:r>
      <w:r>
        <w:rPr>
          <w:rFonts w:ascii="Times New Roman;serif" w:hAnsi="Times New Roman;serif"/>
          <w:b w:val="false"/>
          <w:color w:val="000000"/>
          <w:sz w:val="24"/>
        </w:rPr>
        <w:t xml:space="preserve">), the Issuer shall make an offer to purchase all or any </w:t>
      </w:r>
    </w:p>
    <w:p>
      <w:pPr>
        <w:pStyle w:val="TextBody"/>
        <w:bidi w:val="0"/>
        <w:spacing w:before="0" w:after="0"/>
        <w:jc w:val="both"/>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portion (equal to $1.00 or an integral multiple of $1.00 in excess thereof) of the Notes at a price equal to the redemption price that would have applied for an optional redemption of such Notes at such time pursuant to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Net Cash Proceeds</w:t>
      </w:r>
      <w:r>
        <w:rPr>
          <w:color w:val="000000"/>
        </w:rPr>
        <w:t xml:space="preserve"> </w:t>
      </w:r>
      <w:r>
        <w:rPr>
          <w:rFonts w:ascii="Times New Roman;serif" w:hAnsi="Times New Roman;serif"/>
          <w:b/>
          <w:color w:val="000000"/>
          <w:sz w:val="24"/>
        </w:rPr>
        <w:t>Purchase Price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    Not later than thirty (30) days following any Net Cash Proceeds Offer, the Issuer will deliver, or cause to be delivered to the Holders, with a copy to the Trustee, a notice: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    describing the transaction or transactions that constitute the Net Cash Proceeds Offer;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(B)    offering to purchase, pursuant to procedures required by this Indenture and described in the Net Cash Proceeds Offer, on a date specified in the notice, which shall be a Business Day not earlier than 30 days, nor later than 60 days, from the date the notice is delivered (the “</w:t>
      </w:r>
      <w:r>
        <w:rPr>
          <w:rFonts w:ascii="Times New Roman;serif" w:hAnsi="Times New Roman;serif"/>
          <w:b/>
          <w:color w:val="000000"/>
          <w:sz w:val="24"/>
        </w:rPr>
        <w:t>Net Cash Proceeds Payment Date</w:t>
      </w:r>
      <w:r>
        <w:rPr>
          <w:color w:val="000000"/>
        </w:rPr>
        <w:t>”</w:t>
      </w:r>
      <w:r>
        <w:rPr>
          <w:rFonts w:ascii="Times New Roman;serif" w:hAnsi="Times New Roman;serif"/>
          <w:b w:val="false"/>
          <w:color w:val="000000"/>
          <w:sz w:val="24"/>
        </w:rPr>
        <w:t xml:space="preserve">), and for the Net Cash Proceeds Purchase Price, all Notes properly tendered by such Holder pursuant to such Net Cash Proceeds Offer prior to 5:00 p.m. New York time on the second Business Day preceding the Net Cash Proceeds Payment Date.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    describing the procedures, as determined by the Issuer, consistent with this Indenture, that Holders must follow to accept the Net Cash Proceeds Offer.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[Reserved.]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(iii)    On or before the Net Cash Proceeds Payment Date, the Issuer will, to the extent lawful: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    deposit with the applicable tender agent an amount equal to the Net Cash Proceeds Purchase Price in respect of all Notes or portions of Notes properly tendered;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    accept for payment all Notes or portions of Notes (of $1.00 or integral multiples of $1.00 in excess thereof) properly tendered pursuant to the Net Cash Proceeds Offer;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    deliver or cause to be delivered to the Trustee the Notes so accepted together with an Officer’s Certificate stating the aggregate principal amount of being purchased by the Issuer.</w:t>
      </w:r>
    </w:p>
    <w:p>
      <w:pPr>
        <w:pStyle w:val="TextBody"/>
        <w:bidi w:val="0"/>
        <w:spacing w:lineRule="auto" w:line="288" w:before="0" w:after="240"/>
        <w:ind w:left="0" w:right="0" w:firstLine="2160"/>
        <w:jc w:val="both"/>
        <w:rPr/>
      </w:pPr>
      <w:r>
        <w:rPr>
          <w:rFonts w:ascii="Times New Roman;serif" w:hAnsi="Times New Roman;serif"/>
          <w:b w:val="false"/>
          <w:color w:val="000000"/>
          <w:sz w:val="24"/>
        </w:rPr>
        <w:t>(iv)    The applicable tender agent will promptly deliver to each Holder who has so tendered Notes the Net Cash Proceeds Purchase Price for such Notes, and, in the case of non-global forms of Notes, the Trustee will promptly authenticate and mail to each Holder a new Note equal in principal amount to any unpurchased portion of the Notes so tendered, if any;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each such new Note will be in a principal amount of $1.00 or integral multiples of $1.00 in excess thereof.</w:t>
      </w:r>
    </w:p>
    <w:p>
      <w:pPr>
        <w:pStyle w:val="TextBody"/>
        <w:bidi w:val="0"/>
        <w:spacing w:before="0" w:after="0"/>
        <w:jc w:val="both"/>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If the Net Cash Proceeds Payment Date is on or after an interest record date and on or before the related Interest Payment Date, then with respect to Holders who have tendered their Notes for purchase pursuant to the Net Cash Proceeds Offer, any accrued and unpaid interest, if any, to, but excluding, the Net Cash Proceeds Payment Date will be paid on the Net Cash Proceeds Payment Date to the Person in whose name a Note is registered at the close of business on such record date.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[Reserved.]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    [Reserved.]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(viii)    The Issuer shall comply with all applicable securities legislation in the United States, including, without limitation, the requirements of Rule 14e-1 under the Exchange Act and any other applicable laws and regulations in connection with the purchase of Notes pursuant to a Net Cash Proceeds Offer. To the extent that the provisions of any applicable securities laws or regulations conflict with this </w:t>
      </w:r>
      <w:r>
        <w:rPr>
          <w:rFonts w:ascii="Times New Roman;serif" w:hAnsi="Times New Roman;serif"/>
          <w:b w:val="false"/>
          <w:color w:val="000000"/>
          <w:sz w:val="24"/>
          <w:u w:val="single"/>
        </w:rPr>
        <w:t>Section 3.08</w:t>
      </w:r>
      <w:r>
        <w:rPr>
          <w:rFonts w:ascii="Times New Roman;serif" w:hAnsi="Times New Roman;serif"/>
          <w:b w:val="false"/>
          <w:color w:val="000000"/>
          <w:sz w:val="24"/>
        </w:rPr>
        <w:t xml:space="preserve">, the Issuer shall comply with the applicable securities laws and regulations and shall not be deemed to have breached its obligations under this </w:t>
      </w:r>
      <w:r>
        <w:rPr>
          <w:rFonts w:ascii="Times New Roman;serif" w:hAnsi="Times New Roman;serif"/>
          <w:b w:val="false"/>
          <w:color w:val="000000"/>
          <w:sz w:val="24"/>
          <w:u w:val="single"/>
        </w:rPr>
        <w:t>Section 3.08</w:t>
      </w:r>
      <w:r>
        <w:rPr>
          <w:color w:val="000000"/>
        </w:rPr>
        <w:t xml:space="preserve"> </w:t>
      </w:r>
      <w:r>
        <w:rPr>
          <w:rFonts w:ascii="Times New Roman;serif" w:hAnsi="Times New Roman;serif"/>
          <w:b w:val="false"/>
          <w:color w:val="000000"/>
          <w:sz w:val="24"/>
        </w:rPr>
        <w:t>by virtue of such compliance.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3.09    </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Upon the occurrence of a Change of Control Triggering Event, the Issuer shall make an offer to purchase all or any portion (equal to $1.00 or an integral multiple of $1.00 in excess thereof and) of the Notes at a price equal to the redemption price that would have applied for an optional redemption of such Notes at such time pursuant to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(together with any accrued and unpaid interest) (the “</w:t>
      </w:r>
      <w:r>
        <w:rPr>
          <w:rFonts w:ascii="Times New Roman;serif" w:hAnsi="Times New Roman;serif"/>
          <w:b/>
          <w:color w:val="000000"/>
          <w:sz w:val="24"/>
        </w:rPr>
        <w:t>Change of Control Purchase Price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Not later than thirty (30) days following any Change of Control Triggering Event, the Issuer will deliver, or cause to be delivered to the Holders, with a copy to the Trustee, a notice: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describing the transaction or transactions that constitute the Change of Control Triggering Event;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(ii)    offering to purchase, pursuant to procedures required by this Indenture and described in the notice (the “</w:t>
      </w:r>
      <w:r>
        <w:rPr>
          <w:rFonts w:ascii="Times New Roman;serif" w:hAnsi="Times New Roman;serif"/>
          <w:b/>
          <w:color w:val="000000"/>
          <w:sz w:val="24"/>
        </w:rPr>
        <w:t>Change of Control Offer</w:t>
      </w:r>
      <w:r>
        <w:rPr>
          <w:color w:val="000000"/>
        </w:rPr>
        <w:t>”</w:t>
      </w:r>
      <w:r>
        <w:rPr>
          <w:rFonts w:ascii="Times New Roman;serif" w:hAnsi="Times New Roman;serif"/>
          <w:b w:val="false"/>
          <w:color w:val="000000"/>
          <w:sz w:val="24"/>
        </w:rPr>
        <w:t>), on a date specified in the notice, which shall be a Business Day not earlier than 30 days, nor later than 60 days, from the date the notice is delivered (the “</w:t>
      </w:r>
      <w:r>
        <w:rPr>
          <w:rFonts w:ascii="Times New Roman;serif" w:hAnsi="Times New Roman;serif"/>
          <w:b/>
          <w:color w:val="000000"/>
          <w:sz w:val="24"/>
        </w:rPr>
        <w:t>Change of Control Payment Date</w:t>
      </w:r>
      <w:r>
        <w:rPr>
          <w:color w:val="000000"/>
        </w:rPr>
        <w:t>”</w:t>
      </w:r>
      <w:r>
        <w:rPr>
          <w:rFonts w:ascii="Times New Roman;serif" w:hAnsi="Times New Roman;serif"/>
          <w:b w:val="false"/>
          <w:color w:val="000000"/>
          <w:sz w:val="24"/>
        </w:rPr>
        <w:t>), and for the Change of Control Purchase Price, all Notes properly tendered by such Holder pursuant to such Change of Control Offer prior to 5:00 p.m. New York time on the second Business Day preceding the Change of Control Payment Date;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describing the procedures, as determined by the Issuer, consistent with this Indenture, that Holders must follow to accept the Change of Control Offer.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[Reserved.]</w:t>
      </w:r>
    </w:p>
    <w:p>
      <w:pPr>
        <w:pStyle w:val="TextBody"/>
        <w:bidi w:val="0"/>
        <w:spacing w:before="0" w:after="0"/>
        <w:jc w:val="both"/>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(d)    On or before the Change of Control Payment Date, the Issuer will, to the extent lawful: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deposit with the applicable tender agent an amount equal to the Change of Control Purchase Price in respect of all Notes or portions of Notes properly tendered;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accept for payment all Notes or portions of Notes (of $1.00 or integral multiples of $1.00 in excess thereof) properly tendered pursuant to the Change of Control Offer;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deliver or cause to be delivered to the Trustee the Notes so accepted together with an Officer’s Certificate stating the aggregate principal amount of being purchased by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The applicable tender agent will promptly deliver to each Holder who has so tendered Notes the Change of Control Purchase Price for such Notes, and, in the case of non-global forms of Notes, the Trustee will promptly authenticate and mail to each Holder a new Note equal in principal amount to any unpurchased portion of the Notes so tendered, if any; </w:t>
      </w:r>
      <w:r>
        <w:rPr>
          <w:rFonts w:ascii="Times New Roman;serif" w:hAnsi="Times New Roman;serif"/>
          <w:b w:val="false"/>
          <w:i/>
          <w:color w:val="000000"/>
          <w:sz w:val="24"/>
        </w:rPr>
        <w:t>provided</w:t>
      </w:r>
      <w:r>
        <w:rPr>
          <w:color w:val="000000"/>
        </w:rPr>
        <w:t> </w:t>
      </w:r>
      <w:r>
        <w:rPr>
          <w:rFonts w:ascii="Times New Roman;serif" w:hAnsi="Times New Roman;serif"/>
          <w:b w:val="false"/>
          <w:color w:val="000000"/>
          <w:sz w:val="24"/>
        </w:rPr>
        <w:t>that each such new Note will be in a principal amount of $1.00 or integral multiples of $1.00 in excess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If the Change of Control Payment Date is on or after an interest record date and on or before the related Interest Payment Date, then with respect to Holders who have tendered their Notes for purchase pursuant to the Change of Control Offer, any accrued and unpaid interest, if any, to, but excluding, the Change of Control Payment Date will be paid on the Change of Control Payment Date to the Person in whose name a Note is registered at the close of business on such record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A Change of Control Offer shall remain open for at least 20 Business Days or for such longer period as is required by law. The Issuer shall publicly announce the results of the Change of Control Offer on or as soon as practicable after the Change of Control Payment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    The Issuer shall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w:t>
      </w:r>
      <w:r>
        <w:rPr>
          <w:rFonts w:ascii="Times New Roman;serif" w:hAnsi="Times New Roman;serif"/>
          <w:b w:val="false"/>
          <w:color w:val="000000"/>
          <w:sz w:val="24"/>
          <w:u w:val="single"/>
        </w:rPr>
        <w:t>Section 3.09</w:t>
      </w:r>
      <w:r>
        <w:rPr>
          <w:rFonts w:ascii="Times New Roman;serif" w:hAnsi="Times New Roman;serif"/>
          <w:b w:val="false"/>
          <w:color w:val="000000"/>
          <w:sz w:val="24"/>
        </w:rPr>
        <w:t xml:space="preserve">, the Issuer shall comply with the applicable securities laws and regulations and shall not be deemed to have breached its obligations under this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by virtue of such compliance.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3.10    </w:t>
      </w:r>
      <w:r>
        <w:rPr>
          <w:rFonts w:ascii="Times New Roman;serif" w:hAnsi="Times New Roman;serif"/>
          <w:b w:val="false"/>
          <w:color w:val="000000"/>
          <w:sz w:val="24"/>
          <w:u w:val="single"/>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3.11    </w:t>
      </w:r>
      <w:r>
        <w:rPr>
          <w:rFonts w:ascii="Times New Roman;serif" w:hAnsi="Times New Roman;serif"/>
          <w:b w:val="false"/>
          <w:color w:val="000000"/>
          <w:sz w:val="24"/>
          <w:u w:val="single"/>
        </w:rPr>
        <w:t>Applicable Other Indebtedness</w:t>
      </w:r>
      <w:r>
        <w:rPr>
          <w:rFonts w:ascii="Times New Roman;serif" w:hAnsi="Times New Roman;serif"/>
          <w:b w:val="false"/>
          <w:color w:val="000000"/>
          <w:sz w:val="24"/>
        </w:rPr>
        <w:t xml:space="preserve">. Notwithstanding anything herein to the contrary, with respect to any mandatory offer to repurchase under </w:t>
      </w:r>
      <w:r>
        <w:rPr>
          <w:rFonts w:ascii="Times New Roman;serif" w:hAnsi="Times New Roman;serif"/>
          <w:b w:val="false"/>
          <w:color w:val="000000"/>
          <w:sz w:val="24"/>
          <w:u w:val="single"/>
        </w:rPr>
        <w:t>Section 3.08(a)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3.08(d)</w:t>
      </w:r>
      <w:r>
        <w:rPr>
          <w:rFonts w:ascii="Times New Roman;serif" w:hAnsi="Times New Roman;serif"/>
          <w:b w:val="false"/>
          <w:color w:val="000000"/>
          <w:sz w:val="24"/>
        </w:rPr>
        <w:t xml:space="preserve">, the Issuer may use a portion of the Net Cash Proceeds to prepay or repurchase Permitted Additional Debt, Permitted Pari Passu Refinancing Debt and any other senior Indebtedness in each case secured by the Collateral on a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basis with the Liens securing the Obligations (the “</w:t>
      </w:r>
      <w:r>
        <w:rPr>
          <w:rFonts w:ascii="Times New Roman;serif" w:hAnsi="Times New Roman;serif"/>
          <w:b/>
          <w:color w:val="000000"/>
          <w:sz w:val="24"/>
        </w:rPr>
        <w:t>Applicable Other Indebtedness</w:t>
      </w:r>
      <w:r>
        <w:rPr>
          <w:color w:val="000000"/>
        </w:rPr>
        <w:t>”</w:t>
      </w:r>
      <w:r>
        <w:rPr>
          <w:rFonts w:ascii="Times New Roman;serif" w:hAnsi="Times New Roman;serif"/>
          <w:b w:val="false"/>
          <w:color w:val="000000"/>
          <w:sz w:val="24"/>
        </w:rPr>
        <w:t xml:space="preserve">) to the extent required pursuant to the terms of the documentation governing such Applicable Other Indebtedness, in which case, the purchase price required to be offered with respect to such Net Cash Proceeds pursuant to </w:t>
      </w:r>
      <w:r>
        <w:rPr>
          <w:rFonts w:ascii="Times New Roman;serif" w:hAnsi="Times New Roman;serif"/>
          <w:b w:val="false"/>
          <w:color w:val="000000"/>
          <w:sz w:val="24"/>
          <w:u w:val="single"/>
        </w:rPr>
        <w:t>Section 3.08(a)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3.08(d)</w:t>
      </w:r>
      <w:r>
        <w:rPr>
          <w:color w:val="000000"/>
        </w:rPr>
        <w:t xml:space="preserve"> </w:t>
      </w:r>
      <w:r>
        <w:rPr>
          <w:rFonts w:ascii="Times New Roman;serif" w:hAnsi="Times New Roman;serif"/>
          <w:b w:val="false"/>
          <w:color w:val="000000"/>
          <w:sz w:val="24"/>
        </w:rPr>
        <w:t xml:space="preserve">shall be deemed to be the amount equal to the product of (A) the amount of such Net Cash Proceeds multiplied by (B) a fraction, the numerator of which is the outstanding principal amount of Notes required to be repurchased pursuant to </w:t>
      </w:r>
      <w:r>
        <w:rPr>
          <w:rFonts w:ascii="Times New Roman;serif" w:hAnsi="Times New Roman;serif"/>
          <w:b w:val="false"/>
          <w:color w:val="000000"/>
          <w:sz w:val="24"/>
          <w:u w:val="single"/>
        </w:rPr>
        <w:t>Section 3.08(a)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3.08(d)</w:t>
      </w:r>
      <w:r>
        <w:rPr>
          <w:color w:val="000000"/>
        </w:rPr>
        <w:t xml:space="preserve"> </w:t>
      </w:r>
      <w:r>
        <w:rPr>
          <w:rFonts w:ascii="Times New Roman;serif" w:hAnsi="Times New Roman;serif"/>
          <w:b w:val="false"/>
          <w:color w:val="000000"/>
          <w:sz w:val="24"/>
        </w:rPr>
        <w:t xml:space="preserve">and the denominator of which is the sum of the outstanding principal amount of such Applicable Other Indebtedness and the outstanding principal amount of Notes required to be repurchased pursuant to </w:t>
      </w:r>
      <w:r>
        <w:rPr>
          <w:rFonts w:ascii="Times New Roman;serif" w:hAnsi="Times New Roman;serif"/>
          <w:b w:val="false"/>
          <w:color w:val="000000"/>
          <w:sz w:val="24"/>
          <w:u w:val="single"/>
        </w:rPr>
        <w:t>Section 3.08(a)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3.08(c)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3.08(d).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3.12    </w:t>
      </w:r>
      <w:r>
        <w:rPr>
          <w:rFonts w:ascii="Times New Roman;serif" w:hAnsi="Times New Roman;serif"/>
          <w:b w:val="false"/>
          <w:color w:val="000000"/>
          <w:sz w:val="24"/>
          <w:u w:val="single"/>
        </w:rPr>
        <w:t>Mandatory Quarterly Redemption</w:t>
      </w:r>
      <w:r>
        <w:rPr>
          <w:rFonts w:ascii="Times New Roman;serif" w:hAnsi="Times New Roman;serif"/>
          <w:b w:val="false"/>
          <w:color w:val="000000"/>
          <w:sz w:val="24"/>
        </w:rPr>
        <w:t>. The Issuer shall redeem Notes on the last Business Day of each March, June, September and December, commencing with the last Business Day of the fiscal quarter ending September 30, 2026 (each such date, a “</w:t>
      </w:r>
      <w:r>
        <w:rPr>
          <w:rFonts w:ascii="Times New Roman;serif" w:hAnsi="Times New Roman;serif"/>
          <w:b/>
          <w:color w:val="000000"/>
          <w:sz w:val="24"/>
        </w:rPr>
        <w:t>Quarterly Redemption Date</w:t>
      </w:r>
      <w:r>
        <w:rPr>
          <w:color w:val="000000"/>
        </w:rPr>
        <w:t>”</w:t>
      </w:r>
      <w:r>
        <w:rPr>
          <w:rFonts w:ascii="Times New Roman;serif" w:hAnsi="Times New Roman;serif"/>
          <w:b w:val="false"/>
          <w:color w:val="000000"/>
          <w:sz w:val="24"/>
        </w:rPr>
        <w:t xml:space="preserve">), in an amount equal to two percent (2.00%) </w:t>
      </w:r>
      <w:r>
        <w:rPr>
          <w:rFonts w:ascii="Times New Roman;serif" w:hAnsi="Times New Roman;serif"/>
          <w:b w:val="false"/>
          <w:i/>
          <w:color w:val="000000"/>
          <w:sz w:val="24"/>
        </w:rPr>
        <w:t>per annum</w:t>
      </w:r>
      <w:r>
        <w:rPr>
          <w:color w:val="000000"/>
        </w:rPr>
        <w:t xml:space="preserve"> </w:t>
      </w:r>
      <w:r>
        <w:rPr>
          <w:rFonts w:ascii="Times New Roman;serif" w:hAnsi="Times New Roman;serif"/>
          <w:b w:val="false"/>
          <w:color w:val="000000"/>
          <w:sz w:val="24"/>
        </w:rPr>
        <w:t>of all Notes outstanding as of the prior Interest Payment Date (or if no Interest Payment Date has occurred, as of the Restatement Effective Date). At least ten (10) days prior to any Quarterly Redemption Date, the Issuer shall deliver or cause to be delivered a notice of mandatory redemption to each Holder whose Notes are to be redeemed (with a copy to the Trustee). Such notice shall identify the Notes to be redeemed and shall state: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redemption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redemption price;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portion of the principal amount of such Notes to be redeemed and that, after the redemption date, upon surrender of such Note, a new Note or Notes in principal amount equal to the unredeemed portion shall be issued upon cancellation of the original Note (or appropriate adjustments to the amount and beneficial interests in a Global Note will be made, as appropriate);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name and address of the Paying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that Notes called for redemption must be surrendered to the Paying Agent to collect the redemption price;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that, unless the Issuer defaults in making such redemption payment, interest, if any, on Notes called for redemption ceases to accrue on and after the redemption date;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the paragraph of the Notes and/or Section of this Indenture pursuant to which the Notes called for redemption are being redeemed; and</w:t>
      </w:r>
    </w:p>
    <w:p>
      <w:pPr>
        <w:pStyle w:val="TextBody"/>
        <w:bidi w:val="0"/>
        <w:spacing w:before="0" w:after="0"/>
        <w:jc w:val="both"/>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(h)    that no representation is made as to the correctness or accuracy of the CUSIP number, if any, listed in such notice or printed on the Notes. </w:t>
      </w:r>
    </w:p>
    <w:p>
      <w:pPr>
        <w:pStyle w:val="TextBody"/>
        <w:bidi w:val="0"/>
        <w:spacing w:lineRule="auto" w:line="288" w:before="0" w:after="240"/>
        <w:jc w:val="both"/>
        <w:rPr/>
      </w:pPr>
      <w:r>
        <w:rPr>
          <w:rFonts w:ascii="Times New Roman;serif" w:hAnsi="Times New Roman;serif"/>
          <w:b w:val="false"/>
          <w:color w:val="000000"/>
          <w:sz w:val="24"/>
        </w:rPr>
        <w:t xml:space="preserve">At the Issuer’s written request, the Trustee shall give the notice of redemption in the Issuer’s name and at the Issuer’s expense;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Issuer shall have delivered to the Trustee, at least three Business Days prior to the date of the giving of the notice of redemption (or such shorter period as is acceptable to the Trustee), an Officer’s Certificate requesting that the Trustee give such notice and setting forth the information to be stated in the notice as provided in the preceding paragraph. Any such request to the Trustee may be revoked or cancelled at any time prior to notice of such redemption being sent to any Holder and shall thereby be void and of no effect. The notice sent in the manner herein provided shall be deemed to have been duly given whether or not the Holder receives such notice. In any case, failure to give such notice or any defect in the notice to the Holder of any Note shall not affect the validity of the proceeding for the redemption of any other Note.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IV</w:t>
        <w:br/>
        <w:t>[RESERVED]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w:t>
        <w:br/>
        <w:t>AFFIRMATIVE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Each Note Party warrants, covenants and agrees that it will, and will cause each of its Restricted Subsidiaries 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5.01    </w:t>
      </w:r>
      <w:r>
        <w:rPr>
          <w:rFonts w:ascii="Times New Roman;serif" w:hAnsi="Times New Roman;serif"/>
          <w:b w:val="false"/>
          <w:color w:val="000000"/>
          <w:sz w:val="24"/>
          <w:u w:val="single"/>
        </w:rPr>
        <w:t>Payment of Notes</w:t>
      </w:r>
      <w:r>
        <w:rPr>
          <w:rFonts w:ascii="Times New Roman;serif" w:hAnsi="Times New Roman;serif"/>
          <w:b w:val="false"/>
          <w:color w:val="000000"/>
          <w:sz w:val="24"/>
        </w:rPr>
        <w:t>. Pay or cause to be paid (a) the principal of, premium, if any, and interest on the Notes on the dates and in the manner provided in the Notes. Principal, premium, if any, and interest shall be considered paid for all purposes hereunder on the date the Trustee or the Paying Agent (if other than the Issuer or a Subsidiary thereof) holds, as of 12:00 p.m. (New York City time) on the relevant payment date, U.S. dollars deposited by the Issuer in immediately available funds and designated for and sufficient to pay all such principal, premium, if any, and interest then due and (b) in the case of a PIK Election, the Issuer has delivered to the Trustee the documentation necessary to increase the principal balance of the Global Notes to pay PIK Interest or to issue the PIK Notes. The Issuer shall pay interest (including post-petition interest in any proceeding under any Debtor Relief Law) on overdue principal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5.02    </w:t>
      </w:r>
      <w:r>
        <w:rPr>
          <w:rFonts w:ascii="Times New Roman;serif" w:hAnsi="Times New Roman;serif"/>
          <w:b w:val="false"/>
          <w:color w:val="000000"/>
          <w:sz w:val="24"/>
          <w:u w:val="single"/>
        </w:rPr>
        <w:t>Maintenance of Office or Agency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Maintain an office or agency where, subject to such reasonable regulations as the Issuer or the Trustee may prescribe, Notes may be surrendered for registration of transfer or for exchange and where notices and demands to or upon the Issuer and Guarantors in respect of the Notes and this Indenture may be served.</w:t>
      </w: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(other than service of legal process) may be made or served at the Corporate Trust Office of the Trustee;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the Trustee shall not be deemed an agent of the Issuer for service of process.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From time to time, designate one or more other offices or agencies where the Notes may be presented or surrendered for any or all such purposes and may from time to time rescind such designations. The Issuer shall give prompt written notice to the Trustee of any such designation or rescission and of any change in the location of any such other office or agency.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Designate the Corporate Trust Office of the Trustee as one such office or agency of the Issuer in accordance with </w:t>
      </w:r>
      <w:r>
        <w:rPr>
          <w:rFonts w:ascii="Times New Roman;serif" w:hAnsi="Times New Roman;serif"/>
          <w:b w:val="false"/>
          <w:color w:val="000000"/>
          <w:sz w:val="24"/>
          <w:u w:val="single"/>
        </w:rPr>
        <w:t>Section 2.03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5.03    </w:t>
      </w:r>
      <w:r>
        <w:rPr>
          <w:rFonts w:ascii="Times New Roman;serif" w:hAnsi="Times New Roman;serif"/>
          <w:b w:val="false"/>
          <w:color w:val="000000"/>
          <w:sz w:val="24"/>
          <w:u w:val="single"/>
        </w:rPr>
        <w:t>Financial Statements, Reports, etc.. Furnish to the Trustee and each Holder: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Annual Reports</w:t>
      </w:r>
      <w:r>
        <w:rPr>
          <w:rFonts w:ascii="Times New Roman;serif" w:hAnsi="Times New Roman;serif"/>
          <w:b w:val="false"/>
          <w:color w:val="000000"/>
          <w:sz w:val="24"/>
        </w:rPr>
        <w:t xml:space="preserve">. Within one hundred twenty (120) days after the last day of each fiscal year of the Issuer (commencing with the fiscal year ending December 31, 2024), a copy of the consolidated balance sheet of the Issuer and its Restricted Subsidiaries as of the last day of the fiscal year then ended and the consolidated statements of income and cash flows of Issuer and its Restricted Subsidiaries for the fiscal year then ended, and accompanying notes thereto, each in reasonable detail showing in comparative form the figures for the previous fiscal year, audited and accompanied in the case of the consolidated financial statements by an opinion of (i) an independent public accounting firm of recognized national standing selected by Issuer (which shall be deemed to include, for the avoidance of doubt, Deloitte &amp; Touche LLP) or (ii) any other accounting firm approved by the Controlling Parties (which opinion shall be unqualified as to scope, subject to the proviso below) to the effect that the consolidated financial statements have been prepared and present fairly, in all material respects, in accordance with GAAP, the consolidated financial condition of Issuer and its Restricted Subsidiaries as of the close of such fiscal year; </w:t>
      </w:r>
      <w:r>
        <w:rPr>
          <w:rFonts w:ascii="Times New Roman;serif" w:hAnsi="Times New Roman;serif"/>
          <w:b w:val="false"/>
          <w:i/>
          <w:color w:val="000000"/>
          <w:sz w:val="24"/>
        </w:rPr>
        <w:t>provided</w:t>
      </w:r>
      <w:r>
        <w:rPr>
          <w:rFonts w:ascii="Times New Roman;serif" w:hAnsi="Times New Roman;serif"/>
          <w:b w:val="false"/>
          <w:color w:val="000000"/>
          <w:sz w:val="24"/>
        </w:rPr>
        <w:t>, that, such financial statements shall not contain a “going concern” qualification or statement, except to the extent that such a “going concern” qualification or statement is solely a consequence of any impending stated final maturity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Quarterly Reports</w:t>
      </w:r>
      <w:r>
        <w:rPr>
          <w:rFonts w:ascii="Times New Roman;serif" w:hAnsi="Times New Roman;serif"/>
          <w:b w:val="false"/>
          <w:color w:val="000000"/>
          <w:sz w:val="24"/>
        </w:rPr>
        <w:t xml:space="preserve">. Commencing with the first full fiscal quarter ending after the Closing Date, within forty-five (45) days after the last day of each fiscal quarter of each fiscal year of Issuer (other than the last fiscal quarter of any fiscal year of Issuer), a copy of the unaudited consolidated balance sheet of the Issuer and its Restricted Subsidiaries as of the last day of such fiscal quarter and the unaudited consolidated statements of income and cash flows of the Issuer and its Restricted Subsidiaries for the fiscal quarter and for the fiscal year-to-date period then ended, each in reasonable detail and showing in comparative form the figures for the corresponding date and period in the previous fiscal year of the Issuer, prepared by Issuer in accordance with GAAP (subject to the absence of footnote disclosures and year-end audit adjustments) and certified on behalf of Issuer by a Financial Officer as prepared in accordance </w:t>
      </w:r>
    </w:p>
    <w:p>
      <w:pPr>
        <w:pStyle w:val="TextBody"/>
        <w:bidi w:val="0"/>
        <w:spacing w:before="0" w:after="0"/>
        <w:jc w:val="both"/>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with GAAP (subject to the absence of footnote disclosures and year-end audit adjustments) and fairly reflecting the financial condition and results of operations of the Issuer and its Restricted Subsidiaries in all material respects.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Financial Officer’s Certificate</w:t>
      </w:r>
      <w:r>
        <w:rPr>
          <w:rFonts w:ascii="Times New Roman;serif" w:hAnsi="Times New Roman;serif"/>
          <w:b w:val="false"/>
          <w:color w:val="000000"/>
          <w:sz w:val="24"/>
        </w:rPr>
        <w:t xml:space="preserve">. Concurrently with any delivery of financial statements under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xml:space="preserve">, a Compliance Certificate (i) certifying on behalf of Issuer that, to its knowledge, no Default or Event of Default has occurred and is continuing or, if any such known Default or Event of Default has occurred and is continuing, specifying the nature and extent thereof and any corrective action taken or proposed to be taken with respect thereto;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such Compliance Certificate demonstrates that an Event of Default has occurred and is continuing due to a failure to comply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that has not been cured prior to such time, the Issuer may deliver, to the extent and within the time period permitted by </w:t>
      </w:r>
      <w:r>
        <w:rPr>
          <w:rFonts w:ascii="Times New Roman;serif" w:hAnsi="Times New Roman;serif"/>
          <w:b w:val="false"/>
          <w:color w:val="000000"/>
          <w:sz w:val="24"/>
          <w:u w:val="single"/>
        </w:rPr>
        <w:t>Section 8.10</w:t>
      </w:r>
      <w:r>
        <w:rPr>
          <w:rFonts w:ascii="Times New Roman;serif" w:hAnsi="Times New Roman;serif"/>
          <w:b w:val="false"/>
          <w:color w:val="000000"/>
          <w:sz w:val="24"/>
        </w:rPr>
        <w:t xml:space="preserve">, prior to, after or together with such Compliance Certificate, a Notice of Intent to Cure such Event of Default, (ii) setting forth the computation of the Total Net Leverage Ratio, Secured Net Leverage Ratio and a disclosure of Capital Expenditures during the applicable Test Period and, (iii) setting forth, in the case of each Compliance Certificate delivered concurrently with any delivery of financial statements under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above, the Issuer’s calculation of Excess Cash Flow starting with the fiscal year ending December 31, 2026; </w:t>
      </w:r>
      <w:r>
        <w:rPr>
          <w:rFonts w:ascii="Times New Roman;serif" w:hAnsi="Times New Roman;serif"/>
          <w:b w:val="false"/>
          <w:i/>
          <w:color w:val="000000"/>
          <w:sz w:val="24"/>
        </w:rPr>
        <w:t>provided</w:t>
      </w:r>
      <w:r>
        <w:rPr>
          <w:rFonts w:ascii="Times New Roman;serif" w:hAnsi="Times New Roman;serif"/>
          <w:b w:val="false"/>
          <w:color w:val="000000"/>
          <w:sz w:val="24"/>
        </w:rPr>
        <w:t>, that, for the avoidance of doubt, no Compliance Certificate shall “bring down” any representations and warranties made herein or in any other Note Document.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xml:space="preserve">. Promptly, from time to time, and upon the reasonable written request of the Trustee (acting at the direction of the Controlling Parties), other reasonably requested information of the Group Members regarding the operations, business affairs and financial condition (including information required under the PATRIOT Act);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nothing in this </w:t>
      </w:r>
      <w:r>
        <w:rPr>
          <w:rFonts w:ascii="Times New Roman;serif" w:hAnsi="Times New Roman;serif"/>
          <w:b w:val="false"/>
          <w:color w:val="000000"/>
          <w:sz w:val="24"/>
          <w:u w:val="single"/>
        </w:rPr>
        <w:t>Section 5.03(d)</w:t>
      </w:r>
      <w:r>
        <w:rPr>
          <w:color w:val="000000"/>
        </w:rPr>
        <w:t xml:space="preserve"> </w:t>
      </w:r>
      <w:r>
        <w:rPr>
          <w:rFonts w:ascii="Times New Roman;serif" w:hAnsi="Times New Roman;serif"/>
          <w:b w:val="false"/>
          <w:color w:val="000000"/>
          <w:sz w:val="24"/>
        </w:rPr>
        <w:t>shall require any Group Member to take any action that would violate any third party customary confidentiality agreement (other than any such confidentiality agreement entered into in contemplation of this Indenture) with any Person that is not an Affiliate (and, in all events, so long as such confidentiality agreement does not relate to information regarding the financial affairs of any Group Member or the compliance with the terms of any Note Document) or waive any attorney-client or similar privilege.</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Reconciliation Statements</w:t>
      </w:r>
      <w:r>
        <w:rPr>
          <w:rFonts w:ascii="Times New Roman;serif" w:hAnsi="Times New Roman;serif"/>
          <w:b w:val="false"/>
          <w:color w:val="000000"/>
          <w:sz w:val="24"/>
        </w:rPr>
        <w:t xml:space="preserve">. Concurrently with any delivery of financial statements under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(i) the related consolidating financial statements reflecting the adjustments necessary to eliminate the accounts of Unrestricted Subsidiaries (if any) from such consolidated financial statements and (ii) a reasonably detailed description (to which the Controlling Parties have not objected) of the quantitative differences (if any) between the information relating to Issuer and its Subsidiaries, on the one hand, and the information relating to Issuer and its Restricted Subsidiaries on a stand-alone basis, on the other hand, including (in the case of financial statements and projections) a consolidating footnote reflecting the results of Issuer and its Restricted Subsidiaries on a stand-alone basis.</w:t>
      </w:r>
    </w:p>
    <w:p>
      <w:pPr>
        <w:pStyle w:val="TextBody"/>
        <w:bidi w:val="0"/>
        <w:spacing w:lineRule="auto" w:line="288" w:before="0" w:after="240"/>
        <w:ind w:left="0" w:right="0" w:firstLine="144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Securities Act</w:t>
      </w:r>
      <w:r>
        <w:rPr>
          <w:rFonts w:ascii="Times New Roman;serif" w:hAnsi="Times New Roman;serif"/>
          <w:b w:val="false"/>
          <w:color w:val="000000"/>
          <w:sz w:val="24"/>
        </w:rPr>
        <w:t xml:space="preserve">. For so long as any Notes remain outstanding and are not freely transferable, the Issuer shall furnish to the Holders and to securities analysts and </w:t>
      </w:r>
    </w:p>
    <w:p>
      <w:pPr>
        <w:pStyle w:val="TextBody"/>
        <w:bidi w:val="0"/>
        <w:spacing w:before="0" w:after="0"/>
        <w:jc w:val="both"/>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prospective investors, upon their request, the information required to be delivered pursuant to Rule 144A(d)(4) under the Securities Act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addition, following the delivery of the financial statements pursuant to </w:t>
      </w:r>
      <w:r>
        <w:rPr>
          <w:rFonts w:ascii="Times New Roman;serif" w:hAnsi="Times New Roman;serif"/>
          <w:b w:val="false"/>
          <w:color w:val="000000"/>
          <w:sz w:val="24"/>
          <w:u w:val="single"/>
        </w:rPr>
        <w:t>Section 5.03(a)</w:t>
      </w:r>
      <w:r>
        <w:rPr>
          <w:rFonts w:ascii="Times New Roman;serif" w:hAnsi="Times New Roman;serif"/>
          <w:b w:val="false"/>
          <w:color w:val="000000"/>
          <w:sz w:val="24"/>
        </w:rPr>
        <w:t xml:space="preserve">, Issuer shall hold an update call with an Officer of Issuer and Issuer and the Holders to discuss the financial position, financial performance and cash flows of Issuer and its Restricted Subsidiaries for the period covered by the applicable financial statements; </w:t>
      </w:r>
      <w:r>
        <w:rPr>
          <w:rFonts w:ascii="Times New Roman;serif" w:hAnsi="Times New Roman;serif"/>
          <w:b w:val="false"/>
          <w:i/>
          <w:color w:val="000000"/>
          <w:sz w:val="24"/>
        </w:rPr>
        <w:t>provided</w:t>
      </w:r>
      <w:r>
        <w:rPr>
          <w:rFonts w:ascii="Times New Roman;serif" w:hAnsi="Times New Roman;serif"/>
          <w:b w:val="false"/>
          <w:color w:val="000000"/>
          <w:sz w:val="24"/>
        </w:rPr>
        <w:t>, that, the requirement to provide such an update call shall be deemed satisfied if the Issuer conducts a customary public earnings call for such fiscal quarter.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Documents required to be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Section 5.03(f)</w:t>
      </w:r>
      <w:r>
        <w:rPr>
          <w:color w:val="000000"/>
        </w:rPr>
        <w:t xml:space="preserve"> </w:t>
      </w:r>
      <w:r>
        <w:rPr>
          <w:rFonts w:ascii="Times New Roman;serif" w:hAnsi="Times New Roman;serif"/>
          <w:b w:val="false"/>
          <w:color w:val="000000"/>
          <w:sz w:val="24"/>
        </w:rPr>
        <w:t xml:space="preserve">shall be deemed to have been delivered (a) if it maintains a customary website (such as Intralinks) on which the reports required by </w:t>
      </w:r>
      <w:r>
        <w:rPr>
          <w:rFonts w:ascii="Times New Roman;serif" w:hAnsi="Times New Roman;serif"/>
          <w:b w:val="false"/>
          <w:color w:val="000000"/>
          <w:sz w:val="24"/>
          <w:u w:val="single"/>
        </w:rPr>
        <w:t>Section 5.03(a) through (f)</w:t>
      </w:r>
      <w:r>
        <w:rPr>
          <w:color w:val="000000"/>
        </w:rPr>
        <w:t xml:space="preserve"> </w:t>
      </w:r>
      <w:r>
        <w:rPr>
          <w:rFonts w:ascii="Times New Roman;serif" w:hAnsi="Times New Roman;serif"/>
          <w:b w:val="false"/>
          <w:color w:val="000000"/>
          <w:sz w:val="24"/>
        </w:rPr>
        <w:t xml:space="preserve">are posted or (b) on the date the Issuer files such reports electronically with the SEC through EDGAR (or any successor system). Each Holder shall be solely responsible for timely accessing posted documents. If the delivery of any of the foregoing documents required under this </w:t>
      </w:r>
      <w:r>
        <w:rPr>
          <w:rFonts w:ascii="Times New Roman;serif" w:hAnsi="Times New Roman;serif"/>
          <w:b w:val="false"/>
          <w:color w:val="000000"/>
          <w:sz w:val="24"/>
          <w:u w:val="single"/>
        </w:rPr>
        <w:t>Section 5.03</w:t>
      </w:r>
      <w:r>
        <w:rPr>
          <w:color w:val="000000"/>
        </w:rPr>
        <w:t xml:space="preserve"> </w:t>
      </w:r>
      <w:r>
        <w:rPr>
          <w:rFonts w:ascii="Times New Roman;serif" w:hAnsi="Times New Roman;serif"/>
          <w:b w:val="false"/>
          <w:color w:val="000000"/>
          <w:sz w:val="24"/>
        </w:rPr>
        <w:t>shall fall on a day that is not a Business Day, such deliverable shall be due on the next succeeding Business Day.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Trustee shall have no duty to analyze reports delivered to it. Delivery of such reports, information and documents to the Trustee is for informational purposes only, and the Trustee’s receipt thereof shall not constitute actual or constructive knowledge or notice of any information contained therein or determinable from information contained therein, including the Issuer’s, any Guarantor’s or any other person’s compliance with any of the covenants in this Indenture or the Notes (as to which the Trustee is entitled to rely exclusively on Officer’s Certificates of the Issuer). The Trustee will not be obligated to monitor or confirm, on a continuing basis or otherwise, the Issuer’s, any Guarantor’s or any other person’s compliance with any of the covenants described herein or to determine whether such reports, information or documents have been posted on any website or other online data system or filed with the SEC through EDGAR (or other applicable system) or to participate in any conference calls.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5.04    </w:t>
      </w:r>
      <w:r>
        <w:rPr>
          <w:rFonts w:ascii="Times New Roman;serif" w:hAnsi="Times New Roman;serif"/>
          <w:b w:val="false"/>
          <w:color w:val="000000"/>
          <w:sz w:val="24"/>
          <w:u w:val="single"/>
        </w:rPr>
        <w:t>Litigation and Other Notices</w:t>
      </w:r>
      <w:r>
        <w:rPr>
          <w:rFonts w:ascii="Times New Roman;serif" w:hAnsi="Times New Roman;serif"/>
          <w:b w:val="false"/>
          <w:color w:val="000000"/>
          <w:sz w:val="24"/>
        </w:rPr>
        <w:t>. Furnish to the Trustee written notice of the following promptly (and, in any event, within five (5) Business Days or such later date as may be agreed by the Controlling Parties) of an Officer of the Issuer obtaining actual knowledge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any Default or Event of Default, specifying the nature and extent thereof and the corrective action (if any) taken or proposed to be taken with respect thereto;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any litigation or governmental proceeding pending against the Issuer or any of its Subsidiaries that could reasonably be expected to be determined adversely and, if so determined, to result in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occurrence of any ERISA Event that could, when taken either alone or together with all such other ERISA Events, reasonably be expected to have a Material Adverse Effect; and</w:t>
      </w:r>
    </w:p>
    <w:p>
      <w:pPr>
        <w:pStyle w:val="TextBody"/>
        <w:bidi w:val="0"/>
        <w:spacing w:before="0" w:after="0"/>
        <w:jc w:val="both"/>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any other development that has resulted in, or could reasonably be expected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5.05    </w:t>
      </w:r>
      <w:r>
        <w:rPr>
          <w:rFonts w:ascii="Times New Roman;serif" w:hAnsi="Times New Roman;serif"/>
          <w:b w:val="false"/>
          <w:color w:val="000000"/>
          <w:sz w:val="24"/>
          <w:u w:val="single"/>
        </w:rPr>
        <w:t>Existence; Properties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Do or cause to be done all things necessary to preserve, renew and maintain in full force and effect its legal existence, except as otherwise permitted under </w:t>
      </w:r>
      <w:r>
        <w:rPr>
          <w:rFonts w:ascii="Times New Roman;serif" w:hAnsi="Times New Roman;serif"/>
          <w:b w:val="false"/>
          <w:color w:val="000000"/>
          <w:sz w:val="24"/>
          <w:u w:val="single"/>
        </w:rPr>
        <w:t>Sections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6.05</w:t>
      </w:r>
      <w:r>
        <w:rPr>
          <w:color w:val="000000"/>
        </w:rPr>
        <w:t xml:space="preserve"> </w:t>
      </w:r>
      <w:r>
        <w:rPr>
          <w:rFonts w:ascii="Times New Roman;serif" w:hAnsi="Times New Roman;serif"/>
          <w:b w:val="false"/>
          <w:color w:val="000000"/>
          <w:sz w:val="24"/>
        </w:rPr>
        <w:t>or, in the case of any Restricted Subsidiary, where the failure to perform such obligations would not reasonably be expected to result in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Do or cause to be done all things reasonably necessary to obtain, preserve, renew, extend and keep in full force and effect the rights, licenses, permits, privileges, franchises, authorizations and Intellectual Property which are necessary and material to the conduct of its business (except where the failure to do so could not be reasonably expected to have a Material Adverse Effect); and comply with all applicable Requirements of Law and decrees and orders of any Governmental Authority applicable to it or to its business or property, except to the extent failure to comply therewith, individually or in the aggregate, would not reasonably be expected to result in a Material Adverse Effect.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Except to the extent that the failure to do so would not, individually or in the aggregate, reasonably be expected to have a Material Adverse Effect, maintain, preserve and protect all of its properties and equipment material to the operation of its business in good working order, repair and condition, ordinary wear and tear excepted and casualty or condemnation excepted.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5.06    </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Keep its insurable property adequately insured at all times by financially sound and reputable insurers; maintain such other insurance, in each case, to such extent and against such risks as is customary with companies in the same or similar businesses operating in the same or similar locations, including flood insurance with respect to each Flood Hazard Property in compliance with the Flood Insurance Laws. Any such insurance (excluding business interruption insurance) maintained in the United States shall name the Collateral Agent as mortgagee, additional insured or loss payee, as applicable, in a commercially reasonable manner.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Note Parties shall use commercially reasonable efforts to cause all such insurance (except flood insurance, which shall comply with the Flood Insurance Laws as set forth in </w:t>
      </w:r>
      <w:r>
        <w:rPr>
          <w:rFonts w:ascii="Times New Roman;serif" w:hAnsi="Times New Roman;serif"/>
          <w:b w:val="false"/>
          <w:color w:val="000000"/>
          <w:sz w:val="24"/>
          <w:u w:val="single"/>
        </w:rPr>
        <w:t>Section 5.06(a)</w:t>
      </w:r>
      <w:r>
        <w:rPr>
          <w:rFonts w:ascii="Times New Roman;serif" w:hAnsi="Times New Roman;serif"/>
          <w:b w:val="false"/>
          <w:color w:val="000000"/>
          <w:sz w:val="24"/>
        </w:rPr>
        <w:t>) with respect to the Note Parties and property constituting Collateral to provide that no cancellation, material reduction in amount or material change in coverage thereof shall be effective until at least thirty (30) days after receipt by the Collateral Agent of written notice thereof (or if such cancellation is by reason of nonpayment of premium, at least ten (10) days’ prior written notice) (unless it is such insurer’s policy not to provide such a statement).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5.07    </w:t>
      </w:r>
      <w:r>
        <w:rPr>
          <w:rFonts w:ascii="Times New Roman;serif" w:hAnsi="Times New Roman;serif"/>
          <w:b w:val="false"/>
          <w:color w:val="000000"/>
          <w:sz w:val="24"/>
          <w:u w:val="single"/>
        </w:rPr>
        <w:t>Taxes</w:t>
      </w:r>
      <w:r>
        <w:rPr>
          <w:rFonts w:ascii="Times New Roman;serif" w:hAnsi="Times New Roman;serif"/>
          <w:b w:val="false"/>
          <w:color w:val="000000"/>
          <w:sz w:val="24"/>
        </w:rPr>
        <w:t xml:space="preserve">. Pay and discharge promptly when due all Taxes imposed upon it or upon its income or profits or in respect of its property before the same shall become delinquent or in default; provided, that, such payment and discharge shall not be required with </w:t>
      </w:r>
    </w:p>
    <w:p>
      <w:pPr>
        <w:pStyle w:val="TextBody"/>
        <w:bidi w:val="0"/>
        <w:spacing w:before="0" w:after="0"/>
        <w:jc w:val="both"/>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respect to any such Tax so long as (a) the validity or amount thereof shall be contested in good faith by appropriate proceedings and the applicable Group Member shall have set aside on its books adequate reserves or other appropriate provisions with respect thereto in accordance with GAAP (or any other applicable accounting standard) or (b) the failure to pay would not reasonably be expected, individually or in the aggregate, to result in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5.08    </w:t>
      </w:r>
      <w:r>
        <w:rPr>
          <w:rFonts w:ascii="Times New Roman;serif" w:hAnsi="Times New Roman;serif"/>
          <w:b w:val="false"/>
          <w:color w:val="000000"/>
          <w:sz w:val="24"/>
          <w:u w:val="single"/>
        </w:rPr>
        <w:t>Employee Benefits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With respect to any Employee Benefit Plan, comply in all respects with the applicable provisions of ERISA, the Code and applicable foreign law except where the failure to do so would not reasonably be expected to result in a Material Adverse Effect;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furnish to the Trustee (i) as soon as reasonably practicable after, and in any event within ten (10) days (or such later date as may be agreed to by the Controlling Parties) after any Officer of any Group Member knows that any ERISA Event has occurred that, alone or together with any other ERISA Event, would reasonably be expected to result in liability of the Group Members which would reasonably be expected to have a Material Adverse Effect or the imposition of a Lien on any property of any Group Member, a statement of a Responsible Officer of the Issuer setting forth details as to such ERISA Event and the action, if any, that the Group Members propose to take with respect thereto, and (ii) upon reasonable request by the Trustee (acting at the direction of the Controlling Parties), copies of (A) each Schedule B (Actuarial Information) to the annual report (Form 5500 Series) filed by any Group Members with the IRS with respect to each Plan; (B) the most recent actuarial valuation report for each Plan; (C) all notices received by any Group Member from a Multiemployer Plan sponsor or any Governmental Authority concerning an ERISA Event; and (D) such other documents or governmental reports or filings relating to any Plan that is sponsored, maintained or contributed to by a Group Member, as the Trustee (acting at the direction of the Controlling Parties) shall reasonably request.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5.09    </w:t>
      </w:r>
      <w:r>
        <w:rPr>
          <w:rFonts w:ascii="Times New Roman;serif" w:hAnsi="Times New Roman;serif"/>
          <w:b w:val="false"/>
          <w:color w:val="000000"/>
          <w:sz w:val="24"/>
          <w:u w:val="single"/>
        </w:rPr>
        <w:t>Maintaining Records; Access to Properties and Inspections</w:t>
      </w:r>
      <w:r>
        <w:rPr>
          <w:rFonts w:ascii="Times New Roman;serif" w:hAnsi="Times New Roman;serif"/>
          <w:b w:val="false"/>
          <w:color w:val="000000"/>
          <w:sz w:val="24"/>
        </w:rPr>
        <w:t xml:space="preserve">. Maintain a system of accounting that enables Issuer to produce financial statements in accordance with GAAP. Each Group Member will permit any representatives designated by the Trustee (acting at the direction of the Controlling Parties) to visit during its regular business hours and with reasonable advance written notice thereof and inspect the financial records and the property of such Group Member at reasonable times up to one (1) time per calendar year (but without frequency limit during the continuance of an Event of Default) and to make extracts from and copies of such financial records, and permit any representatives designated by the Trustee (acting at the direction of the Controlling Parties) to discuss the affairs, finances, accounts and condition of any Group Member with the officers and employees thereof and advisors therefor (including independent accountants);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Trustee shall give any Group Member an opportunity for its representatives to participate in any such discussions;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so long as no Event of Default has occurred and is then continuing, the Issuer shall not bear the cost of more than one such inspection per calendar year by the Trustee and Holders (or their respective representatives). Notwithstanding anything to the contrary in this </w:t>
      </w:r>
      <w:r>
        <w:rPr>
          <w:rFonts w:ascii="Times New Roman;serif" w:hAnsi="Times New Roman;serif"/>
          <w:b w:val="false"/>
          <w:color w:val="000000"/>
          <w:sz w:val="24"/>
          <w:u w:val="single"/>
        </w:rPr>
        <w:t>Section 5.09</w:t>
      </w:r>
      <w:r>
        <w:rPr>
          <w:rFonts w:ascii="Times New Roman;serif" w:hAnsi="Times New Roman;serif"/>
          <w:b w:val="false"/>
          <w:color w:val="000000"/>
          <w:sz w:val="24"/>
        </w:rPr>
        <w:t xml:space="preserve">, no Group Member will be required to disclose or permit the inspection or </w:t>
      </w:r>
    </w:p>
    <w:p>
      <w:pPr>
        <w:pStyle w:val="TextBody"/>
        <w:bidi w:val="0"/>
        <w:spacing w:before="0" w:after="0"/>
        <w:jc w:val="both"/>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discussion of, any document, information or other matter (a) that constitutes confidential Intellectual Property, including trade secrets or other confidential proprietary information, (b) in respect of which disclosure to the Trustee or any Holder (or their respective representatives or contractors) is prohibited by Requirements of Law or any binding agreement (not entered into in contemplation hereof), or (c) that is subject to attorney client or similar privilege or constitutes attorney work product.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5.10    </w:t>
      </w:r>
      <w:r>
        <w:rPr>
          <w:rFonts w:ascii="Times New Roman;serif" w:hAnsi="Times New Roman;serif"/>
          <w:b w:val="false"/>
          <w:color w:val="000000"/>
          <w:sz w:val="24"/>
          <w:u w:val="single"/>
        </w:rPr>
        <w:t>Use of Proceeds</w:t>
      </w:r>
      <w:r>
        <w:rPr>
          <w:rFonts w:ascii="Times New Roman;serif" w:hAnsi="Times New Roman;serif"/>
          <w:b w:val="false"/>
          <w:color w:val="000000"/>
          <w:sz w:val="24"/>
        </w:rPr>
        <w:t>. Use the proceeds from the Initial Notes on the Closing Date to, directly or indirectly through one or more related transactions, finance (a) the Closing Date Refinancing, and (b) the payment of related fees, costs and expenses (including any upfront fees and original issue discount) related to the Transactions. Proceeds from any Additional Notes issued in accordance with the provisions of this Indenture may be used for working capital and general corporate purposes, including, without limitation, to finance Permitted Acquisitions and other Investments (including refinancing the existing Indebtedness of acquired businesses), Capital Expenditures, working capital and/or purchase price adjustments, Dividends and prepayments of, and other payments with respect to, Indebtedness (including, without limitation, Restricted Debt Payments), in each case permitted hereunder, for any other purposes not prohibited by this Indenture, and to pay related fees, costs and expenses in connection with any such transactions.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5.11    </w:t>
      </w:r>
      <w:r>
        <w:rPr>
          <w:rFonts w:ascii="Times New Roman;serif" w:hAnsi="Times New Roman;serif"/>
          <w:b w:val="false"/>
          <w:color w:val="000000"/>
          <w:sz w:val="24"/>
          <w:u w:val="single"/>
        </w:rPr>
        <w:t>Compliance with Environmental Laws; Environmental Reports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Except as would not reasonably be expected, individually or in the aggregate, to result in a Material Adverse Effect, (a) comply with all Environmental Laws and Environmental Permits applicable to each of its operations and Real Property; (b) obtain and renew all Environmental Permits applicable to each of its operations and owned Real Property and, to the extent any Group Member is required to obtain such Environmental Permits under the applicable lease or by Environmental Laws, leased Real Property; and (c) comply with all applicable orders of a Governmental Authority required of each of the Group Members by, and in accordance with, Environmental Laws; </w:t>
      </w:r>
      <w:r>
        <w:rPr>
          <w:rFonts w:ascii="Times New Roman;serif" w:hAnsi="Times New Roman;serif"/>
          <w:b w:val="false"/>
          <w:i/>
          <w:color w:val="000000"/>
          <w:sz w:val="24"/>
        </w:rPr>
        <w:t>provided</w:t>
      </w:r>
      <w:r>
        <w:rPr>
          <w:rFonts w:ascii="Times New Roman;serif" w:hAnsi="Times New Roman;serif"/>
          <w:b w:val="false"/>
          <w:color w:val="000000"/>
          <w:sz w:val="24"/>
        </w:rPr>
        <w:t>, that, no Group Member shall be required to comply with such orders to the extent that its obligation to do so is being contested in good faith and by proper proceedings.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5.12    </w:t>
      </w:r>
      <w:r>
        <w:rPr>
          <w:rFonts w:ascii="Times New Roman;serif" w:hAnsi="Times New Roman;serif"/>
          <w:b w:val="false"/>
          <w:color w:val="000000"/>
          <w:sz w:val="24"/>
          <w:u w:val="single"/>
        </w:rPr>
        <w:t>Additional Collateral; Additional Guarantors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Additional Security</w:t>
      </w:r>
      <w:r>
        <w:rPr>
          <w:rFonts w:ascii="Times New Roman;serif" w:hAnsi="Times New Roman;serif"/>
          <w:b w:val="false"/>
          <w:color w:val="000000"/>
          <w:sz w:val="24"/>
        </w:rPr>
        <w:t xml:space="preserve">. Subject to the terms of the Security Documents, with respect to any personal property acquired after the Closing Date by any Note Party that constitutes “Collateral” under any of the Security Documents or is intended to be subject to the Liens created by any Security Document but is not so subject to a Lien thereunder, but in any event subject to the terms, conditions and limitations thereunder, within sixty (60) days after the acquisition thereof, or such longer period as the Controlling Parties may approve, (i) execute and deliver to the Trustee and the Collateral Agent such amendments or supplements to the relevant Security Documents or such other New York law governed documents as are necessary (or as the Trustee or the Collateral Agent shall, acting at the direction of the Controlling Parties, reasonably request) to grant to the Collateral Agent, for its benefit and for the benefit of the other Secured Parties, a Lien under applicable U.S. state and federal law on such Collateral subject to no Liens </w:t>
      </w:r>
    </w:p>
    <w:p>
      <w:pPr>
        <w:pStyle w:val="TextBody"/>
        <w:bidi w:val="0"/>
        <w:spacing w:before="0" w:after="0"/>
        <w:jc w:val="both"/>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than Permitted Liens, and (ii) take all actions reasonably necessary to cause such Lien to be duly perfected to the extent required by such Security Document in accordance with all applicable U.S. state and federal law, including the filing of financing statements and intellectual property security agreements in such U.S. jurisdictions as may be reasonably requested by the Trustee or the Collateral Agent (in each case, acting at the direction of the Controlling Parties). The Issuer and the other Note Parties shall otherwise take such actions and execute and/or deliver to the Collateral Agent (or its non-fiduciary agent or designee pursuant to any Intercreditor Agreement) such New York law governed documents as the Trustee or the Collateral Agent (in each case, acting at the direction of the Controlling Parties) shall reasonably require to confirm the validity, perfection and priority of the Lien of the Security Documents on such after-acquired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Additional Subsidiaries</w:t>
      </w:r>
      <w:r>
        <w:rPr>
          <w:rFonts w:ascii="Times New Roman;serif" w:hAnsi="Times New Roman;serif"/>
          <w:b w:val="false"/>
          <w:color w:val="000000"/>
          <w:sz w:val="24"/>
        </w:rPr>
        <w:t>. Subject to the terms of the Security Documents, upon the formation or acquisition of, or the redesignation of an Unrestricted Subsidiary to, a Restricted Subsidiary that is a Wholly Owned Domestic Subsidiary (excluding any Excluded Subsidiary) after the Closing Date (other than a merger Subsidiary formed in connection with a Permitted Acquisition so long as such merger Subsidiary is merged out of existence pursuant to such Permitted Acquisition, or otherwise merged out of existence or dissolved, within sixty (60) days of its formation (or such later date as permitted by the Controlling Parties in their sole discretion)) or upon any Excluded Subsidiary ceasing to constitute an Excluded Subsidiary, within sixty (60) days after such formation, acquisition, designation or cessation, or such longer period as the Controlling Parties may approve, the Issuer shall:</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deliver to the Collateral Agent the certificates, if any, representing all of the Equity Interests of such Wholly Owned Restricted Subsidiary that constitute Collateral and that are “certificated securities” (as defined in Article 8 of the UCC), together with undated Equity Interest powers or other appropriate instruments of transfer executed and delivered in blank by a duly authorized officer of the holder(s) of such Equity Interests, and all intercompany notes owing from such Wholly Owned Restricted Subsidiary to any Note Party required to be delivered pursuant to the Security Agreement or other applicable Security Document and not previously so delivered, together with instruments of transfer executed and delivered in blank by a duly authorized officer of such Note Party or Additional Guarantor, as applicable, and all other Collateral that is required to be delivered pursuant to the Security Agreements or other applicable Security Document and not previously so delivered;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cause any such new Wholly Owned Restricted Subsidiary (except Excluded Subsidiaries), (A) to execute and deliver a supplemental indenture substantially in the form attached hereto as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 xml:space="preserve">to become a Subsidiary Guarantor and a joinder agreement to the Security Agreement, and (B) to take all actions reasonably necessary to cause the Lien created on the Collateral (which shall exclude Excluded Property and be subject to the limitations set forth herein and the applicable Security Documents) by the applicable Security Documents to be duly perfected under U.S. federal and applicable state law to the extent required by such agreements in accordance with all applicable Requirements of Law, including the filing of financing statements and intellectual property security agreements in such U.S. jurisdictions as may be reasonably requested by the Trustee or the Collateral Agent (in each case, acting at the </w:t>
      </w:r>
    </w:p>
    <w:p>
      <w:pPr>
        <w:pStyle w:val="TextBody"/>
        <w:bidi w:val="0"/>
        <w:spacing w:before="0" w:after="0"/>
        <w:jc w:val="both"/>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direction of the Controlling Parties); </w:t>
      </w:r>
      <w:r>
        <w:rPr>
          <w:rFonts w:ascii="Times New Roman;serif" w:hAnsi="Times New Roman;serif"/>
          <w:b w:val="false"/>
          <w:i/>
          <w:color w:val="000000"/>
          <w:sz w:val="24"/>
        </w:rPr>
        <w:t>provided</w:t>
      </w:r>
      <w:r>
        <w:rPr>
          <w:rFonts w:ascii="Times New Roman;serif" w:hAnsi="Times New Roman;serif"/>
          <w:b w:val="false"/>
          <w:color w:val="000000"/>
          <w:sz w:val="24"/>
        </w:rPr>
        <w:t>, that, (x) no pledge of Excluded Equity Interests shall be required, and (y) no perfection actions by “control” (except with respect to Equity Interests, certain debt instruments, and any account that is required to be subject to a control agreement pursuant to the ABL Documents), landlord waivers or collateral access agreements (except with respect to any location required to be subject to a landlord waiver or collateral access agreement pursuant to the ABL Documents) shall be required to be entered into.</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Real Property Collateral</w:t>
      </w:r>
      <w:r>
        <w:rPr>
          <w:rFonts w:ascii="Times New Roman;serif" w:hAnsi="Times New Roman;serif"/>
          <w:b w:val="false"/>
          <w:color w:val="000000"/>
          <w:sz w:val="24"/>
        </w:rPr>
        <w:t>. Upon (i) the acquisition or lease by any Group Member of any Material Real Property, (ii) the formation or acquisition of, or the redesignation of an Unrestricted Subsidiary as, a Restricted Subsidiary and a Group Member, which Group Member owns or leases one or more Material Real Properties or (iii) any Excluded Subsidiary ceasing to be an Excluded Subsidiary, which Subsidiary is a Group Member that owns or leases one or more Material Real Properties, on or before the date that is sixty (60) days after the date on which the relevant event occurs (or such longer period as the Controlling Parties may reasonably agree), the Issuer shall cause such Group Member to take all such actions and execute and deliver, or cause to be executed and delivered, all such applicable Mortgages covering, among other things, such interest in real property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to the extent any property to be subject to a Mortgage is located in a jurisdiction which imposes mortgage recording taxes, intangibles tax, documentary tax or similar tax, if such tax will be owed on the entire amount of the indebtedness evidenced hereby, to the extent permitted by applicable law, the amount secured by the Mortgage shall be limited to the fair market value of the Material Real Property at the time the Mortgage is entered into if such limitation results in such tax being calculated based upon such fair market value), customary Mortgage Policies and endorsements thereto and to the extent available in the applicable jurisdiction at reasonable cost as determined by the Issuer based on readily available information, appraisals (solely to the extent required under FIRREA), Phase I environmental assessments (to the extent in possession of the Issuer), new surveys or existing surveys with no change affidavits, in each case sufficient for the title insurer to remove the standard survey exception and issue full survey coverage and the endorsements referenced above, “Life-of Loan” Federal Emergency Management Agency Standard Flood Hazard Determinations under Regulation H of the Federal Reserve Board (together with evidence of flood insurance for any Material Real Property that constitutes a Flood Hazard Property located in a flood hazard area to the extent required by the Flood Insurance Laws, and in accordance with </w:t>
      </w:r>
      <w:r>
        <w:rPr>
          <w:rFonts w:ascii="Times New Roman;serif" w:hAnsi="Times New Roman;serif"/>
          <w:b w:val="false"/>
          <w:color w:val="000000"/>
          <w:sz w:val="24"/>
          <w:u w:val="single"/>
        </w:rPr>
        <w:t>Section 5.06(a)</w:t>
      </w:r>
      <w:r>
        <w:rPr>
          <w:color w:val="000000"/>
        </w:rPr>
        <w:t xml:space="preserve"> </w:t>
      </w:r>
      <w:r>
        <w:rPr>
          <w:rFonts w:ascii="Times New Roman;serif" w:hAnsi="Times New Roman;serif"/>
          <w:b w:val="false"/>
          <w:color w:val="000000"/>
          <w:sz w:val="24"/>
        </w:rPr>
        <w:t>hereof), customary legal opinions, certificates and documentation that the Trustee (acting at the direction of the Controlling Parties) may reasonably request to create in favor of the Collateral Agent, for the benefit of the Secured Parties, a valid and perfected lien and security interest in such Material Real Property, with each of the foregoing documents in form reasonably satisfactory to the Collateral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5.13    </w:t>
      </w:r>
      <w:r>
        <w:rPr>
          <w:rFonts w:ascii="Times New Roman;serif" w:hAnsi="Times New Roman;serif"/>
          <w:b w:val="false"/>
          <w:color w:val="000000"/>
          <w:sz w:val="24"/>
          <w:u w:val="single"/>
        </w:rPr>
        <w:t>Security Interests; Further Assurances</w:t>
      </w:r>
      <w:r>
        <w:rPr>
          <w:rFonts w:ascii="Times New Roman;serif" w:hAnsi="Times New Roman;serif"/>
          <w:b w:val="false"/>
          <w:color w:val="000000"/>
          <w:sz w:val="24"/>
        </w:rPr>
        <w:t xml:space="preserve">. Promptly upon reasonable request by the Trustee or the Collateral Agent (in each case, acting at the direction of the Controlling Parties) (a) correct any material defect or error that may be discovered in the execution, acknowledgment, filing or recordation of any Security Document or other document or instrument relating to any Collateral, and (b) do, execute, acknowledge, deliver, record, re-record, file, re-file, register and re-register any and all such further acts, deeds, certificates, assurances and other instruments as are necessary (or as the Trustee or the Collateral Agent may, </w:t>
      </w:r>
    </w:p>
    <w:p>
      <w:pPr>
        <w:pStyle w:val="TextBody"/>
        <w:bidi w:val="0"/>
        <w:spacing w:before="0" w:after="0"/>
        <w:jc w:val="both"/>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acting at the direction of the Controlling Parties, reasonably request) from time to time in order to carry out more effectively the purposes of this Indenture and the Security Documents; </w:t>
      </w:r>
      <w:r>
        <w:rPr>
          <w:rFonts w:ascii="Times New Roman;serif" w:hAnsi="Times New Roman;serif"/>
          <w:b w:val="false"/>
          <w:i/>
          <w:color w:val="000000"/>
          <w:sz w:val="24"/>
        </w:rPr>
        <w:t>provided</w:t>
      </w:r>
      <w:r>
        <w:rPr>
          <w:rFonts w:ascii="Times New Roman;serif" w:hAnsi="Times New Roman;serif"/>
          <w:b w:val="false"/>
          <w:color w:val="000000"/>
          <w:sz w:val="24"/>
        </w:rPr>
        <w:t>, that, notwithstanding anything else contained herein or in any other Note Document to the contrary, (i) the foregoing shall not apply to any Excluded Subsidiary or Property of any Excluded Subsidiary or any Excluded Property or any Excluded Equity Interests, (ii) any such documents and deliverables shall be governed by New York law and (iii) no perfection actions by “control” (except with respect to Equity Interests, certain debt instruments, and any account that is required to be subject to a control agreement pursuant to the ABL Documents) or landlord waivers, estoppels or collateral access letters shall be required to be entered into hereunder or under any other Note Document (except with respect to any location required to be subject to a landlord waiver or collateral access agreement pursuant to the ABL Documents). Notwithstanding the foregoing or anything else herein or in any other Note Document to the contrary, in no event shall (A) the assets of any CFC (including the Equity Interests of any Subsidiary thereof) constitute security or secure, or such assets or the proceeds of such assets be required to be available for, payment of the Obligations, (B) more than sixty-five percent (65%) of the Voting Stock of and one hundred percent (100%) of the Equity Interests that are not Voting Stock of any CFC Holding Company or CFC, in each case, owned directly by a Note Party be required to be pledged to secure the Obligations or (C) any Equity Interests of any Subsidiary directly or indirectly owned by any CFC be required to be pledged to secure the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5.14    </w:t>
      </w:r>
      <w:r>
        <w:rPr>
          <w:rFonts w:ascii="Times New Roman;serif" w:hAnsi="Times New Roman;serif"/>
          <w:b w:val="false"/>
          <w:color w:val="000000"/>
          <w:sz w:val="24"/>
          <w:u w:val="single"/>
        </w:rPr>
        <w:t>Maintenance of Ratings</w:t>
      </w:r>
      <w:r>
        <w:rPr>
          <w:rFonts w:ascii="Times New Roman;serif" w:hAnsi="Times New Roman;serif"/>
          <w:b w:val="false"/>
          <w:color w:val="000000"/>
          <w:sz w:val="24"/>
        </w:rPr>
        <w:t>. Use commercially reasonable efforts to at all times maintain a public or private rating (but not any specific rating) in respect of the Notes, and public corporate family ratings, from at least one of any of S&amp;P, Moody’s or Fitch. The fees and expenses of any ratings agency and all other costs incurred in connection with obtaining, affirming or appealing a rating shall be borne exclusively by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5.15    </w:t>
      </w:r>
      <w:r>
        <w:rPr>
          <w:rFonts w:ascii="Times New Roman;serif" w:hAnsi="Times New Roman;serif"/>
          <w:b w:val="false"/>
          <w:color w:val="000000"/>
          <w:sz w:val="24"/>
          <w:u w:val="single"/>
        </w:rPr>
        <w:t>Compliance with Law</w:t>
      </w:r>
      <w:r>
        <w:rPr>
          <w:rFonts w:ascii="Times New Roman;serif" w:hAnsi="Times New Roman;serif"/>
          <w:b w:val="false"/>
          <w:color w:val="000000"/>
          <w:sz w:val="24"/>
        </w:rPr>
        <w:t>. Comply with all Requirements of Law and all orders, writs, injunctions and decrees applicable to the Issuer or any of its respective Restricted Subsidiaries or to their business or property, except to the extent that the failure to comply therewith could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5.16    </w:t>
      </w:r>
      <w:r>
        <w:rPr>
          <w:rFonts w:ascii="Times New Roman;serif" w:hAnsi="Times New Roman;serif"/>
          <w:b w:val="false"/>
          <w:color w:val="000000"/>
          <w:sz w:val="24"/>
          <w:u w:val="single"/>
        </w:rPr>
        <w:t>Anti-Terrorism; Sanctions; Anti-Corruption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Comply (and cause each of their Subsidiaries to comply) in all material respects with all applicable Sanctions, anti-corruption laws and any applicable Requirement of Law relating to terrorism or money-laundering (“</w:t>
      </w:r>
      <w:r>
        <w:rPr>
          <w:rFonts w:ascii="Times New Roman;serif" w:hAnsi="Times New Roman;serif"/>
          <w:b/>
          <w:color w:val="000000"/>
          <w:sz w:val="24"/>
        </w:rPr>
        <w:t>Anti-Terrorism Laws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(i) Not redeem the Notes, or make any other payment to any Holder, using funds or properties of the Issuer or any of its respective Restricted Subsidiaries that are, to the knowledge of the Issuer, the property of any Person that is the subject or target of applicable Sanctions or that are beneficially owned, directly or indirectly, by any Person that is the subject or target of applicable Sanctions, in each case, that would cause a violation of Anti-Terrorism Laws or applicable Sanctions or any other applicable Requirement of Law by any Person and (ii) not permit any Person that is the subject of Sanctions to have, to the knowledge of the Issuer, any direct or indirect interest, in the Issuer or any of its respective Subsidiaries, with the result </w:t>
      </w:r>
    </w:p>
    <w:p>
      <w:pPr>
        <w:pStyle w:val="TextBody"/>
        <w:bidi w:val="0"/>
        <w:spacing w:before="0" w:after="0"/>
        <w:jc w:val="both"/>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the investment in the Issuer or any of its respective Subsidiaries (whether directly or indirectly) or the Notes purchased by the Holders would be in violation of any applicable Sanctions.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Each Note Party will, and will cause each of its Subsidiaries to, maintain in effect and enforce policies and procedures that are reasonably designed to ensure compliance by the Note Parties, its Subsidiaries and their respective directors, officers, employees and agents with the FCPA, other applicable anti-corruption laws and Sanctions.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5.17    </w:t>
      </w:r>
      <w:r>
        <w:rPr>
          <w:rFonts w:ascii="Times New Roman;serif" w:hAnsi="Times New Roman;serif"/>
          <w:b w:val="false"/>
          <w:color w:val="000000"/>
          <w:sz w:val="24"/>
          <w:u w:val="single"/>
        </w:rPr>
        <w:t>DIP Financing Right of First Offer</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If the Issuer or any of its Subsidiaries pursues any debtor-in-possession financing in connection with any case, proceeding or other action under any Debtor Relief Law or any Insolvency Event involving the Issuer or any of its Subsidiaries that is proposed to be secured by any Notes Priority Collateral (such financing, a “</w:t>
      </w:r>
      <w:r>
        <w:rPr>
          <w:rFonts w:ascii="Times New Roman;serif" w:hAnsi="Times New Roman;serif"/>
          <w:b w:val="false"/>
          <w:color w:val="000000"/>
          <w:sz w:val="24"/>
          <w:u w:val="single"/>
        </w:rPr>
        <w:t>DIP Financing</w:t>
      </w:r>
      <w:r>
        <w:rPr>
          <w:color w:val="000000"/>
        </w:rPr>
        <w:t>”</w:t>
      </w:r>
      <w:r>
        <w:rPr>
          <w:rFonts w:ascii="Times New Roman;serif" w:hAnsi="Times New Roman;serif"/>
          <w:b w:val="false"/>
          <w:color w:val="000000"/>
          <w:sz w:val="24"/>
        </w:rPr>
        <w:t>) prior to the Maturity Date, the Issuer shall, and shall cause each applicable Subsidiary to, offer the Holders the opportunity (which notice may be delivered by electronic means reasonably designed to provide notice to the Holders) and affording them a period of not less than 10 Business Days (or such shorter period as may be required by exigent circumstances, including the need to obtain DIP financing on an expedited basis) to commit to provide such DIP Financing on reasonable terms (such offer, a “</w:t>
      </w:r>
      <w:r>
        <w:rPr>
          <w:rFonts w:ascii="Times New Roman;serif" w:hAnsi="Times New Roman;serif"/>
          <w:b w:val="false"/>
          <w:color w:val="000000"/>
          <w:sz w:val="24"/>
          <w:u w:val="single"/>
        </w:rPr>
        <w:t>DIP Right of First Offer</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Any DIP Right of First Offer shall be subject in all respects to (i) any fiduciary duties of the Issuer, such Subsidiary or any of their respective directors, managers, officers or other fiduciaries, (ii) any market check or other process conducted by or on behalf of the Issuer or such Subsidiary in connection with such DIP Financing, (iii) the terms and provisions of the ABL/Note Intercreditor Agreement, any other applicable Intercreditor Agreement and the Security Documents, including without limitation the relative lien priorities, application of proceeds, no-contest, adequate protection, DIP priming consent, cash collateral, enforcement and other provisions contained therein, (iv) any necessary approval of a court of competent jurisdiction, and (v) compliance with applicable securities laws and any other applicable Requirements of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Notwithstanding anything to the contrary in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 xml:space="preserve">or any other Note Document, neither the Issuer nor any Subsidiary shall be required to accept, support, seek approval of or consummate any proposal, commitment or other offer from any Holder or any Affiliate thereof to provide any DIP Financing if the Issuer or such Subsidiary determines in its sole and absolute discretion (exercised in good faith) that (i) an alternative financing proposal is on better or otherwise more favorable terms (including but not limited to pricing, fees, covenants, milestones, governance rights, or other terms), (ii) an alternative financing proposal is more likely to be approved by the applicable court or to be consummated on a more timely basis, (iii) acceptance of such alternative financing proposal is otherwise in the best interests of the Issuer, such Subsidiary or their respective estates, or (iv) such proposal is not reasonably likely to be consummated. Issuer’s or any Subsidiary’s good faith determination under this </w:t>
      </w:r>
      <w:r>
        <w:rPr>
          <w:rFonts w:ascii="Times New Roman;serif" w:hAnsi="Times New Roman;serif"/>
          <w:b w:val="false"/>
          <w:color w:val="000000"/>
          <w:sz w:val="24"/>
          <w:u w:val="single"/>
        </w:rPr>
        <w:t>Section 5.17(c)</w:t>
      </w:r>
      <w:r>
        <w:rPr>
          <w:color w:val="000000"/>
        </w:rPr>
        <w:t xml:space="preserve"> </w:t>
      </w:r>
      <w:r>
        <w:rPr>
          <w:rFonts w:ascii="Times New Roman;serif" w:hAnsi="Times New Roman;serif"/>
          <w:b w:val="false"/>
          <w:color w:val="000000"/>
          <w:sz w:val="24"/>
        </w:rPr>
        <w:t xml:space="preserve">shall be conclusive and binding, and no Holder shall have any claim against the Issuer, </w:t>
      </w:r>
    </w:p>
    <w:p>
      <w:pPr>
        <w:pStyle w:val="TextBody"/>
        <w:bidi w:val="0"/>
        <w:spacing w:before="0" w:after="0"/>
        <w:jc w:val="both"/>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Subsidiary, or any of their respective directors, managers, officers, agents or other representatives arising from the Issuer’s or any Subsidiary’s exercise of such discretion.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If any Holder is provided a DIP Right of First Offer and the Issuer accepts such Holder’s proposal, then each Holder shall be permitted, and each Holder agrees to permit each other Holder, to participate in such DIP Financing on a pro rata basis in accordance with the aggregate principal amount of Initial Notes held by such Holder relative to the aggregate principal amount of Initial Notes held by all Holders electing to participate in such DIP Financing, on the same terms and subject to the same conditions applicable to the participating Holders or their respective Affiliates;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(x) each such Holder shall satisfy any eligibility, funding, documentation, regulatory, securities law, know-your-customer, tax, confidentiality, syndication, allocation, bankruptcy court approval and other conditions applicable to lenders or participants generally in such DIP Financing, (y) such Holder shall have delivered a binding, irrevocable commitment (in form and substance satisfactory to the Issuer in its reasonable discretion) within the time period specified in the applicable notice, and (z) any failure by such Holder to timely provide such commitment under </w:t>
      </w:r>
      <w:r>
        <w:rPr>
          <w:rFonts w:ascii="Times New Roman;serif" w:hAnsi="Times New Roman;serif"/>
          <w:b w:val="false"/>
          <w:color w:val="000000"/>
          <w:sz w:val="24"/>
          <w:u w:val="single"/>
        </w:rPr>
        <w:t>Section 5.17(d)(y)</w:t>
      </w:r>
      <w:r>
        <w:rPr>
          <w:color w:val="000000"/>
        </w:rPr>
        <w:t xml:space="preserve"> </w:t>
      </w:r>
      <w:r>
        <w:rPr>
          <w:rFonts w:ascii="Times New Roman;serif" w:hAnsi="Times New Roman;serif"/>
          <w:b w:val="false"/>
          <w:color w:val="000000"/>
          <w:sz w:val="24"/>
        </w:rPr>
        <w:t xml:space="preserve">or to fund its committed amount when due shall automatically and irrevocably forfeit such Holder’s participation rights under this </w:t>
      </w:r>
      <w:r>
        <w:rPr>
          <w:rFonts w:ascii="Times New Roman;serif" w:hAnsi="Times New Roman;serif"/>
          <w:b w:val="false"/>
          <w:color w:val="000000"/>
          <w:sz w:val="24"/>
          <w:u w:val="single"/>
        </w:rPr>
        <w:t>Section 5.17(d)</w:t>
      </w:r>
      <w:r>
        <w:rPr>
          <w:color w:val="000000"/>
        </w:rPr>
        <w:t xml:space="preserve"> </w:t>
      </w:r>
      <w:r>
        <w:rPr>
          <w:rFonts w:ascii="Times New Roman;serif" w:hAnsi="Times New Roman;serif"/>
          <w:b w:val="false"/>
          <w:color w:val="000000"/>
          <w:sz w:val="24"/>
        </w:rPr>
        <w:t>with respect to such DIP Financing and any subsequent DIP Financing.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For the avoidance of doubt, nothing in this </w:t>
      </w:r>
      <w:r>
        <w:rPr>
          <w:rFonts w:ascii="Times New Roman;serif" w:hAnsi="Times New Roman;serif"/>
          <w:b w:val="false"/>
          <w:color w:val="000000"/>
          <w:sz w:val="24"/>
          <w:u w:val="single"/>
        </w:rPr>
        <w:t>Section 5.17</w:t>
      </w:r>
      <w:r>
        <w:rPr>
          <w:color w:val="000000"/>
        </w:rPr>
        <w:t xml:space="preserve"> </w:t>
      </w:r>
      <w:r>
        <w:rPr>
          <w:rFonts w:ascii="Times New Roman;serif" w:hAnsi="Times New Roman;serif"/>
          <w:b w:val="false"/>
          <w:color w:val="000000"/>
          <w:sz w:val="24"/>
        </w:rPr>
        <w:t>shall (i) limit the ability of the Issuer or any Subsidiary to use cash collateral (as defined in section 363(a) of the Bankruptcy Code) or obtain financing under section 364 of the Bankruptcy Code (or any similar provision of any applicable Debtor Relief Law) from any source (including any Holder or any third party) at any time, whether or not a DIP Right of First Offer has been provided, (ii) create any obligation of the Issuer or any Subsidiary to pursue any DIP Financing, (iii) limit any other rights or remedies of the Issuer or any Subsidiary under applicable law, or (v) be construed to create any rights in any Holder with respect to cash collateral or adequate protection.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w:t>
        <w:br/>
        <w:t>NEGATIVE COVENANTS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Each of the Note Parties warrants, covenants and agrees that it will not, nor will permit any of its Restricted Subsidiaries to: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6.01    </w:t>
      </w:r>
      <w:r>
        <w:rPr>
          <w:rFonts w:ascii="Times New Roman;serif" w:hAnsi="Times New Roman;serif"/>
          <w:b w:val="false"/>
          <w:color w:val="000000"/>
          <w:sz w:val="24"/>
          <w:u w:val="single"/>
        </w:rPr>
        <w:t>Indebtedness</w:t>
      </w:r>
      <w:r>
        <w:rPr>
          <w:rFonts w:ascii="Times New Roman;serif" w:hAnsi="Times New Roman;serif"/>
          <w:b w:val="false"/>
          <w:color w:val="000000"/>
          <w:sz w:val="24"/>
        </w:rPr>
        <w:t>. Incur, create, assume or permit to exist, directly or indirectly, any Indebtedness, except: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Indebtedness incurred under this Indenture and the other Note Documents (but other than any Additional Notes), Note Refinancing Indebtedness, any Permitted Additional Debt and, in each case, any Permitted Refinancing thereof (including, without duplication, all premiums (if any), interest (including post-petition interest and payment in kind interest, accretion or amortization of original issue discount, fees, expenses and charges, in each case, with respect to Indebtedness permitted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 Indebtedness in existence on the Closing Date and, with respect to any such Indebtedness in excess of $2,500,000 in aggregate principal amount, set forth on </w:t>
      </w:r>
      <w:r>
        <w:rPr>
          <w:rFonts w:ascii="Times New Roman;serif" w:hAnsi="Times New Roman;serif"/>
          <w:b w:val="false"/>
          <w:color w:val="000000"/>
          <w:sz w:val="24"/>
          <w:u w:val="single"/>
        </w:rPr>
        <w:t>Schedule 6.01(b)</w:t>
      </w:r>
      <w:r>
        <w:rPr>
          <w:color w:val="000000"/>
        </w:rPr>
        <w:t xml:space="preserve"> </w:t>
      </w:r>
      <w:r>
        <w:rPr>
          <w:rFonts w:ascii="Times New Roman;serif" w:hAnsi="Times New Roman;serif"/>
          <w:b w:val="false"/>
          <w:color w:val="000000"/>
          <w:sz w:val="24"/>
        </w:rPr>
        <w:t>and (ii) Permitted Refinancings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Indebtedness incurred under the ABL Documents as in effect on the date hereof (including any increase to the commitments thereunder after the Closing Date pursuant to Article III of the ABL Credit Agreement (as in effect on the Closing Date)) in an amount not to exceed $160,000,000, or Permitted Refinancing in respect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additional Pari Passu Notes Lien Indebtedness in an aggregate principal amount (including any other then-outstanding Pari Passu Notes Lien Indebtedness (other than the Notes)) so long as (i) for the period having commenced on the Closing Date and ended on the date that is March 12, 2026, (x) on a Pro Forma Basis immediately after giving effect to each such incurrence of any such Pari Passu Notes Lien Indebtedness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the Total Net Leverage Ratio immediately prior to the incurrence of such Pari Passu Notes Lien Indebtedness and (y) the principal amount thereof, together with the principal amount of any Permitted Additional Debt, does not exceed the Specified Additional Debt Cap, (ii) thereafter, (x) on a Pro Forma Basis immediately after giving effect to each such incurrence of any such Pari Passu Notes Lien Indebtedness and the application of the proceeds therefrom (including pursuant to any Permitted Acquisition or other Investment consummated in connection therewith or the repayment or prepayment of any Indebtedness with the proceeds thereof), and any disposition, incurrence of Indebtedness, or other appropriate pro forma adjustments in connection therewith, the Total Net Leverage Ratio as of the Applicable Date of Determination and for the applicable Test Period is not greater than 3.00:1.00 and (y) the principal amount thereof, together with the principal amount of any Permitted Additional Debt, does not exceed an amount equal to the unutilized portion of the Maximum Additional Debt Amount (it being understood and agreed that any Pari Passu Notes Lien Indebtedness incurred in reliance on clause (i) above shall not reduce the Maximum Additional Debt Amount) and (iii) in each case, the opportunity to commit to provide any Pari Passu Notes Lien Indebtedness shall be offered by the Issuer first to each of the existing Holders on a pro rata basis based on their holdings of then issued Notes and, to the extent that any existing Holder has not agreed or declared its willingness in writing to provide such Pari Passu Notes Lien Indebtedness within ten (10) Business Days after receiving such offer from the Issuer, on the terms specified by the Issuer or any arranger of such Pari Passu Notes Lien Indebtedness, after being provided a bona fide opportunity to do so, the Issuer may then offer such opportunity to provide that portion of such Pari Passu Notes Lien Indebtedness to any other Person (which may include existing Holders) (it being understood that any existing Holder approached to provide all or a portion of such Pari Passu Notes Lien Indebtedness may elect or decline, in its sole discretion, to provide such Pari Passu Notes Lien Indebtedness);</w:t>
      </w:r>
    </w:p>
    <w:p>
      <w:pPr>
        <w:pStyle w:val="TextBody"/>
        <w:bidi w:val="0"/>
        <w:spacing w:before="0" w:after="0"/>
        <w:jc w:val="both"/>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Indebtedness in respect of Purchase Money Obligations or Capital Lease Obligations, Indebtedness incurred in connection with financing Real Property (regardless of when initially acquired) and Indebtedness incurred in connection with Sale Leaseback Transactions, and any Permitted Refinancings of any of the foregoing, in an aggregate amount for all such Indebtedness under this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not to exceed, at any time outstanding, $85,000,000;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Indebtedness in respect of (i) appeal bonds or similar instruments and (ii) payment, bid, performance or surety bonds, or other similar bonds, completion guarantees, pension guarantees, or similar instruments, workers’ compensation claims, health, disability or other employee benefits and self-insurance obligations, in each case listed under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in the ordinary course of business, and including guarantees or obligations of any Group Member with respect to letters of credit and bankers acceptances supporting such appeal, payment, bid, performance or surety or other similar bonds, completion guarantees, pension guarantees, or similar instruments, workers’ compensation claims, health, disability or other employee benefits and self-insurance obligations (in each case other than for an obligation for money borrowed);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(i) Contingent Obligations in respect of Indebtedness otherwise permitted to be incurred by such Group Member under this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if any such Indebtedness is subordinated (including as to lien or collateral priority) to the Obligations, such Contingent Obligation shall be subordinated on terms at least as favorable to the Holders) and (ii) Indebtedness constituting Investments permitted under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Indebtedness arising from the honoring by a bank or other financial institution of a check, draft or similar instrument inadvertently (except in the case of daylight overdrafts) drawn against insufficient funds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Indebtedness arising in connection with the endorsement of instruments for deposit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Indebtedness in respect of netting services or overdraft protection or otherwise in connection with deposit or securities accounts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Indebtedness consisting of (i) the financing of insurance premiums or (ii) take or pay obligations contained in supply arrangements, in each case,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(l)    subject to </w:t>
      </w:r>
      <w:r>
        <w:rPr>
          <w:rFonts w:ascii="Times New Roman;serif" w:hAnsi="Times New Roman;serif"/>
          <w:b w:val="false"/>
          <w:color w:val="000000"/>
          <w:sz w:val="24"/>
          <w:u w:val="single"/>
        </w:rPr>
        <w:t>Section 6.03(f)</w:t>
      </w:r>
      <w:r>
        <w:rPr>
          <w:rFonts w:ascii="Times New Roman;serif" w:hAnsi="Times New Roman;serif"/>
          <w:b w:val="false"/>
          <w:color w:val="000000"/>
          <w:sz w:val="24"/>
        </w:rPr>
        <w:t xml:space="preserve">, intercompany Indebtedness owing (i) by and among the Note Parties, (ii) by Restricted Subsidiaries that are not Note Parties to Restricted Subsidiaries that are not Note Parties, (iii) by Restricted Subsidiaries that are not Note Parties to Note Parties, and (iv) by Note Parties to Subsidiaries that are not Note Parties;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Indebtedness under this </w:t>
      </w:r>
      <w:r>
        <w:rPr>
          <w:rFonts w:ascii="Times New Roman;serif" w:hAnsi="Times New Roman;serif"/>
          <w:b w:val="false"/>
          <w:color w:val="000000"/>
          <w:sz w:val="24"/>
          <w:u w:val="single"/>
        </w:rPr>
        <w:t>clause (l)(iv)</w:t>
      </w:r>
      <w:r>
        <w:rPr>
          <w:color w:val="000000"/>
        </w:rPr>
        <w:t xml:space="preserve"> </w:t>
      </w:r>
      <w:r>
        <w:rPr>
          <w:rFonts w:ascii="Times New Roman;serif" w:hAnsi="Times New Roman;serif"/>
          <w:b w:val="false"/>
          <w:color w:val="000000"/>
          <w:sz w:val="24"/>
        </w:rPr>
        <w:t>shall be unsecured and shall be subordinated to the Obligations pursuant to the terms of the Intercompany Note or other subordination terms approved by the Controlling Parties;</w:t>
      </w:r>
    </w:p>
    <w:p>
      <w:pPr>
        <w:pStyle w:val="TextBody"/>
        <w:bidi w:val="0"/>
        <w:spacing w:before="0" w:after="0"/>
        <w:jc w:val="both"/>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unsecured Subordinated Indebtedness owing to employees, former employees, officers, former officers, directors, former directors (or any spouses, ex-spouses, or estates of any of the foregoing) of any Group Member in connection with the repurchase of Equity Interests of Issuer or any of its direct or indirect parent companies issued to any of the aforementioned employees, former employees, officers, former officers, directors, former directors (or any spouses, ex-spouses, or estates of any of the foregoing) of any Group Member not to exceed $5,000,000 for the most recently ended Test Period, in each case, at any time outstanding;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Indebtedness arising as a direct result of judgments, orders, awards or decrees against the Issuer or any of its Restricted Subsidiaries, in each case not constituting an Event of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unsecured Indebtedness representing any Taxes to the extent such Taxes are being contested by any Group Member in good faith by appropriate proceedings and adequate reserves are being maintained by the Group Members in accordance with GAAP (or any other applicable accounting standard);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(p)    Indebtedness assumed in connection with any Permitted Acquisition or other permitted Investment;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such Indebtedness (i) was not incurred in contemplation of such Permitted Acquisition or other such Investment, (ii) shall not be secured by any assets other than assets acquired in such Permitted Acquisition or other Investment and (iii) shall not be guaranteed by any Note Party (other than a person acquired in such Permitted Acquisition or any other person who merges with or that acquires the assets of such person in connection with the Permitted Acquisition) and (B) the Issuer shall be in pro forma compliance with the Financial Covenant set forth in </w:t>
      </w:r>
      <w:r>
        <w:rPr>
          <w:rFonts w:ascii="Times New Roman;serif" w:hAnsi="Times New Roman;serif"/>
          <w:b w:val="false"/>
          <w:color w:val="000000"/>
          <w:sz w:val="24"/>
          <w:u w:val="single"/>
        </w:rPr>
        <w:t>Section 6.08(a)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    Indebtedness of Immaterial Subsidiaries in an aggregate principal amount not to exceed $1,500,000 for the most recently ended Test Period at any time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(r)    Indebtedness of Restricted Subsidiaries that are not Note Parties (but only to the extent non-recourse to the Note Parties) and any joint ventures, and any guarantees thereof by Restricted Subsidiaries that are not Note Parties, in aggregate principal amount not to exceed, when aggregated with the aggregate amount of Indebtedness incurred by Restricted Subsidiaries that are not Note Parties pursuant to </w:t>
      </w:r>
      <w:r>
        <w:rPr>
          <w:rFonts w:ascii="Times New Roman;serif" w:hAnsi="Times New Roman;serif"/>
          <w:b w:val="false"/>
          <w:color w:val="000000"/>
          <w:sz w:val="24"/>
          <w:u w:val="single"/>
        </w:rPr>
        <w:t>Section 6.01(t)</w:t>
      </w:r>
      <w:r>
        <w:rPr>
          <w:color w:val="000000"/>
        </w:rPr>
        <w:t xml:space="preserve"> </w:t>
      </w:r>
      <w:r>
        <w:rPr>
          <w:rFonts w:ascii="Times New Roman;serif" w:hAnsi="Times New Roman;serif"/>
          <w:b w:val="false"/>
          <w:color w:val="000000"/>
          <w:sz w:val="24"/>
        </w:rPr>
        <w:t>then outstanding, the greater of $5,000,000 and ten percent (10%) of Consolidated EBITDA for the most recently ended Test Period at any time outstanding;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(s)    the Specified Letters of Credit;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    Junior Secured Indebtedness and Unsecured Indebtedness, in each case incurred for any purpose (including to finance a Permitted Acquisition, other permitted Investment or, to the extent not constituting a Purchase Money Obligation or a Capital Lease Obligation, Capital Expenditures), and in each case subject to compliance with the Required Debt Terms;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on a Pro Forma Basis immediately after giving effect to each such incurrence and the application of the proceeds therefrom (including pursuant to any Permitted </w:t>
      </w:r>
    </w:p>
    <w:p>
      <w:pPr>
        <w:pStyle w:val="TextBody"/>
        <w:bidi w:val="0"/>
        <w:spacing w:before="0" w:after="0"/>
        <w:jc w:val="both"/>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Acquisition or other Investment consummated in connection therewith or the repayment or prepayment of any Indebtedness with the proceeds thereof), and any disposition, incurrence of Indebtedness, or other appropriate pro forma adjustments in connection therewith (but without, for the avoidance of doubt, giving effect to any amounts incurred in connection therewith under the Maximum Additional Debt Amount), the Total Net Leverage Ratio as of the Applicable Date of Determination and for the applicable Test Period is not greater than 3.00 to 1.00;</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amount available pursuant to the immediately preceding proviso may, in each case, at the Issuer’s election in its sole discretion, be increased by an amount equal to any unutilized portion of the Maximum Additional Debt Amount;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(x) to the extent the Maximum Additional Debt Amount is utilized to increase the amount available to the Issuer and its Restricted Subsidiaries pursuant to the immediately preceding proviso, any such amount utilized for such purpose shall reduce, dollar-for-dollar, the Maximum Additional Debt Amount and (y) the aggregate amount of such Indebtedness incurred pursuant to this </w:t>
      </w:r>
      <w:r>
        <w:rPr>
          <w:rFonts w:ascii="Times New Roman;serif" w:hAnsi="Times New Roman;serif"/>
          <w:b w:val="false"/>
          <w:color w:val="000000"/>
          <w:sz w:val="24"/>
          <w:u w:val="single"/>
        </w:rPr>
        <w:t>clause (t)</w:t>
      </w:r>
      <w:r>
        <w:rPr>
          <w:color w:val="000000"/>
        </w:rPr>
        <w:t xml:space="preserve"> </w:t>
      </w:r>
      <w:r>
        <w:rPr>
          <w:rFonts w:ascii="Times New Roman;serif" w:hAnsi="Times New Roman;serif"/>
          <w:b w:val="false"/>
          <w:color w:val="000000"/>
          <w:sz w:val="24"/>
        </w:rPr>
        <w:t xml:space="preserve">by Restricted Subsidiaries that are not Note Parties, when aggregated with the principal amount of Indebtedness incurred by Restricted Subsidiaries that are not Note Parties pursuant to </w:t>
      </w:r>
      <w:r>
        <w:rPr>
          <w:rFonts w:ascii="Times New Roman;serif" w:hAnsi="Times New Roman;serif"/>
          <w:b w:val="false"/>
          <w:color w:val="000000"/>
          <w:sz w:val="24"/>
          <w:u w:val="single"/>
        </w:rPr>
        <w:t>Section 6.01(r)</w:t>
      </w:r>
      <w:r>
        <w:rPr>
          <w:color w:val="000000"/>
        </w:rPr>
        <w:t xml:space="preserve"> </w:t>
      </w:r>
      <w:r>
        <w:rPr>
          <w:rFonts w:ascii="Times New Roman;serif" w:hAnsi="Times New Roman;serif"/>
          <w:b w:val="false"/>
          <w:color w:val="000000"/>
          <w:sz w:val="24"/>
        </w:rPr>
        <w:t>then outstanding, shall not exceed the greater of $5,000,000 and ten percent (10%) of Consolidated EBITDA for the most recently ended Test Period at any time outstanding;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(u)    Indebtedness arising under or in connection with the issuance of letters of credit or other forms of credit support under any insurance collateral funding arrangement or substitute insurance collateral facility (“</w:t>
      </w:r>
      <w:r>
        <w:rPr>
          <w:rFonts w:ascii="Times New Roman;serif" w:hAnsi="Times New Roman;serif"/>
          <w:b w:val="false"/>
          <w:color w:val="000000"/>
          <w:sz w:val="24"/>
          <w:u w:val="single"/>
        </w:rPr>
        <w:t>Insurance Collateral LC Obligations</w:t>
      </w:r>
      <w:r>
        <w:rPr>
          <w:color w:val="000000"/>
        </w:rPr>
        <w:t>”</w:t>
      </w:r>
      <w:r>
        <w:rPr>
          <w:rFonts w:ascii="Times New Roman;serif" w:hAnsi="Times New Roman;serif"/>
          <w:b w:val="false"/>
          <w:color w:val="000000"/>
          <w:sz w:val="24"/>
        </w:rPr>
        <w:t xml:space="preserve">) issued for the account of any Group Member in favor of any insurance company or other insurer to secure insurance obligations of any Group Member; </w:t>
      </w:r>
      <w:r>
        <w:rPr>
          <w:rFonts w:ascii="Times New Roman;serif" w:hAnsi="Times New Roman;serif"/>
          <w:b w:val="false"/>
          <w:i/>
          <w:color w:val="000000"/>
          <w:sz w:val="24"/>
        </w:rPr>
        <w:t>provided</w:t>
      </w:r>
      <w:r>
        <w:rPr>
          <w:rFonts w:ascii="Times New Roman;serif" w:hAnsi="Times New Roman;serif"/>
          <w:b w:val="false"/>
          <w:color w:val="000000"/>
          <w:sz w:val="24"/>
        </w:rPr>
        <w:t>, that, the aggregate face amount of all Insurance Collateral LC Obligations outstanding under this clause (u) shall not exceed $6,700,000;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(w)    additional Indebtedness or Disqualified Capital Stock of the Issuer and the Restricted Subsidiaries;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immediately after giving effect to any incurrence of Indebtedness under this </w:t>
      </w:r>
      <w:r>
        <w:rPr>
          <w:rFonts w:ascii="Times New Roman;serif" w:hAnsi="Times New Roman;serif"/>
          <w:b w:val="false"/>
          <w:color w:val="000000"/>
          <w:sz w:val="24"/>
          <w:u w:val="single"/>
        </w:rPr>
        <w:t>clause (w)</w:t>
      </w:r>
      <w:r>
        <w:rPr>
          <w:rFonts w:ascii="Times New Roman;serif" w:hAnsi="Times New Roman;serif"/>
          <w:b w:val="false"/>
          <w:color w:val="000000"/>
          <w:sz w:val="24"/>
        </w:rPr>
        <w:t xml:space="preserve">, the sum of the aggregate principal amount of Indebtedness outstanding under this </w:t>
      </w:r>
      <w:r>
        <w:rPr>
          <w:rFonts w:ascii="Times New Roman;serif" w:hAnsi="Times New Roman;serif"/>
          <w:b w:val="false"/>
          <w:color w:val="000000"/>
          <w:sz w:val="24"/>
          <w:u w:val="single"/>
        </w:rPr>
        <w:t>clause (w)</w:t>
      </w:r>
      <w:r>
        <w:rPr>
          <w:color w:val="000000"/>
        </w:rPr>
        <w:t> </w:t>
      </w:r>
      <w:r>
        <w:rPr>
          <w:rFonts w:ascii="Times New Roman;serif" w:hAnsi="Times New Roman;serif"/>
          <w:b w:val="false"/>
          <w:color w:val="000000"/>
          <w:sz w:val="24"/>
        </w:rPr>
        <w:t>shall not exceed $10,000,000;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    to the extent constituting Indebtedness, advances in respect of transfer pricing or shared services agreements that are permitted by </w:t>
      </w:r>
      <w:r>
        <w:rPr>
          <w:rFonts w:ascii="Times New Roman;serif" w:hAnsi="Times New Roman;serif"/>
          <w:b w:val="false"/>
          <w:color w:val="000000"/>
          <w:sz w:val="24"/>
          <w:u w:val="single"/>
        </w:rPr>
        <w:t>Section 6.03(z)</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(y)    to the extent constituting any Indebtedness, any contingent liabilities arising in connection with any stock options;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(z)    unsecured Indebtedness (i) incurred in connection with a Permitted Acquisition, any other Investment or any Asset Sale, in each case to the extent constituting indemnification obligations or obligations in respect of purchase price (including Earn-Outs and any other contingent consideration obligations or deferred purchase price obligations or any Indebtedness incurred to finance such obligations) or other similar adjustments, in each case, to be made in cash, or (ii) outstanding at any time to the seller of any business or assets permitted to be acquired by the Issuer or any Restricted Subsidiary hereunder;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principal amount of all such Indebtedness outstanding under this </w:t>
      </w:r>
      <w:r>
        <w:rPr>
          <w:rFonts w:ascii="Times New Roman;serif" w:hAnsi="Times New Roman;serif"/>
          <w:b w:val="false"/>
          <w:color w:val="000000"/>
          <w:sz w:val="24"/>
          <w:u w:val="single"/>
        </w:rPr>
        <w:t>clause (z)</w:t>
      </w:r>
      <w:r>
        <w:rPr>
          <w:color w:val="000000"/>
        </w:rPr>
        <w:t> </w:t>
      </w:r>
      <w:r>
        <w:rPr>
          <w:rFonts w:ascii="Times New Roman;serif" w:hAnsi="Times New Roman;serif"/>
          <w:b w:val="false"/>
          <w:color w:val="000000"/>
          <w:sz w:val="24"/>
        </w:rPr>
        <w:t>at any time shall not exceed $37,500,000.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(aa)    Indebtedness under Cash Management Agreements and other Indebtedness in respect of credit cards, purchasing cards, treasury management services and other netting services, automatic clearinghouse arrangements, overdraft protections, employee credit card programs, controlled disbursement, ACH transactions, return items, interstate depository network service, Society for Worldwide Interbank Financial Telecommunication transfers, cash pooling and operational foreign exchange management, and, in each case, similar arrangements, in each case, to the extent incurred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(bb)    Indebtedness representing deferred compensation or other similar arrangements incurred in the ordinary course of business or in connection with a Permitted Acquisition or a similar permitted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(cc)    customary indemnities contained in mandate, engagement and commitment letters, facility agreements, purchase agreements and indentures, in each case entered into in respect of Indebtedness permitted pursuant to this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and any Permitted Refinancing in respect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(dd)    Indebtedness consisting of unsecured guarantees by the Issuer or any of its Restricted Subsidiaries of operating leases of Subsidiary Guarantors;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(ee)    Indebtedness in respect of premium financing arrangements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principal amount of such Indebtedness shall not exceed the annual premium amount and shall be secured only by the Liens described in </w:t>
      </w:r>
      <w:r>
        <w:rPr>
          <w:rFonts w:ascii="Times New Roman;serif" w:hAnsi="Times New Roman;serif"/>
          <w:b w:val="false"/>
          <w:color w:val="000000"/>
          <w:sz w:val="24"/>
          <w:u w:val="single"/>
        </w:rPr>
        <w:t>Section 6.02(gg)</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(ff)    Indebtedness consisting of obligations owing under any dealer, customer or supplier incentive, supply, license or similar agreements entered into in the ordinary course of business;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(gg)    customer deposits and advance payments received in the ordinary course of business from customers for goods and services purchased in the ordinary course of business;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(hh)    all premiums (if any), interest (including post-petition interest), fees, expenses, charges and additional or contingent interest on obligations described in </w:t>
      </w:r>
      <w:r>
        <w:rPr>
          <w:rFonts w:ascii="Times New Roman;serif" w:hAnsi="Times New Roman;serif"/>
          <w:b w:val="false"/>
          <w:color w:val="000000"/>
          <w:sz w:val="24"/>
          <w:u w:val="single"/>
        </w:rPr>
        <w:t>clauses (a)</w:t>
      </w:r>
      <w:r>
        <w:rPr>
          <w:color w:val="000000"/>
        </w:rPr>
        <w:t>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(gg)</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The accrual of interest, the accretion of accreted value and the payment of interest in the form of additional Indebtedness shall not be prohibited by </w:t>
      </w:r>
      <w:r>
        <w:rPr>
          <w:rFonts w:ascii="Times New Roman;serif" w:hAnsi="Times New Roman;serif"/>
          <w:b w:val="false"/>
          <w:color w:val="000000"/>
          <w:sz w:val="24"/>
          <w:u w:val="single"/>
        </w:rPr>
        <w:t>Section 6.01</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6.02    </w:t>
      </w:r>
      <w:r>
        <w:rPr>
          <w:rFonts w:ascii="Times New Roman;serif" w:hAnsi="Times New Roman;serif"/>
          <w:b w:val="false"/>
          <w:color w:val="000000"/>
          <w:sz w:val="24"/>
          <w:u w:val="single"/>
        </w:rPr>
        <w:t>Liens</w:t>
      </w:r>
      <w:r>
        <w:rPr>
          <w:rFonts w:ascii="Times New Roman;serif" w:hAnsi="Times New Roman;serif"/>
          <w:b w:val="false"/>
          <w:color w:val="000000"/>
          <w:sz w:val="24"/>
        </w:rPr>
        <w:t>. Create, incur, assume or permit to exist, directly or indirectly, any Lien on any property now owned or hereafter acquired by it or on any assets, income or revenues or rights in respect of any thereof, except the following (collectively, the “</w:t>
      </w:r>
      <w:r>
        <w:rPr>
          <w:rFonts w:ascii="Times New Roman;serif" w:hAnsi="Times New Roman;serif"/>
          <w:b/>
          <w:color w:val="000000"/>
          <w:sz w:val="24"/>
        </w:rPr>
        <w:t>Permitted Liens</w:t>
      </w:r>
      <w:r>
        <w:rPr>
          <w:color w:val="000000"/>
        </w:rPr>
        <w:t>”</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Liens for Taxes not yet delinquent and Liens for Taxes that are being contested in good faith by appropriate proceedings and for which adequate reserves have been established in accordance with GAAP (or any other applicable accounting standard);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Liens in respect of property of any Group Member imposed by Requirements of Law, (i) which were incurred in the ordinary course of business and do not secure Indebtedness for borrowed money, such as carriers’, warehousemen’s, materialmen’s, landlords’, workmen’s, suppliers’, repairmen’s and mechanics’ Liens and other similar Liens arising in the ordinary course of business or otherwise pertaining to Indebtedness permitted under </w:t>
      </w:r>
      <w:r>
        <w:rPr>
          <w:rFonts w:ascii="Times New Roman;serif" w:hAnsi="Times New Roman;serif"/>
          <w:b w:val="false"/>
          <w:color w:val="000000"/>
          <w:sz w:val="24"/>
          <w:u w:val="single"/>
        </w:rPr>
        <w:t>Section 6.01(f)</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6.01(h)</w:t>
      </w:r>
      <w:r>
        <w:rPr>
          <w:color w:val="000000"/>
        </w:rPr>
        <w:t xml:space="preserve"> </w:t>
      </w:r>
      <w:r>
        <w:rPr>
          <w:rFonts w:ascii="Times New Roman;serif" w:hAnsi="Times New Roman;serif"/>
          <w:b w:val="false"/>
          <w:color w:val="000000"/>
          <w:sz w:val="24"/>
        </w:rPr>
        <w:t>which do not in the aggregate materially detract from the value of the property of the Group Members, taken as a whole, and do not materially impair the use thereof in the operation of the business of the Group Members, taken as a whole, and which, if they secure obligations that are then more than thirty (30) days overdue and unpaid, are being contested in good faith by appropriate proceedings for which adequate reserves have been established in accordance with GAAP, or (ii) arising mandatorily on the assets of any Foreign Subsidiary as a result of a Requirement of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Lien in existence on the Closing Date (to the extent in excess, individually, of $2,500,000) set forth on </w:t>
      </w:r>
      <w:r>
        <w:rPr>
          <w:rFonts w:ascii="Times New Roman;serif" w:hAnsi="Times New Roman;serif"/>
          <w:b w:val="false"/>
          <w:color w:val="000000"/>
          <w:sz w:val="24"/>
          <w:u w:val="single"/>
        </w:rPr>
        <w:t>Schedule 6.02(c)</w:t>
      </w:r>
      <w:r>
        <w:rPr>
          <w:color w:val="000000"/>
        </w:rPr>
        <w:t xml:space="preserve"> </w:t>
      </w:r>
      <w:r>
        <w:rPr>
          <w:rFonts w:ascii="Times New Roman;serif" w:hAnsi="Times New Roman;serif"/>
          <w:b w:val="false"/>
          <w:color w:val="000000"/>
          <w:sz w:val="24"/>
        </w:rPr>
        <w:t xml:space="preserve">and any Lien granted as a replacement or substitute therefor; </w:t>
      </w:r>
      <w:r>
        <w:rPr>
          <w:rFonts w:ascii="Times New Roman;serif" w:hAnsi="Times New Roman;serif"/>
          <w:b w:val="false"/>
          <w:i/>
          <w:color w:val="000000"/>
          <w:sz w:val="24"/>
        </w:rPr>
        <w:t>provided</w:t>
      </w:r>
      <w:r>
        <w:rPr>
          <w:rFonts w:ascii="Times New Roman;serif" w:hAnsi="Times New Roman;serif"/>
          <w:b w:val="false"/>
          <w:color w:val="000000"/>
          <w:sz w:val="24"/>
        </w:rPr>
        <w:t>, that, any such replacement or substitute Lien (i) does not secure an aggregate amount of Indebtedness, if any, greater than the amount of such Indebtedness secured on the Closing Date or any Permitted Refinancing thereof and (ii) does not encumber any property in a material manner other than the property subject thereto on the Closing Date and any proceeds therefrom;</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easements, rights-of-way, restrictions (including zoning restrictions), covenants, conditions, licenses, encroachments, protrusions and other similar charges or encumbrances, and title deficiencies on or other irregularities with respect to any Real Property, in each case whether now or hereafter in existence, not (i) securing Indebtedness or (ii) individually or in the aggregate materially interfering with the ordinary conduct of the business and operations of the Group Members at such Real Property or materially adversely affecting the value, use and occupancy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Liens to the extent arising out of judgments, orders, attachments, decrees or awards not resulting in a Default or an Event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Liens (i) imposed by Requirements of Law or deposits made in connection therewith in the ordinary course of business in connection with workers’ compensation, unemployment insurance and other types of social security legislation, (ii) incurred to secure the performance of appeal bonds or incurred in the ordinary course of business to secure the performance of tenders, statutory obligations (other than excise taxes), surety, stay, customs bonds and statutory bonds, bids, leases (including deposits with respect thereto), government contracts, trade contracts, performance and return of money bonds and other similar obligations (exclusive of obligations for the payment of borrowed money) or (iii) arising by virtue of deposits made in the ordinary course of business to secure liability for premiums to insurance carriers which, in each case of </w:t>
      </w:r>
      <w:r>
        <w:rPr>
          <w:rFonts w:ascii="Times New Roman;serif" w:hAnsi="Times New Roman;serif"/>
          <w:b w:val="false"/>
          <w:color w:val="000000"/>
          <w:sz w:val="24"/>
          <w:u w:val="single"/>
        </w:rPr>
        <w:t>subclause (i)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clause (f)</w:t>
      </w:r>
      <w:r>
        <w:rPr>
          <w:rFonts w:ascii="Times New Roman;serif" w:hAnsi="Times New Roman;serif"/>
          <w:b w:val="false"/>
          <w:color w:val="000000"/>
          <w:sz w:val="24"/>
        </w:rPr>
        <w:t xml:space="preserve">, do not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aggregate materially detract from the value of the property of the Group Members, taken as a whole, and do not materially impair the use thereof in the operation of the business of the Group Members, taken as a whole;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Leases, subleases, licenses and sublicenses of any Property (other than Intellectual Property) of any Group Member granted by such Group Member to third parties, in each case entered into in the ordinary course of such Group Member’s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any interest or title of a lessor, sublessor, licensor, sublicensor, licensee or sublicensee under any lease, sublease, license or sublicense not prohibited by this Indenture or the other Security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Liens which may arise as a result of municipal and zoning codes and ordinances, building and other land use laws imposed by any Governmental Authority which are not violated in any material respect by existing improvements or the present use or occupancy of any real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Liens arising out of conditional sale, title retention, consignment or similar arrangements for the sale of goods entered into by any Group Member in the ordinary course of business in accordance with the past practices of such Group Member;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(k)    Liens securing Indebtedness incurred pursuant to </w:t>
      </w:r>
      <w:r>
        <w:rPr>
          <w:rFonts w:ascii="Times New Roman;serif" w:hAnsi="Times New Roman;serif"/>
          <w:b w:val="false"/>
          <w:color w:val="000000"/>
          <w:sz w:val="24"/>
          <w:u w:val="single"/>
        </w:rPr>
        <w:t>Section 6.01(e)</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any such Liens attach only to the property being financed pursuant to such Indebtedness (or the same property securing such Indebtedness immediately prior to any Permitted Refinancing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bankers’ Liens, rights of setoff and other similar Liens existing solely with respect to cash and Cash Equivalents on deposit in one or more accounts maintained by any Group Member,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(m)    Liens on property or assets of a Person existing at the time such Person or asset is acquired or merged with or into or consolidated with any Group Member to the extent not prohibited hereunder (and not created in anticipation or contemplation thereof); </w:t>
      </w:r>
      <w:r>
        <w:rPr>
          <w:rFonts w:ascii="Times New Roman;serif" w:hAnsi="Times New Roman;serif"/>
          <w:b w:val="false"/>
          <w:i/>
          <w:color w:val="000000"/>
          <w:sz w:val="24"/>
        </w:rPr>
        <w:t>provided</w:t>
      </w:r>
      <w:r>
        <w:rPr>
          <w:rFonts w:ascii="Times New Roman;serif" w:hAnsi="Times New Roman;serif"/>
          <w:b w:val="false"/>
          <w:color w:val="000000"/>
          <w:sz w:val="24"/>
        </w:rPr>
        <w:t>, that, such Liens do not extend to property not subject to such Liens at the time of acquisition (other than improvements thereon or pursuant to an after-acquired property clause in the applicable security documents) and are no more favorable (as reasonably determined by the Issuer) to the lienholders than such existing Lien;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    (i) Liens granted pursuant to the Security Documents to secure the Obligations, (ii) any Liens securing (x) Permitted Additional Debt, Permitted Pari Passu Refinancing Debt and Permitted Junior Refinancing Debt (in each case, to the extent permitted pursuant to the terms of such definition and incurred pursuant to </w:t>
      </w:r>
      <w:r>
        <w:rPr>
          <w:rFonts w:ascii="Times New Roman;serif" w:hAnsi="Times New Roman;serif"/>
          <w:b w:val="false"/>
          <w:color w:val="000000"/>
          <w:sz w:val="24"/>
          <w:u w:val="single"/>
        </w:rPr>
        <w:t>Section 6.01(a)</w:t>
      </w:r>
      <w:r>
        <w:rPr>
          <w:rFonts w:ascii="Times New Roman;serif" w:hAnsi="Times New Roman;serif"/>
          <w:b w:val="false"/>
          <w:color w:val="000000"/>
          <w:sz w:val="24"/>
        </w:rPr>
        <w:t xml:space="preserve">) and (y) Pari Passu Notes Lien Indebtedness (to the extent permitted pursuant to the terms of such definition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and incurred pursuant to </w:t>
      </w:r>
      <w:r>
        <w:rPr>
          <w:rFonts w:ascii="Times New Roman;serif" w:hAnsi="Times New Roman;serif"/>
          <w:b w:val="false"/>
          <w:color w:val="000000"/>
          <w:sz w:val="24"/>
          <w:u w:val="single"/>
        </w:rPr>
        <w:t>Section 6.01(d)</w:t>
      </w:r>
      <w:r>
        <w:rPr>
          <w:rFonts w:ascii="Times New Roman;serif" w:hAnsi="Times New Roman;serif"/>
          <w:b w:val="false"/>
          <w:color w:val="000000"/>
          <w:sz w:val="24"/>
        </w:rPr>
        <w:t xml:space="preserve">) ;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in each case, that, such Liens are subject to any subordination or intercreditor requirements set forth in the applicable definitions referenced above in this </w:t>
      </w:r>
      <w:r>
        <w:rPr>
          <w:rFonts w:ascii="Times New Roman;serif" w:hAnsi="Times New Roman;serif"/>
          <w:b w:val="false"/>
          <w:color w:val="000000"/>
          <w:sz w:val="24"/>
          <w:u w:val="single"/>
        </w:rPr>
        <w:t>Section 6.02(n)</w:t>
      </w:r>
      <w:r>
        <w:rPr>
          <w:rFonts w:ascii="Times New Roman;serif" w:hAnsi="Times New Roman;serif"/>
          <w:b w:val="false"/>
          <w:color w:val="000000"/>
          <w:sz w:val="24"/>
        </w:rPr>
        <w:t xml:space="preserve">, and (iii) Liens securing the ABL Obligations (including any increase to the commitments thereunder after the Closing Date pursuant to Section 3.4 of the ABL Credit Agreement (as in effect on the date hereof)) or any Permitted Refinancings in respect any thereof to the extent such Indebtedness is incurred and outstanding pursuant to, and in compliance with, </w:t>
      </w:r>
      <w:r>
        <w:rPr>
          <w:rFonts w:ascii="Times New Roman;serif" w:hAnsi="Times New Roman;serif"/>
          <w:b w:val="false"/>
          <w:color w:val="000000"/>
          <w:sz w:val="24"/>
          <w:u w:val="single"/>
        </w:rPr>
        <w:t>Section 6.01(c)</w:t>
      </w:r>
      <w:r>
        <w:rPr>
          <w:color w:val="000000"/>
        </w:rPr>
        <w:t xml:space="preserve"> </w:t>
      </w:r>
      <w:r>
        <w:rPr>
          <w:rFonts w:ascii="Times New Roman;serif" w:hAnsi="Times New Roman;serif"/>
          <w:b w:val="false"/>
          <w:color w:val="000000"/>
          <w:sz w:val="24"/>
        </w:rPr>
        <w:t>and such Liens are (x) if on Notes Priority Collateral, subordinated to the Liens securing the Obligations in accordance with, and subject to, the terms of the ABL/Note Intercreditor Agreement and (y) if on ABL Priority Collateral, subject to the ABL/Note Intercreditor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licenses and sublicenses of Intellectual Property granted by any Group Member in the ordinary course of business or not interfering in any material respect with the ordinary conduct of business of the Group Members;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the filing of UCC (or equivalent) financing statements solely as a precautionary measure in connection with operating leases or consignment of goods;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    Liens securing reimbursement obligations in an aggregate amount not exceeding $5,000,000 with respect to commercial letters of credit which encumber documents and other assets relating to such letters of credit and products and proceeds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    Liens (other than on Collateral) securing Hedging Obligations in an aggregate amount not exceeding $5,000,000 entered into for bona fide hedging purposes of the Issuer or any Restricted Subsidiary not for the purpose of speculation;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    Liens attaching solely to cash earnest money deposits in connection with an Investment permitted by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6.03(j)</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    Liens of a collecting bank arising in the ordinary course of business under Section 4-208 of the UCC in effect in the relevant jurisdiction covering only the items being collected upon;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    Liens granted by a Restricted Subsidiary (i) that is not a Note Party in favor of any other Restricted Subsidiary in respect of Indebtedness or other obligations owed by such Restricted Subsidiary to such other Restricted Subsidiary or (ii) in favor of any Note Party;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(v)    Liens on insurance policies and the proceeds thereof granted in the ordinary course of business to secure the financing of insurance premiums with respect thereto under </w:t>
      </w:r>
      <w:r>
        <w:rPr>
          <w:rFonts w:ascii="Times New Roman;serif" w:hAnsi="Times New Roman;serif"/>
          <w:b w:val="false"/>
          <w:color w:val="000000"/>
          <w:sz w:val="24"/>
          <w:u w:val="single"/>
        </w:rPr>
        <w:t>Section 6.01(k)</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    Liens (i) incurred in the ordinary course of business in connection with the purchase or shipping of goods or assets (or the related assets and proceeds thereof), which Liens are in favor of the seller or shipper of such goods or assets and only attach to such goods or assets, and (ii) in favor of customs and revenue authorities arising as a matter of law to secure payment of customs duties in connection with the importation of goods;</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    Liens of any Group Member with respect to Indebtedness and other obligations that do not in the aggregate exceed the sum of (i) greater of $5,000,000 and ten percent (10%) of Consolidated EBITDA for the most recently ended Test Period and (ii) any accrued interest thereon and any interest paid in kind on any Indebtedness or other obligations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i/>
          <w:color w:val="000000"/>
          <w:sz w:val="24"/>
        </w:rPr>
        <w:t>provided</w:t>
      </w:r>
      <w:r>
        <w:rPr>
          <w:rFonts w:ascii="Times New Roman;serif" w:hAnsi="Times New Roman;serif"/>
          <w:b w:val="false"/>
          <w:color w:val="000000"/>
          <w:sz w:val="24"/>
        </w:rPr>
        <w:t>, in each case, that, any such Lien on assets constituting Collateral (other than Liens with respect to Purchase Money Obligations or Capital Lease Obligations) shall be junior in priority to the Liens on the Collateral securing the Obligations;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(y)    Liens on assets or property of Restricted Subsidiaries that are not Note Parties (including joint ventures) securing Indebtedness and other obligations of such Restricted Subsidiary that is not a Note Party permitted to be incurred pursuant to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(so long as such Liens do not extend to the assets of any Note Parties);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(z)    Liens in respect of cash collateral securing Indebtedness incurred pursuant to </w:t>
      </w:r>
      <w:r>
        <w:rPr>
          <w:rFonts w:ascii="Times New Roman;serif" w:hAnsi="Times New Roman;serif"/>
          <w:b w:val="false"/>
          <w:color w:val="000000"/>
          <w:sz w:val="24"/>
          <w:u w:val="single"/>
        </w:rPr>
        <w:t>Section 6.01(s)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(aa)    Liens securing Indebtedness incurred pursuant to </w:t>
      </w:r>
      <w:r>
        <w:rPr>
          <w:rFonts w:ascii="Times New Roman;serif" w:hAnsi="Times New Roman;serif"/>
          <w:b w:val="false"/>
          <w:color w:val="000000"/>
          <w:sz w:val="24"/>
          <w:u w:val="single"/>
        </w:rPr>
        <w:t>Section 6.01(p)</w:t>
      </w:r>
      <w:r>
        <w:rPr>
          <w:color w:val="000000"/>
        </w:rPr>
        <w:t xml:space="preserve"> </w:t>
      </w:r>
      <w:r>
        <w:rPr>
          <w:rFonts w:ascii="Times New Roman;serif" w:hAnsi="Times New Roman;serif"/>
          <w:b w:val="false"/>
          <w:color w:val="000000"/>
          <w:sz w:val="24"/>
        </w:rPr>
        <w:t xml:space="preserve">(so long as such Liens secure only the same assets (and any after acquired assets pursuant to any after-acquired property clause in the applicable security documents) and the same Indebtedness that such Liens secured, immediately prior to the assumption of such Indebtedness, and so long as such Liens were not created in contemplation of such assumption) and </w:t>
      </w:r>
      <w:r>
        <w:rPr>
          <w:rFonts w:ascii="Times New Roman;serif" w:hAnsi="Times New Roman;serif"/>
          <w:b w:val="false"/>
          <w:color w:val="000000"/>
          <w:sz w:val="24"/>
          <w:u w:val="single"/>
        </w:rPr>
        <w:t>Section 6.01(t)</w:t>
      </w:r>
      <w:r>
        <w:rPr>
          <w:color w:val="000000"/>
        </w:rPr>
        <w:t xml:space="preserve"> </w:t>
      </w:r>
      <w:r>
        <w:rPr>
          <w:rFonts w:ascii="Times New Roman;serif" w:hAnsi="Times New Roman;serif"/>
          <w:b w:val="false"/>
          <w:color w:val="000000"/>
          <w:sz w:val="24"/>
        </w:rPr>
        <w:t>(to the extent permitted to be secured, and on the lien priorities described, by the terms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(bb)    Liens on cash advances in favor of the seller of any property to be acquired in an Investment permitted pursuant to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to be applied against the purchase price for such Investment;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(cc)    Liens on Equity Interests (i) deemed to exist in connection with any options, put and call arrangements, rights of first refusal and similar rights relating to Investments in Persons that are not Restricted Subsidiaries of Issuer or (ii) of any joint venture or similar arrangement pursuant to any joint venture or similar arrangement;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(dd)    restrictions on dispositions of assets to be disposed of pursuant to merger agreements, stock or asset purchase agreements and similar agreements, in each case, solely to the extent such disposition would be permitted pursuant to the terms 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(ee)    Liens on any assets not constituting Collateral in an aggregate amount not to exceed the greater of $5,000,000 and ten percent (10%) of Consolidated EBITDA for the most recently ended Test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(ff)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(gg)    Liens securing insurance premium financing arrangements;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Liens only encumber insurance premiums, policies or dividends with respect to the policies that were financed with the funds advanced under such arrangements; </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(hh)    Liens arising from precautionary UCC or non-U.S. equivalent financing statements, to the extent applicable, entered into in connection with any transaction otherwise permitted under this Indenture;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(ii)    Liens in respect of cash collateral securing Indebtedness incurred pursuant to </w:t>
      </w:r>
      <w:r>
        <w:rPr>
          <w:rFonts w:ascii="Times New Roman;serif" w:hAnsi="Times New Roman;serif"/>
          <w:b w:val="false"/>
          <w:color w:val="000000"/>
          <w:sz w:val="24"/>
          <w:u w:val="single"/>
        </w:rPr>
        <w:t>Section 6.01(u)</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6.03    </w:t>
      </w:r>
      <w:r>
        <w:rPr>
          <w:rFonts w:ascii="Times New Roman;serif" w:hAnsi="Times New Roman;serif"/>
          <w:b w:val="false"/>
          <w:color w:val="000000"/>
          <w:sz w:val="24"/>
          <w:u w:val="single"/>
        </w:rPr>
        <w:t>Investments, Loans and Advances</w:t>
      </w:r>
      <w:r>
        <w:rPr>
          <w:rFonts w:ascii="Times New Roman;serif" w:hAnsi="Times New Roman;serif"/>
          <w:b w:val="false"/>
          <w:color w:val="000000"/>
          <w:sz w:val="24"/>
        </w:rPr>
        <w:t>. Directly or indirectly, lend money or credit (by way of guarantee or otherwise) or make advances to any person, or purchase or acquire any Equity Interests, bonds, notes, debentures, guarantees or other securities of, or make any capital contribution to, or acquire assets constituting all or a material portion of the assets of, or acquire assets constituting a line of business, business unit or division of, any other Person (all of the foregoing, collectively, “</w:t>
      </w:r>
      <w:r>
        <w:rPr>
          <w:rFonts w:ascii="Times New Roman;serif" w:hAnsi="Times New Roman;serif"/>
          <w:b/>
          <w:color w:val="000000"/>
          <w:sz w:val="24"/>
        </w:rPr>
        <w:t>Investments</w:t>
      </w:r>
      <w:r>
        <w:rPr>
          <w:color w:val="000000"/>
        </w:rPr>
        <w:t>”</w:t>
      </w:r>
      <w:r>
        <w:rPr>
          <w:rFonts w:ascii="Times New Roman;serif" w:hAnsi="Times New Roman;serif"/>
          <w:b w:val="false"/>
          <w:color w:val="000000"/>
          <w:sz w:val="24"/>
        </w:rPr>
        <w:t>), except that the following shall be permitted: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Group Members may consummate the Transactions in accordance with the provisions of the Transaction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 Investments outstanding, contemplated or made pursuant to binding commitments in effect on the Closing Date and (to the extent in excess, individually, of $2,500,000) identified on </w:t>
      </w:r>
      <w:r>
        <w:rPr>
          <w:rFonts w:ascii="Times New Roman;serif" w:hAnsi="Times New Roman;serif"/>
          <w:b w:val="false"/>
          <w:color w:val="000000"/>
          <w:sz w:val="24"/>
          <w:u w:val="single"/>
        </w:rPr>
        <w:t>Schedule 6.03(b)</w:t>
      </w:r>
      <w:r>
        <w:rPr>
          <w:color w:val="000000"/>
        </w:rPr>
        <w:t xml:space="preserve"> </w:t>
      </w:r>
      <w:r>
        <w:rPr>
          <w:rFonts w:ascii="Times New Roman;serif" w:hAnsi="Times New Roman;serif"/>
          <w:b w:val="false"/>
          <w:color w:val="000000"/>
          <w:sz w:val="24"/>
        </w:rPr>
        <w:t xml:space="preserve">and (ii) Investments consisting of any modification, replacement, renewal, reinvestment or extension of any Investment described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amount of any Investment permitted pursuant to this </w:t>
      </w:r>
      <w:r>
        <w:rPr>
          <w:rFonts w:ascii="Times New Roman;serif" w:hAnsi="Times New Roman;serif"/>
          <w:b w:val="false"/>
          <w:color w:val="000000"/>
          <w:sz w:val="24"/>
          <w:u w:val="single"/>
        </w:rPr>
        <w:t>clause (ii)</w:t>
      </w:r>
      <w:r>
        <w:rPr>
          <w:color w:val="000000"/>
        </w:rPr>
        <w:t> </w:t>
      </w:r>
      <w:r>
        <w:rPr>
          <w:rFonts w:ascii="Times New Roman;serif" w:hAnsi="Times New Roman;serif"/>
          <w:b w:val="false"/>
          <w:color w:val="000000"/>
          <w:sz w:val="24"/>
        </w:rPr>
        <w:t xml:space="preserve">is not increased from the amount of such Investment on the Closing Date except pursuant to the terms of such Investment as of the Closing Date or as otherwise permitted by this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Group Members may (i) acquire and hold accounts receivable owing to any of them if created or acquired in the ordinary course of business and payable or dischargeable in accordance with customary terms, (ii) invest in, acquire and hold cash and Cash Equivalents, and other cash equivalent Investments, (iii) endorse negotiable instruments held for collection or deposit in the ordinary course of business or (iv) make lease, utility and other similar deposits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Hedging Obligations permitted by </w:t>
      </w:r>
      <w:r>
        <w:rPr>
          <w:rFonts w:ascii="Times New Roman;serif" w:hAnsi="Times New Roman;serif"/>
          <w:b w:val="false"/>
          <w:color w:val="000000"/>
          <w:sz w:val="24"/>
          <w:u w:val="single"/>
        </w:rPr>
        <w:t>Section 6.01(d)</w:t>
      </w:r>
      <w:r>
        <w:rPr>
          <w:color w:val="000000"/>
        </w:rPr>
        <w:t xml:space="preserve"> </w:t>
      </w:r>
      <w:r>
        <w:rPr>
          <w:rFonts w:ascii="Times New Roman;serif" w:hAnsi="Times New Roman;serif"/>
          <w:b w:val="false"/>
          <w:color w:val="000000"/>
          <w:sz w:val="24"/>
        </w:rPr>
        <w:t>or otherwise in connection with non-speculative Hedging Agreements or similar arrangements (including in connection with the terminations or unwinding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loans and advances (i) to directors, employees and officers of any Group Member in the ordinary course of business, or otherwise for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business purposes in an aggregate amount not to exceed the greater of $5,000,000 and ten percent (10%) of Consolidated EBITDA for the most recently ended Test Period at any time outstanding and (ii) to directors, employees and officers of any Group Member (whether or not currently serving as such) to purchase Equity Interests of Issuer or any of its direct or indirect parent companies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case of this </w:t>
      </w:r>
      <w:r>
        <w:rPr>
          <w:rFonts w:ascii="Times New Roman;serif" w:hAnsi="Times New Roman;serif"/>
          <w:b w:val="false"/>
          <w:color w:val="000000"/>
          <w:sz w:val="24"/>
          <w:u w:val="single"/>
        </w:rPr>
        <w:t>clause (ii)</w:t>
      </w:r>
      <w:r>
        <w:rPr>
          <w:rFonts w:ascii="Times New Roman;serif" w:hAnsi="Times New Roman;serif"/>
          <w:b w:val="false"/>
          <w:color w:val="000000"/>
          <w:sz w:val="24"/>
        </w:rPr>
        <w:t xml:space="preserve">, any such amount loaned or advanced is simultaneously used to purchase such Equity Interests; to the extent paid in cash, such amounts shall be contributed to a Note Party; and such loans shall not exceed in the aggregate, in any fiscal year of Issuer, greater </w:t>
      </w:r>
    </w:p>
    <w:p>
      <w:pPr>
        <w:pStyle w:val="TextBody"/>
        <w:bidi w:val="0"/>
        <w:spacing w:before="0" w:after="0"/>
        <w:jc w:val="both"/>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$5,000,000 and ten percent (10%) of Consolidated EBITDA for the most recently ended Test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such amount may be increased, by up to an aggregate amount equal to (A) the greater of $5,000,000 and ten percent (10%) of Consolidated EBITDA for the most recently ended Test Period, solely to the extent unutilized in the immediately preceding fiscal year and (B) the greater of $5,000,000 and ten percent (10%) of Consolidated EBITDA for the most recently ended Test Period for the most recently ended Test Period solely to the extent that any additional amount utilized pursuant to this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 xml:space="preserve">shall reduce the amount of Investments permitted pursuant to this </w:t>
      </w:r>
      <w:r>
        <w:rPr>
          <w:rFonts w:ascii="Times New Roman;serif" w:hAnsi="Times New Roman;serif"/>
          <w:b w:val="false"/>
          <w:color w:val="000000"/>
          <w:sz w:val="24"/>
          <w:u w:val="single"/>
        </w:rPr>
        <w:t>Section 6.03(e)</w:t>
      </w:r>
      <w:r>
        <w:rPr>
          <w:color w:val="000000"/>
        </w:rPr>
        <w:t xml:space="preserve"> </w:t>
      </w:r>
      <w:r>
        <w:rPr>
          <w:rFonts w:ascii="Times New Roman;serif" w:hAnsi="Times New Roman;serif"/>
          <w:b w:val="false"/>
          <w:color w:val="000000"/>
          <w:sz w:val="24"/>
        </w:rPr>
        <w:t>in the subsequent fiscal year on a dollar-for-dollar basis);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Investments (i) by any Group Member in a Note Party, (ii) by any Group Member that is not a Note Party in any other Group Member and (iii) by any Note Party in any Restricted Subsidiary that is not a Note Party;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amount of Investments pursuant to </w:t>
      </w:r>
      <w:r>
        <w:rPr>
          <w:rFonts w:ascii="Times New Roman;serif" w:hAnsi="Times New Roman;serif"/>
          <w:b w:val="false"/>
          <w:color w:val="000000"/>
          <w:sz w:val="24"/>
          <w:u w:val="single"/>
        </w:rPr>
        <w:t>clause (iii)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6.03(f)</w:t>
      </w:r>
      <w:r>
        <w:rPr>
          <w:color w:val="000000"/>
        </w:rPr>
        <w:t xml:space="preserve"> </w:t>
      </w:r>
      <w:r>
        <w:rPr>
          <w:rFonts w:ascii="Times New Roman;serif" w:hAnsi="Times New Roman;serif"/>
          <w:b w:val="false"/>
          <w:color w:val="000000"/>
          <w:sz w:val="24"/>
        </w:rPr>
        <w:t xml:space="preserve">shall not exceed the greater of $5,000,000 and ten percent (10%) of Consolidated EBITDA for the most recently ended Test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investments in Restricted Subsidiaries that are not Note Parties may be made pursuant to </w:t>
      </w:r>
      <w:r>
        <w:rPr>
          <w:rFonts w:ascii="Times New Roman;serif" w:hAnsi="Times New Roman;serif"/>
          <w:b w:val="false"/>
          <w:color w:val="000000"/>
          <w:sz w:val="24"/>
          <w:u w:val="single"/>
        </w:rPr>
        <w:t>Section 6.03(i)</w:t>
      </w:r>
      <w:r>
        <w:rPr>
          <w:color w:val="000000"/>
        </w:rPr>
        <w:t xml:space="preserve"> </w:t>
      </w:r>
      <w:r>
        <w:rPr>
          <w:rFonts w:ascii="Times New Roman;serif" w:hAnsi="Times New Roman;serif"/>
          <w:b w:val="false"/>
          <w:color w:val="000000"/>
          <w:sz w:val="24"/>
        </w:rPr>
        <w:t>hereof and shall not reduce availability hereunder, so long as the non-Guarantor Investment basket for Permitted Acquisitions contained in the definition thereof is charged (without double counting) for the full amount of such Investment by operation of the acquisition of a non-Guarantor with the proceeds of such Investment;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Investments in securities or other assets of trade creditors or customers in the ordinary course of business received in settlement of </w:t>
      </w:r>
      <w:r>
        <w:rPr>
          <w:rFonts w:ascii="Times New Roman;serif" w:hAnsi="Times New Roman;serif"/>
          <w:b w:val="false"/>
          <w:i/>
          <w:color w:val="000000"/>
          <w:sz w:val="24"/>
        </w:rPr>
        <w:t>bona fide</w:t>
      </w:r>
      <w:r>
        <w:rPr>
          <w:color w:val="000000"/>
        </w:rPr>
        <w:t xml:space="preserve"> </w:t>
      </w:r>
      <w:r>
        <w:rPr>
          <w:rFonts w:ascii="Times New Roman;serif" w:hAnsi="Times New Roman;serif"/>
          <w:b w:val="false"/>
          <w:color w:val="000000"/>
          <w:sz w:val="24"/>
        </w:rPr>
        <w:t>disputes or upon foreclosure or pursuant to any plan of reorganization or liquidation or similar arrangement upon the bankruptcy or insolvency of such trade creditors or customers;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Investments held by any Group Member as a result of consideration received in connection with an Asset Sale or other disposition made in compliance with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6.05(e)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Permitted Acquisitions and Investments by any Group Member in any other Group Member that is not a Note Party in order to consummate such Permitted Acquisitions;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(j)    pledges and deposits permitted under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(k)    loans that could otherwise be made as a distribution permitted under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 xml:space="preserve">(with a commensurate dollar-for-dollar reduction of their ability to make additional distributions under such </w:t>
      </w:r>
      <w:r>
        <w:rPr>
          <w:rFonts w:ascii="Times New Roman;serif" w:hAnsi="Times New Roman;serif"/>
          <w:b w:val="false"/>
          <w:color w:val="000000"/>
          <w:sz w:val="24"/>
          <w:u w:val="single"/>
        </w:rPr>
        <w:t>Section 6.06</w:t>
      </w:r>
      <w:r>
        <w:rPr>
          <w:rFonts w:ascii="Times New Roman;serif" w:hAnsi="Times New Roman;serif"/>
          <w:b w:val="false"/>
          <w:color w:val="000000"/>
          <w:sz w:val="24"/>
        </w:rPr>
        <w:t>, for so long as such loan remains outstanding);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Investments consisting of earnest money deposits required in connection with a Permitted Acquisition or other permitted Investment;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(m)    Investments of any Person existing at the time such Person becomes a Restricted Subsidiary or consolidates, amalgamates or merges with any Group Member (including in connection with a Permitted Acquisition), so long as such investments were not </w:t>
      </w:r>
    </w:p>
    <w:p>
      <w:pPr>
        <w:pStyle w:val="TextBody"/>
        <w:bidi w:val="0"/>
        <w:spacing w:before="0" w:after="0"/>
        <w:jc w:val="both"/>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made in contemplation of such Person becoming a Restricted Subsidiary or of such consolidation, amalgamation or merger;</w:t>
      </w:r>
      <w:r>
        <w:rPr>
          <w:color w:val="000000"/>
        </w:rPr>
        <w:t xml:space="preserv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this </w:t>
      </w:r>
      <w:r>
        <w:rPr>
          <w:rFonts w:ascii="Times New Roman;serif" w:hAnsi="Times New Roman;serif"/>
          <w:b w:val="false"/>
          <w:color w:val="000000"/>
          <w:sz w:val="24"/>
          <w:u w:val="single"/>
        </w:rPr>
        <w:t>clause (m)</w:t>
      </w:r>
      <w:r>
        <w:rPr>
          <w:color w:val="000000"/>
        </w:rPr>
        <w:t xml:space="preserve"> </w:t>
      </w:r>
      <w:r>
        <w:rPr>
          <w:rFonts w:ascii="Times New Roman;serif" w:hAnsi="Times New Roman;serif"/>
          <w:b w:val="false"/>
          <w:color w:val="000000"/>
          <w:sz w:val="24"/>
        </w:rPr>
        <w:t>is intended solely to grandfather such Investments as are indirectly acquired as a result of an acquisition of a Person otherwise permitted hereunder and any consideration paid in connection with such acquisition that may be allocable to such Investments that consist of Restricted Subsidiaries that are not Note Parties must be permitted by, and be taken into account in computing compliance with, any basket amounts or limitations applicable to such acquisition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(n)    Contingent Obligations and other Indebtedness permitted by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6.01(g)(ii)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6.01(l)</w:t>
      </w:r>
      <w:r>
        <w:rPr>
          <w:rFonts w:ascii="Times New Roman;serif" w:hAnsi="Times New Roman;serif"/>
          <w:b w:val="false"/>
          <w:color w:val="000000"/>
          <w:sz w:val="24"/>
        </w:rPr>
        <w:t xml:space="preserve">), performance guarantees, and transactions permitted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6.04(b)</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(o)    redemptions, repurchases or acquisitions of Indebtedness of any Group Member to the extent not prohibited by </w:t>
      </w:r>
      <w:r>
        <w:rPr>
          <w:rFonts w:ascii="Times New Roman;serif" w:hAnsi="Times New Roman;serif"/>
          <w:b w:val="false"/>
          <w:color w:val="000000"/>
          <w:sz w:val="24"/>
          <w:u w:val="single"/>
        </w:rPr>
        <w:t>Section 6.09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(i) Investments in deposit and investment accounts (including, for the avoidance of doubt, eurocurrency investment accounts) opened in the ordinary course of business with financial institutions and (ii) any Investment in any Subsidiary or any joint venture in connection with intercompany cash management arrangements or related activities arising in the ordinary course of business or consistent with past practice;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(q)    unsecured intercompany advances by any Group Member to Issuer for purposes and in amounts that would otherwise be permitted to be made as Dividends to Issuer pursuant to </w:t>
      </w:r>
      <w:r>
        <w:rPr>
          <w:rFonts w:ascii="Times New Roman;serif" w:hAnsi="Times New Roman;serif"/>
          <w:b w:val="false"/>
          <w:color w:val="000000"/>
          <w:sz w:val="24"/>
          <w:u w:val="single"/>
        </w:rPr>
        <w:t>Section 6.06</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    Investments to the extent constituting the reinvestment of the Net Cash Proceeds arising from Casualty Events to repair, replace or restore any property in respect of which such Net Cash Proceeds were paid;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    Investments in Unrestricted Subsidiaries;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such Investments outstanding at any time under this </w:t>
      </w:r>
      <w:r>
        <w:rPr>
          <w:rFonts w:ascii="Times New Roman;serif" w:hAnsi="Times New Roman;serif"/>
          <w:b w:val="false"/>
          <w:color w:val="000000"/>
          <w:sz w:val="24"/>
          <w:u w:val="single"/>
        </w:rPr>
        <w:t>clause (s)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clause (w)</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(ff)</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shall not exceed $10,000,000;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    purchases and other acquisitions of inventory, materials, equipment, intangible property and other assets in the ordinary course of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(u)    (i) leases and subleases of real or personal property and (ii) licenses and sublicenses of Intellectual Property permitted under </w:t>
      </w:r>
      <w:r>
        <w:rPr>
          <w:rFonts w:ascii="Times New Roman;serif" w:hAnsi="Times New Roman;serif"/>
          <w:b w:val="false"/>
          <w:color w:val="000000"/>
          <w:sz w:val="24"/>
          <w:u w:val="single"/>
        </w:rPr>
        <w:t>Section 6.02(o)</w:t>
      </w:r>
      <w:r>
        <w:rPr>
          <w:color w:val="000000"/>
        </w:rPr>
        <w:t xml:space="preserve"> </w:t>
      </w:r>
      <w:r>
        <w:rPr>
          <w:rFonts w:ascii="Times New Roman;serif" w:hAnsi="Times New Roman;serif"/>
          <w:b w:val="false"/>
          <w:color w:val="000000"/>
          <w:sz w:val="24"/>
        </w:rPr>
        <w:t>and other personal property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    Investments to the extent that payment for such Investments is made solely with cash contributions from the issuance of Equity Interests (other than Disqualified Capital Stock) of Issuer after the Closing Date, which are contributed as cash common equity to the Issuer and Not Otherwise Applied;</w:t>
      </w:r>
    </w:p>
    <w:p>
      <w:pPr>
        <w:pStyle w:val="TextBody"/>
        <w:bidi w:val="0"/>
        <w:spacing w:before="0" w:after="0"/>
        <w:jc w:val="both"/>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(w)    Investments in joint ventures of any Group Member;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such Investments outstanding at any time under </w:t>
      </w:r>
      <w:r>
        <w:rPr>
          <w:rFonts w:ascii="Times New Roman;serif" w:hAnsi="Times New Roman;serif"/>
          <w:b w:val="false"/>
          <w:color w:val="000000"/>
          <w:sz w:val="24"/>
          <w:u w:val="single"/>
        </w:rPr>
        <w:t>clause (s)</w:t>
      </w:r>
      <w:r>
        <w:rPr>
          <w:rFonts w:ascii="Times New Roman;serif" w:hAnsi="Times New Roman;serif"/>
          <w:b w:val="false"/>
          <w:color w:val="000000"/>
          <w:sz w:val="24"/>
        </w:rPr>
        <w:t xml:space="preserve">, this </w:t>
      </w:r>
      <w:r>
        <w:rPr>
          <w:rFonts w:ascii="Times New Roman;serif" w:hAnsi="Times New Roman;serif"/>
          <w:b w:val="false"/>
          <w:color w:val="000000"/>
          <w:sz w:val="24"/>
          <w:u w:val="single"/>
        </w:rPr>
        <w:t>clause (w)</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(ff)</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shall not exceed $10,000,000;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(x)    Investments in an aggregate amount not to exceed the Cumulative Amount;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no Event of Default shall have occurred and be continuing at the time of the making of such Investment or would immediately result therefrom, (ii) on a Pro Forma Basis, the Total Net Leverage Ratio as of the Applicable Date of Determination and for the most recently ended Test Period shall be no greater than 2.00 to 1.00, and (iii) any Limited Condition Acquisition remains subject to the terms of </w:t>
      </w:r>
      <w:r>
        <w:rPr>
          <w:rFonts w:ascii="Times New Roman;serif" w:hAnsi="Times New Roman;serif"/>
          <w:b w:val="false"/>
          <w:color w:val="000000"/>
          <w:sz w:val="24"/>
          <w:u w:val="single"/>
        </w:rPr>
        <w:t>Section 1.06</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(y)    other Investments in an aggregate amount at any time not to exceed $10,000,000,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the aggregate total of all other amounts available as a Restricted Debt Payment under </w:t>
      </w:r>
      <w:r>
        <w:rPr>
          <w:rFonts w:ascii="Times New Roman;serif" w:hAnsi="Times New Roman;serif"/>
          <w:b w:val="false"/>
          <w:color w:val="000000"/>
          <w:sz w:val="24"/>
          <w:u w:val="single"/>
        </w:rPr>
        <w:t>Section 6.09(a)(viii)</w:t>
      </w:r>
      <w:r>
        <w:rPr>
          <w:rFonts w:ascii="Times New Roman;serif" w:hAnsi="Times New Roman;serif"/>
          <w:b w:val="false"/>
          <w:color w:val="000000"/>
          <w:sz w:val="24"/>
        </w:rPr>
        <w:t xml:space="preserve">, which the Issuer may elect to re-allocate to the making of Investments pursuant to this </w:t>
      </w:r>
      <w:r>
        <w:rPr>
          <w:rFonts w:ascii="Times New Roman;serif" w:hAnsi="Times New Roman;serif"/>
          <w:b w:val="false"/>
          <w:color w:val="000000"/>
          <w:sz w:val="24"/>
          <w:u w:val="single"/>
        </w:rPr>
        <w:t>Section 6.03(y)</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(z)    to the extent constituting Investments, advances in respect of transfer pricing and cost-sharing arrangements (</w:t>
      </w:r>
      <w:r>
        <w:rPr>
          <w:rFonts w:ascii="Times New Roman;serif" w:hAnsi="Times New Roman;serif"/>
          <w:b w:val="false"/>
          <w:i/>
          <w:color w:val="000000"/>
          <w:sz w:val="24"/>
        </w:rPr>
        <w:t>i.e.</w:t>
      </w:r>
      <w:r>
        <w:rPr>
          <w:rFonts w:ascii="Times New Roman;serif" w:hAnsi="Times New Roman;serif"/>
          <w:b w:val="false"/>
          <w:color w:val="000000"/>
          <w:sz w:val="24"/>
        </w:rPr>
        <w:t>, “cost-plus” arrangements) that are (i) in the ordinary course of business and consistent with the Group Members’ historical practices and (ii) funded not more than one hundred twenty (120) days in advance of the applicable transfer pricing and cost-sharing payment;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(aa)    advances of payroll payments to employees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(bb)    [reserved];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(cc)    Investments in the ordinary course of business (i) consisting of customary trade arrangements with customers consistent with past practices and (ii) in connection with obtaining, maintaining or renewing client contracts and loans or advances made to distributors;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(dd)    [reserved];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(ee)    Investments resulting from the exercise of drag-along rights, put-rights, call-rights or similar rights under joint venture or similar documents;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(ff)    Investments in similar businesses;</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such Investments outstanding at any time under this </w:t>
      </w:r>
      <w:r>
        <w:rPr>
          <w:rFonts w:ascii="Times New Roman;serif" w:hAnsi="Times New Roman;serif"/>
          <w:b w:val="false"/>
          <w:color w:val="000000"/>
          <w:sz w:val="24"/>
          <w:u w:val="single"/>
        </w:rPr>
        <w:t>clause (ff)</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clause (s)</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(w)</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shall in an aggregate amount outstanding at any time not to exceed $10,000,000.</w:t>
      </w:r>
    </w:p>
    <w:p>
      <w:pPr>
        <w:pStyle w:val="TextBody"/>
        <w:bidi w:val="0"/>
        <w:spacing w:lineRule="auto" w:line="288" w:before="0" w:after="240"/>
        <w:jc w:val="both"/>
        <w:rPr/>
      </w:pPr>
      <w:r>
        <w:rPr>
          <w:rFonts w:ascii="Times New Roman;serif" w:hAnsi="Times New Roman;serif"/>
          <w:b w:val="false"/>
          <w:color w:val="000000"/>
          <w:sz w:val="24"/>
        </w:rPr>
        <w:t xml:space="preserve">The amount of any Investment shall be the initial amount of such Investment less all returns of principal, capital, Dividends and other cash returns therefrom (including, without limitation, any repayments, interest, returns, profits, distributions, income or similar amounts received in cash in respect of any Investment in any Unrestricted Subsidiary and the designation thereof) and less all liabilities expressly assumed by another person in connection with the sale of such Investment; </w:t>
      </w:r>
      <w:r>
        <w:rPr>
          <w:rFonts w:ascii="Times New Roman;serif" w:hAnsi="Times New Roman;serif"/>
          <w:b w:val="false"/>
          <w:i/>
          <w:color w:val="000000"/>
          <w:sz w:val="24"/>
        </w:rPr>
        <w:t>provided</w:t>
      </w:r>
      <w:r>
        <w:rPr>
          <w:rFonts w:ascii="Times New Roman;serif" w:hAnsi="Times New Roman;serif"/>
          <w:b w:val="false"/>
          <w:color w:val="000000"/>
          <w:sz w:val="24"/>
        </w:rPr>
        <w:t>, that, any reduction in the initial amount of such Investment (including upon the re-</w:t>
      </w:r>
    </w:p>
    <w:p>
      <w:pPr>
        <w:pStyle w:val="TextBody"/>
        <w:bidi w:val="0"/>
        <w:spacing w:before="0" w:after="0"/>
        <w:jc w:val="both"/>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designation of an Unrestricted Subsidiary as a Restricted Subsidiary) shall be without duplication of any increase in the Cumulative Amount. Notwithstanding anything to the contrary set forth in this Indenture, (i) no Investments shall be made in, and no Subsidiaries shall be designated as, Unrestricted Subsidiaries pursuant to this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except pursuant to </w:t>
      </w:r>
      <w:r>
        <w:rPr>
          <w:rFonts w:ascii="Times New Roman;serif" w:hAnsi="Times New Roman;serif"/>
          <w:b w:val="false"/>
          <w:color w:val="000000"/>
          <w:sz w:val="24"/>
          <w:u w:val="single"/>
        </w:rPr>
        <w:t>Section 6.03(s)</w:t>
      </w:r>
      <w:r>
        <w:rPr>
          <w:color w:val="000000"/>
        </w:rPr>
        <w:t xml:space="preserve"> </w:t>
      </w:r>
      <w:r>
        <w:rPr>
          <w:rFonts w:ascii="Times New Roman;serif" w:hAnsi="Times New Roman;serif"/>
          <w:b w:val="false"/>
          <w:color w:val="000000"/>
          <w:sz w:val="24"/>
        </w:rPr>
        <w:t>and (ii) no Restricted Subsidiary that is not a Note Party may own or hold, and none of the Issuer or any of the Restricted Subsidiaries may transfer (including by granting an exclusive license), sell, dispose or contribute to any such Restricted Subsidiary, any asset that is material to the business of the Issuer and its Subsidiaries taken as a whole.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6.04    </w:t>
      </w:r>
      <w:r>
        <w:rPr>
          <w:rFonts w:ascii="Times New Roman;serif" w:hAnsi="Times New Roman;serif"/>
          <w:b w:val="false"/>
          <w:color w:val="000000"/>
          <w:sz w:val="24"/>
          <w:u w:val="single"/>
        </w:rPr>
        <w:t>Mergers and Consolidations</w:t>
      </w:r>
      <w:r>
        <w:rPr>
          <w:rFonts w:ascii="Times New Roman;serif" w:hAnsi="Times New Roman;serif"/>
          <w:b w:val="false"/>
          <w:color w:val="000000"/>
          <w:sz w:val="24"/>
        </w:rPr>
        <w:t>. Wind up, liquidate or dissolve its affairs, consummate a merger or consolidation or sell, transfer, lease or otherwise dispose of (whether in one transaction or in a series of transactions) all or substantially all of its assets, except that the following shall be permitted: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Asset Sales or other dispositions in compliance with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6.05(d)</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Investments permitted pursuant to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6.03(n)</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 any Group Member (other than the Issuer) may merge or consolidate with or into the Issuer or any Subsidiary Guarantor (as long as the Issuer is the surviving person in the case of any merger or consolidation involving the Issuer, and such Subsidiary Guarantor is the surviving person in the case of any merger or consolidation involving such Subsidiary Guarantor (other than mergers or consolidations involving the Issuer)) and (ii) any Restricted Subsidiary (other than the Issuer) that is not a Guarantor may merge or consolidate with or into any other Restricted Subsidiary (other than the Issuer) that is not a Guarantor;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 merger or consolidation pursuant to, and in accordance with, the definition of “Permitted Acquisition” to the extent necessary to consummate such Permitted Acquisition;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any Restricted Subsidiary of the Issuer may dissolve, liquidate or wind up its affairs at any time; </w:t>
      </w:r>
      <w:r>
        <w:rPr>
          <w:rFonts w:ascii="Times New Roman;serif" w:hAnsi="Times New Roman;serif"/>
          <w:b w:val="false"/>
          <w:i/>
          <w:color w:val="000000"/>
          <w:sz w:val="24"/>
        </w:rPr>
        <w:t>provided</w:t>
      </w:r>
      <w:r>
        <w:rPr>
          <w:rFonts w:ascii="Times New Roman;serif" w:hAnsi="Times New Roman;serif"/>
          <w:b w:val="false"/>
          <w:color w:val="000000"/>
          <w:sz w:val="24"/>
        </w:rPr>
        <w:t>, that, such dissolution, liquidation or winding up, as applicable, would not reasonably be expected to have a Material Adverse Effect.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6.05    </w:t>
      </w:r>
      <w:r>
        <w:rPr>
          <w:rFonts w:ascii="Times New Roman;serif" w:hAnsi="Times New Roman;serif"/>
          <w:b w:val="false"/>
          <w:color w:val="000000"/>
          <w:sz w:val="24"/>
          <w:u w:val="single"/>
        </w:rPr>
        <w:t>Asset Sales</w:t>
      </w:r>
      <w:r>
        <w:rPr>
          <w:rFonts w:ascii="Times New Roman;serif" w:hAnsi="Times New Roman;serif"/>
          <w:b w:val="false"/>
          <w:color w:val="000000"/>
          <w:sz w:val="24"/>
        </w:rPr>
        <w:t>. Sell, lease, assign, transfer or otherwise dispose of any property, except that the following shall be permitted: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(i) sales, transfers, leases, subleases and other dispositions of inventory in the ordinary course of business, property no longer used or useful in the business or worn out, or obsolete, uneconomical, negligible or surplus property by any Group Member in the ordinary course of business, (ii) the abandonment, allowance to lapse or other disposition of Intellectual Property that is, in the reasonable business judgment of the Issuer, immaterial or no longer economically practicable to maintain or (iii) sales, transfers, leases, subleases and other dispositions of property by any Group Member (including Intellectual Property) that is, in the </w:t>
      </w:r>
    </w:p>
    <w:p>
      <w:pPr>
        <w:pStyle w:val="TextBody"/>
        <w:bidi w:val="0"/>
        <w:spacing w:before="0" w:after="0"/>
        <w:jc w:val="both"/>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reasonable business judgment of the Issuer, immaterial or no longer used or useful in the business;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so long as no Event of Default shall have occurred and be continuing at the time of the making of such sale, lease, assignment, transfer or disposition or would immediately result therefrom, any sale, lease, assignment, transfer or disposition (other than a sale of all or substantially all of the assets of the Issuer and its Restricted Subsidiaries);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 such sale, lease, assignment, transfer or disposition shall be for fair market value (as determined by the Issuer in good faith) and (ii) at least seventy five percent (75%) of the purchase price for all property subject to such sale, lease, assignment, transfer or disposition shall be paid in cash or Cash Equivalents (with assumed liabilities treated as cash and other Designated Noncash Consideration treated as cash so long as the total Designated Noncash Consideration outstanding at any time does not exceed $10,000,000 for the most recently ended Test Period in the aggregate,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amount of the proceeds of any portion of any such disposition that would be permitted under </w:t>
      </w:r>
      <w:r>
        <w:rPr>
          <w:rFonts w:ascii="Times New Roman;serif" w:hAnsi="Times New Roman;serif"/>
          <w:b w:val="false"/>
          <w:color w:val="000000"/>
          <w:sz w:val="24"/>
          <w:u w:val="single"/>
        </w:rPr>
        <w:t>Section 6.05(n)</w:t>
      </w:r>
      <w:r>
        <w:rPr>
          <w:color w:val="000000"/>
        </w:rPr>
        <w:t xml:space="preserve"> </w:t>
      </w:r>
      <w:r>
        <w:rPr>
          <w:rFonts w:ascii="Times New Roman;serif" w:hAnsi="Times New Roman;serif"/>
          <w:b w:val="false"/>
          <w:color w:val="000000"/>
          <w:sz w:val="24"/>
        </w:rPr>
        <w:t>shall be excluded from the numerator and denominator of such calculation);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(i) leases, assignments and subleases of real or personal property in the ordinary course of business and (ii) licenses and sublicenses of Intellectual Property otherwise permitted under </w:t>
      </w:r>
      <w:r>
        <w:rPr>
          <w:rFonts w:ascii="Times New Roman;serif" w:hAnsi="Times New Roman;serif"/>
          <w:b w:val="false"/>
          <w:color w:val="000000"/>
          <w:sz w:val="24"/>
          <w:u w:val="single"/>
        </w:rPr>
        <w:t>Section 6.02</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transactions in compliance with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6.04(a)</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Investments in compliance with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6.03(h)</w:t>
      </w:r>
      <w:r>
        <w:rPr>
          <w:rFonts w:ascii="Times New Roman;serif" w:hAnsi="Times New Roman;serif"/>
          <w:b w:val="false"/>
          <w:color w:val="000000"/>
          <w:sz w:val="24"/>
        </w:rPr>
        <w:t xml:space="preserve">), Liens in compliance with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Dividends in compliance with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 xml:space="preserve">and Restricted Debt Payments in compliance with </w:t>
      </w:r>
      <w:r>
        <w:rPr>
          <w:rFonts w:ascii="Times New Roman;serif" w:hAnsi="Times New Roman;serif"/>
          <w:b w:val="false"/>
          <w:color w:val="000000"/>
          <w:sz w:val="24"/>
          <w:u w:val="single"/>
        </w:rPr>
        <w:t>Section 6.09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sales of any non-core assets (i) acquired in connection with any Permitted Acquisitions or other Investments in compliance with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6.03(h)</w:t>
      </w:r>
      <w:r>
        <w:rPr>
          <w:rFonts w:ascii="Times New Roman;serif" w:hAnsi="Times New Roman;serif"/>
          <w:b w:val="false"/>
          <w:color w:val="000000"/>
          <w:sz w:val="24"/>
        </w:rPr>
        <w:t>), or (ii) to obtain the approval of an anti-trust authority to a Permitted Acquisition or other permitted Investment;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sales, discounts or forgiveness of customer delinquent notes or accounts receivable in the ordinary course of business or in connection with the settlement, collection or compromise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use of cash and dispositions of Cash Equivalents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sales, transfers, leases and other dispositions of assets of the Issuer and its Restricted Subsidiaries that do not constitute Collateral (including, for the avoidance of doubt, the Equity Interests of Unrestricted Subsidiaries and joint ventures) to the extent the fair market value of such assets does not exceed the greater of $10,000,000 in the aggregate during the term of this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sales, transfers, leases and other dispositions (i) to the Issuer or to any other Note Party or (ii) to any Restricted Subsidiary that is not a Note Party from another Restricted Subsidiary that is not a Note Party;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sales, transfers, leases and other dispositions of property to the extent required by any Governmental Authority or otherwise pursuant to any Requirements of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(l)    sales, transfers, leases and other dispositions of property to the extent that such property constitutes an Investment permitted by </w:t>
      </w:r>
      <w:r>
        <w:rPr>
          <w:rFonts w:ascii="Times New Roman;serif" w:hAnsi="Times New Roman;serif"/>
          <w:b w:val="false"/>
          <w:color w:val="000000"/>
          <w:sz w:val="24"/>
          <w:u w:val="single"/>
        </w:rPr>
        <w:t>Section 6.03(h)</w:t>
      </w:r>
      <w:r>
        <w:rPr>
          <w:color w:val="000000"/>
        </w:rPr>
        <w:t xml:space="preserve"> </w:t>
      </w:r>
      <w:r>
        <w:rPr>
          <w:rFonts w:ascii="Times New Roman;serif" w:hAnsi="Times New Roman;serif"/>
          <w:b w:val="false"/>
          <w:color w:val="000000"/>
          <w:sz w:val="24"/>
        </w:rPr>
        <w:t>or another asset received as consideration for the disposition of any asset permitted by this Section;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(m)    sales or dispositions of immaterial Equity Interests to qualify directors where required by applicable Requirements of Law or to satisfy other similar Requirements of Law with respect to the ownership of Equity Interests;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any concurrent purchase and sale or exchange of any asset used or useful in the business of the Issuer and the Restricted Subsidiaries or in any line of business permitted hereunder, or any combination of any such assets and cash or Cash Equivalents, between the Issuer or a Restricted Subsidiary on one hand and another person in the other;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dispositions resulting from any casualty or other insured damage to, or any taking under power of eminent domain or by condemnation or similar proceeding of, any property or asset of any Group Member;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(p)    the sale or disposition of Unrestricted Subsidiaries;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(q)    dispositions of equipment lost, abandoned or destroyed in the ordinary course of business;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(r)    other sales or dispositions in an amount not to exceed the greater of $15,000,000 and twenty percent (20%) of Consolidated EBITDA for the most recently ended Test Period per transaction (or series of related transactions);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    (i) any Motor Vehicle Sale and Leaseback Transaction which does not cause the total aggregate liability under all Motor Vehicle Sale and Leaseback Transactions permitted under this </w:t>
      </w:r>
      <w:r>
        <w:rPr>
          <w:rFonts w:ascii="Times New Roman;serif" w:hAnsi="Times New Roman;serif"/>
          <w:b w:val="false"/>
          <w:color w:val="000000"/>
          <w:sz w:val="24"/>
          <w:u w:val="single"/>
        </w:rPr>
        <w:t>subclause (i)</w:t>
      </w:r>
      <w:r>
        <w:rPr>
          <w:color w:val="000000"/>
        </w:rPr>
        <w:t xml:space="preserve"> </w:t>
      </w:r>
      <w:r>
        <w:rPr>
          <w:rFonts w:ascii="Times New Roman;serif" w:hAnsi="Times New Roman;serif"/>
          <w:b w:val="false"/>
          <w:color w:val="000000"/>
          <w:sz w:val="24"/>
        </w:rPr>
        <w:t xml:space="preserve">to exceed $20,000,000 at any time and (ii) any other Sale Leaseback Transaction which satisfies each of the following requirements: such Sale Leaseback Transaction is for the sale or transfer of any fixed or capital assets which are made for cash consideration in an amount not less than the fair value of such fixed or capital asset and which is consummated within ninety (90) days after such Note Party acquires or completes the construction of such fixed or capital asset and (y) such Sale Leaseback Transaction does not cause the total aggregate liability under all Sale Leaseback Transactions permitted under this </w:t>
      </w:r>
      <w:r>
        <w:rPr>
          <w:rFonts w:ascii="Times New Roman;serif" w:hAnsi="Times New Roman;serif"/>
          <w:b w:val="false"/>
          <w:color w:val="000000"/>
          <w:sz w:val="24"/>
          <w:u w:val="single"/>
        </w:rPr>
        <w:t>subclause (ii)</w:t>
      </w:r>
      <w:r>
        <w:rPr>
          <w:color w:val="000000"/>
        </w:rPr>
        <w:t xml:space="preserve"> </w:t>
      </w:r>
      <w:r>
        <w:rPr>
          <w:rFonts w:ascii="Times New Roman;serif" w:hAnsi="Times New Roman;serif"/>
          <w:b w:val="false"/>
          <w:color w:val="000000"/>
          <w:sz w:val="24"/>
        </w:rPr>
        <w:t>to exceed $10,000,000 at any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    surrender or waiver of contractual rights and settlements, releases or waivers of contractual or litigation claims in the ordinary course of business; and</w:t>
      </w:r>
    </w:p>
    <w:p>
      <w:pPr>
        <w:pStyle w:val="TextBody"/>
        <w:bidi w:val="0"/>
        <w:spacing w:before="0" w:after="0"/>
        <w:jc w:val="both"/>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(u)    any disposition, unwinding or termination of Hedging Agreements or transactions contemplated thereby.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To the extent the Controlling Parties or all of the Holders, as applicable, waive the provisions of this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 xml:space="preserve">with respect to the sale of any Collateral, or any Collateral is sold as permitted by this </w:t>
      </w:r>
      <w:r>
        <w:rPr>
          <w:rFonts w:ascii="Times New Roman;serif" w:hAnsi="Times New Roman;serif"/>
          <w:b w:val="false"/>
          <w:color w:val="000000"/>
          <w:sz w:val="24"/>
          <w:u w:val="single"/>
        </w:rPr>
        <w:t>Section 6.05</w:t>
      </w:r>
      <w:r>
        <w:rPr>
          <w:rFonts w:ascii="Times New Roman;serif" w:hAnsi="Times New Roman;serif"/>
          <w:b w:val="false"/>
          <w:color w:val="000000"/>
          <w:sz w:val="24"/>
        </w:rPr>
        <w:t>, such Collateral (unless sold to a Note Party) shall be sold automatically free and clear of the Liens created by the Security Documents, and the Issuer shall have delivered to the Trustee and the Collateral Agent an Officer’s Certificate and an Opinion of Counsel to the effect that sale of Collateral complies with this Indenture and the other Note Documents and that all covenants and conditions precedent to the e sale of such Collateral have been satisfied. Notwithstanding anything to the contrary set forth in this Indenture, no Restricted Subsidiary that is not a Note Party may own or hold, and none of the Issuer or any of the Restricted Subsidiaries may transfer (including by granting an exclusive license), sell, dispose or contribute to any such Restricted Subsidiary, any asset that is material to the business of the Issuer and its Subsidiaries taken as a whole.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6.06    </w:t>
      </w:r>
      <w:r>
        <w:rPr>
          <w:rFonts w:ascii="Times New Roman;serif" w:hAnsi="Times New Roman;serif"/>
          <w:b w:val="false"/>
          <w:color w:val="000000"/>
          <w:sz w:val="24"/>
          <w:u w:val="single"/>
        </w:rPr>
        <w:t>Dividends</w:t>
      </w:r>
      <w:r>
        <w:rPr>
          <w:rFonts w:ascii="Times New Roman;serif" w:hAnsi="Times New Roman;serif"/>
          <w:b w:val="false"/>
          <w:color w:val="000000"/>
          <w:sz w:val="24"/>
        </w:rPr>
        <w:t xml:space="preserve">. Authorize, declare or pay, directly or indirectly, any Dividends with respect to any Group Member, except that the following shall be permitted (subject to the provisos in each of </w:t>
      </w:r>
      <w:r>
        <w:rPr>
          <w:rFonts w:ascii="Times New Roman;serif" w:hAnsi="Times New Roman;serif"/>
          <w:b w:val="false"/>
          <w:color w:val="000000"/>
          <w:sz w:val="24"/>
          <w:u w:val="single"/>
        </w:rPr>
        <w:t>subclause (l)</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 xml:space="preserve">subclause (q)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Dividends by any Group Member (i) to the Issuer or any Subsidiary Guarantor, (ii) to any Restricted Subsidiary of the Issuer that is not a Guarantor;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any such Dividend under this </w:t>
      </w:r>
      <w:r>
        <w:rPr>
          <w:rFonts w:ascii="Times New Roman;serif" w:hAnsi="Times New Roman;serif"/>
          <w:b w:val="false"/>
          <w:color w:val="000000"/>
          <w:sz w:val="24"/>
          <w:u w:val="single"/>
        </w:rPr>
        <w:t>clause (ii)</w:t>
      </w:r>
      <w:r>
        <w:rPr>
          <w:color w:val="000000"/>
        </w:rPr>
        <w:t> </w:t>
      </w:r>
      <w:r>
        <w:rPr>
          <w:rFonts w:ascii="Times New Roman;serif" w:hAnsi="Times New Roman;serif"/>
          <w:b w:val="false"/>
          <w:color w:val="000000"/>
          <w:sz w:val="24"/>
        </w:rPr>
        <w:t xml:space="preserve">is either (A) paid only in Equity Interests of such Group Member (other than Disqualified Capital Stock) or (B) if paid in cash, is paid to all equityholders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basis, and (iii) to Issuer paid only in Equity Interests in kind;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so long as no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(h)</w:t>
      </w:r>
      <w:r>
        <w:rPr>
          <w:color w:val="000000"/>
        </w:rPr>
        <w:t> </w:t>
      </w:r>
      <w:r>
        <w:rPr>
          <w:rFonts w:ascii="Times New Roman;serif" w:hAnsi="Times New Roman;serif"/>
          <w:b w:val="false"/>
          <w:color w:val="000000"/>
          <w:sz w:val="24"/>
        </w:rPr>
        <w:t xml:space="preserve">has occurred and is continuing or would immediately result therefrom, payments to Issuer (and/or (without duplication) any direct or indirect parent company) to permit Issuer (or any such direct or indirect parent company) to repurchase or redeem Qualified Capital Stock of Issuer (or any direct or indirect parent company) held by current or former officers, directors or employees (or their transferees, spouses, ex-spouses, heirs, family members, estates or beneficiaries under their estates) of any Group Member (including, without limitation, upon their death, disability, retirement, severance or termination of employment or service) or to make payments on Indebtedness issued to buy such Qualified Capital Stock, including, without limitation, upon their death, disability, retirement, severance or termination of employment or service;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cash consideration (for the avoidance of doubt excluding cancellation of Indebtedness owed by such person) paid for all such redemptions and payments shall not exceed, in any fiscal year, the sum of (i) the greater of $5,000,000 and ten percent (10%) of Consolidated EBITDA for the most recently ended Test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amount may be increased by (x) up to $5,000,000 or, if greater, ten percent (10%) of Consolidated EBITDA, solely to the extent the amount available under this </w:t>
      </w:r>
      <w:r>
        <w:rPr>
          <w:rFonts w:ascii="Times New Roman;serif" w:hAnsi="Times New Roman;serif"/>
          <w:b w:val="false"/>
          <w:color w:val="000000"/>
          <w:sz w:val="24"/>
          <w:u w:val="single"/>
        </w:rPr>
        <w:t>clause (i)</w:t>
      </w:r>
      <w:r>
        <w:rPr>
          <w:color w:val="000000"/>
        </w:rPr>
        <w:t> </w:t>
      </w:r>
      <w:r>
        <w:rPr>
          <w:rFonts w:ascii="Times New Roman;serif" w:hAnsi="Times New Roman;serif"/>
          <w:b w:val="false"/>
          <w:color w:val="000000"/>
          <w:sz w:val="24"/>
        </w:rPr>
        <w:t xml:space="preserve">was not utilized in the immediately preceding fiscal year or (y) by up to $5,000,000 or, if greater, ten percent (10%) of Consolidated EBITDA solely to the extent that any such additional amount utilized pursuant to this </w:t>
      </w:r>
      <w:r>
        <w:rPr>
          <w:rFonts w:ascii="Times New Roman;serif" w:hAnsi="Times New Roman;serif"/>
          <w:b w:val="false"/>
          <w:color w:val="000000"/>
          <w:sz w:val="24"/>
          <w:u w:val="single"/>
        </w:rPr>
        <w:t>subclause (y)</w:t>
      </w:r>
      <w:r>
        <w:rPr>
          <w:color w:val="000000"/>
        </w:rPr>
        <w:t xml:space="preserve"> </w:t>
      </w:r>
      <w:r>
        <w:rPr>
          <w:rFonts w:ascii="Times New Roman;serif" w:hAnsi="Times New Roman;serif"/>
          <w:b w:val="false"/>
          <w:color w:val="000000"/>
          <w:sz w:val="24"/>
        </w:rPr>
        <w:t xml:space="preserve">shall </w:t>
      </w:r>
    </w:p>
    <w:p>
      <w:pPr>
        <w:pStyle w:val="TextBody"/>
        <w:bidi w:val="0"/>
        <w:spacing w:before="0" w:after="0"/>
        <w:jc w:val="both"/>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reduce the amount of Dividends permitted pursuant to this </w:t>
      </w:r>
      <w:r>
        <w:rPr>
          <w:rFonts w:ascii="Times New Roman;serif" w:hAnsi="Times New Roman;serif"/>
          <w:b w:val="false"/>
          <w:color w:val="000000"/>
          <w:sz w:val="24"/>
          <w:u w:val="single"/>
        </w:rPr>
        <w:t>Section 6.06(b)(i)</w:t>
      </w:r>
      <w:r>
        <w:rPr>
          <w:color w:val="000000"/>
        </w:rPr>
        <w:t xml:space="preserve"> </w:t>
      </w:r>
      <w:r>
        <w:rPr>
          <w:rFonts w:ascii="Times New Roman;serif" w:hAnsi="Times New Roman;serif"/>
          <w:b w:val="false"/>
          <w:color w:val="000000"/>
          <w:sz w:val="24"/>
        </w:rPr>
        <w:t xml:space="preserve">in the subsequent fiscal year on a dollar-for-dollar basis, </w:t>
      </w:r>
      <w:r>
        <w:rPr>
          <w:rFonts w:ascii="Times New Roman;serif" w:hAnsi="Times New Roman;serif"/>
          <w:b w:val="false"/>
          <w:i/>
          <w:color w:val="000000"/>
          <w:sz w:val="24"/>
        </w:rPr>
        <w:t xml:space="preserve">plus </w:t>
      </w:r>
      <w:r>
        <w:rPr>
          <w:rFonts w:ascii="Times New Roman;serif" w:hAnsi="Times New Roman;serif"/>
          <w:b w:val="false"/>
          <w:color w:val="000000"/>
          <w:sz w:val="24"/>
        </w:rPr>
        <w:t xml:space="preserve">(ii) the net cash proceeds of any “keyman” life insurance policies of any Group Member that are used to repurchase or redeem Qualified Capital Stock of Issuer (or any direct or indirect parent company) held by the Person covered by the applicable “key-man” life insurance policy or such Person’s spouse, ex-spouse, estate or beneficiaries under the estate of the Person covered by the applicable “key-man” life insurance policy or to make payments on Indebtedness issued to buy such Qualified Capital Stock upon such Person’s death or disability;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during an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 xml:space="preserve">any payments described in this </w:t>
      </w:r>
      <w:r>
        <w:rPr>
          <w:rFonts w:ascii="Times New Roman;serif" w:hAnsi="Times New Roman;serif"/>
          <w:b w:val="false"/>
          <w:color w:val="000000"/>
          <w:sz w:val="24"/>
          <w:u w:val="single"/>
        </w:rPr>
        <w:t>Section 6.06 (b)</w:t>
      </w:r>
      <w:r>
        <w:rPr>
          <w:color w:val="000000"/>
        </w:rPr>
        <w:t xml:space="preserve"> </w:t>
      </w:r>
      <w:r>
        <w:rPr>
          <w:rFonts w:ascii="Times New Roman;serif" w:hAnsi="Times New Roman;serif"/>
          <w:b w:val="false"/>
          <w:color w:val="000000"/>
          <w:sz w:val="24"/>
        </w:rPr>
        <w:t xml:space="preserve">may accrue and shall be permitted to be paid upon such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 xml:space="preserve">no longer existing so long as no other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is continuing at such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repurchases of Equity Interests deemed to occur upon the exercise of stock options if the Equity Interests represent a portion of the exercise price thereof and repurchases, redemptions or other acquisitions or retirements for value of Equity Interests made in lieu of withholding Taxes in connection with any exercise or exchange of stock options, warrants or other similar rights;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Dividends made solely in Equity Interests of Issuer (other than Disqualified Capital Stock);</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Dividends to finance payments for reasonable director fees and reasonable and documented director indemnities and expenses (which for the avoidance of doubt, may be paid as a Dividend);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Dividends to the extent that payment for such Dividends is made solely with cash contributions from the issuance of Equity Interests (other than Disqualified Capital Stock) of Issuer after the Restatement Effective Date, which are Not Otherwise Applied;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distributions for (i) administrative, overhead and related expenses (including franchise and similar taxes required to maintain corporate existence and other legal, accounting and other overhead expenses) of Issuer or any direct or indirect parent of Issuer to the extent directly attributable to the operations or ownership of the Issuer and its Restricted Subsidiaries, and (ii) Public Company Costs;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so long as no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 xml:space="preserve">shall have occurred and be continuing or would immediately result therefrom, distributions to any of Issuer’s direct or indirect equity holders of any working capital adjustment or any other purchase price adjustment received in connection with any Permitted Acquisition or any other Investment permitted under </w:t>
      </w:r>
      <w:r>
        <w:rPr>
          <w:rFonts w:ascii="Times New Roman;serif" w:hAnsi="Times New Roman;serif"/>
          <w:b w:val="false"/>
          <w:color w:val="000000"/>
          <w:sz w:val="24"/>
          <w:u w:val="single"/>
        </w:rPr>
        <w:t>Section 6.03</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with respect to any Permitted Acquisition or other Investment, the amount of such distribution shall be limited to the Equity Funded Portion thereof;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    Dividends by any Group Member to any direct or indirect holder of any Equity Interests in the Issuer to finance any Permitted Acquisition, or Investment permitted to be </w:t>
      </w:r>
    </w:p>
    <w:p>
      <w:pPr>
        <w:pStyle w:val="TextBody"/>
        <w:bidi w:val="0"/>
        <w:spacing w:before="0" w:after="0"/>
        <w:jc w:val="both"/>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made pursuant to </w:t>
      </w:r>
      <w:r>
        <w:rPr>
          <w:rFonts w:ascii="Times New Roman;serif" w:hAnsi="Times New Roman;serif"/>
          <w:b w:val="false"/>
          <w:color w:val="000000"/>
          <w:sz w:val="24"/>
          <w:u w:val="single"/>
        </w:rPr>
        <w:t>Section 6.03</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such Dividend shall be made substantially concurrently with the closing of such Permitted Acquisition, or Investment and (B) Issuer or such other Issuer shall, immediately following the closing thereof, cause (1) all property so acquired (whether assets or Equity Interests) or all property of all Person so acquired to be held by or contributed to the Issuer or a Restricted Subsidiary or (2) the merger (to the extent permitted in </w:t>
      </w:r>
      <w:r>
        <w:rPr>
          <w:rFonts w:ascii="Times New Roman;serif" w:hAnsi="Times New Roman;serif"/>
          <w:b w:val="false"/>
          <w:color w:val="000000"/>
          <w:sz w:val="24"/>
          <w:u w:val="single"/>
        </w:rPr>
        <w:t>Section 6.04</w:t>
      </w:r>
      <w:r>
        <w:rPr>
          <w:rFonts w:ascii="Times New Roman;serif" w:hAnsi="Times New Roman;serif"/>
          <w:b w:val="false"/>
          <w:color w:val="000000"/>
          <w:sz w:val="24"/>
        </w:rPr>
        <w:t>) of the Person formed or acquired into the Issuer or any other Restricted Subsidiary in order to consummate such Permitted Acquisition;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(k)    so long as no Event of Default shall have occurred and be continuing or would immediately result therefrom, unlimited additional Dividends; </w:t>
      </w:r>
      <w:r>
        <w:rPr>
          <w:rFonts w:ascii="Times New Roman;serif" w:hAnsi="Times New Roman;serif"/>
          <w:b w:val="false"/>
          <w:i/>
          <w:color w:val="000000"/>
          <w:sz w:val="24"/>
        </w:rPr>
        <w:t>provided</w:t>
      </w:r>
      <w:r>
        <w:rPr>
          <w:rFonts w:ascii="Times New Roman;serif" w:hAnsi="Times New Roman;serif"/>
          <w:b w:val="false"/>
          <w:color w:val="000000"/>
          <w:sz w:val="24"/>
        </w:rPr>
        <w:t>, that, on a Pro Forma Basis, the Total Net Leverage Ratio as of the Applicable Date of Determination and for the most recently ended Test Period shall be no greater than 1.00 to 1.00;</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[reserved];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(m)    Dividends and distributions among Note Parties in connection with transfer pricing or shared services agreements to the extent advances related thereto are permitted pursuant to </w:t>
      </w:r>
      <w:r>
        <w:rPr>
          <w:rFonts w:ascii="Times New Roman;serif" w:hAnsi="Times New Roman;serif"/>
          <w:b w:val="false"/>
          <w:color w:val="000000"/>
          <w:sz w:val="24"/>
          <w:u w:val="single"/>
        </w:rPr>
        <w:t>Section 6.03(z)</w:t>
      </w:r>
      <w:r>
        <w:rPr>
          <w:rFonts w:ascii="Times New Roman;serif" w:hAnsi="Times New Roman;serif"/>
          <w:b w:val="false"/>
          <w:color w:val="000000"/>
          <w:sz w:val="24"/>
        </w:rPr>
        <w:t>;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Issuer, the Issuer or any Restricted Subsidiary may (i) pay cash in lieu of fractional Equity Interests in connection with any dividend, split or combination thereof, any Permitted Acquisition and (ii) honor any conversion request by a holder of convertible Indebtedness and make cash payments in lieu of fractional shares in connection with any such conversion and may make payments on convertible Indebtedness in accordance with its terms;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Dividends and distributions made with the Cumulative Amount; provided that (A) no Event of Default shall have occurred and be continuing at the time of the making of such Dividend or would immediately result therefrom, and (B) on a Pro Forma Basis, the Total Net Leverage Ratio as of the Applicable Date of Determination and for the most recently ended Test Period shall be no greater than 1.50 to 1.00.</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6.07    </w:t>
      </w:r>
      <w:r>
        <w:rPr>
          <w:rFonts w:ascii="Times New Roman;serif" w:hAnsi="Times New Roman;serif"/>
          <w:b w:val="false"/>
          <w:color w:val="000000"/>
          <w:sz w:val="24"/>
          <w:u w:val="single"/>
        </w:rPr>
        <w:t>Transactions with Affiliates</w:t>
      </w:r>
      <w:r>
        <w:rPr>
          <w:rFonts w:ascii="Times New Roman;serif" w:hAnsi="Times New Roman;serif"/>
          <w:b w:val="false"/>
          <w:color w:val="000000"/>
          <w:sz w:val="24"/>
        </w:rPr>
        <w:t>. Except as otherwise permitted hereunder, enter into, directly or indirectly, any transaction or series of related transactions with a fair market value (as determined in good faith by the Issuer) in excess of the greater of $5,000,000 and five percent (5%) of Consolidated EBITDA for the most recently ended Test Period, whether or not in the ordinary course of business, with any Affiliate of any Group Member (other than among the Issuer and any Guarantor or any entity that becomes a Subsidiary Guarantor as a result of such transactions), other than on terms and conditions at least as favorable to such Group Member (or, in the case of a transaction between a Note Party and a Subsidiary that is not a Note Party, such Note Party) as would reasonably be obtained by such Group Member at that time in a comparable arm’s-length transaction with a person other than an Affiliate (as reasonably determined by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(i) Dividends permitted by </w:t>
      </w:r>
      <w:r>
        <w:rPr>
          <w:rFonts w:ascii="Times New Roman;serif" w:hAnsi="Times New Roman;serif"/>
          <w:b w:val="false"/>
          <w:color w:val="000000"/>
          <w:sz w:val="24"/>
          <w:u w:val="single"/>
        </w:rPr>
        <w:t>Section 6.06</w:t>
      </w:r>
      <w:r>
        <w:rPr>
          <w:rFonts w:ascii="Times New Roman;serif" w:hAnsi="Times New Roman;serif"/>
          <w:b w:val="false"/>
          <w:color w:val="000000"/>
          <w:sz w:val="24"/>
        </w:rPr>
        <w:t xml:space="preserve">, (ii) Liens granted pursuant to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(iii) Investments permitted by </w:t>
      </w:r>
      <w:r>
        <w:rPr>
          <w:rFonts w:ascii="Times New Roman;serif" w:hAnsi="Times New Roman;serif"/>
          <w:b w:val="false"/>
          <w:color w:val="000000"/>
          <w:sz w:val="24"/>
          <w:u w:val="single"/>
        </w:rPr>
        <w:t>Section 6.03</w:t>
      </w:r>
      <w:r>
        <w:rPr>
          <w:color w:val="000000"/>
        </w:rPr>
        <w:t xml:space="preserve"> </w:t>
      </w:r>
      <w:r>
        <w:rPr>
          <w:rFonts w:ascii="Times New Roman;serif" w:hAnsi="Times New Roman;serif"/>
          <w:b w:val="false"/>
          <w:color w:val="000000"/>
          <w:sz w:val="24"/>
        </w:rPr>
        <w:t xml:space="preserve">and Indebtedness resulting therefrom permitted under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(iv) transactions permitted by </w:t>
      </w:r>
      <w:r>
        <w:rPr>
          <w:rFonts w:ascii="Times New Roman;serif" w:hAnsi="Times New Roman;serif"/>
          <w:b w:val="false"/>
          <w:color w:val="000000"/>
          <w:sz w:val="24"/>
          <w:u w:val="single"/>
        </w:rPr>
        <w:t>Section 6.04</w:t>
      </w:r>
      <w:r>
        <w:rPr>
          <w:rFonts w:ascii="Times New Roman;serif" w:hAnsi="Times New Roman;serif"/>
          <w:b w:val="false"/>
          <w:color w:val="000000"/>
          <w:sz w:val="24"/>
        </w:rPr>
        <w:t xml:space="preserve">, (v) dispositions permitted under </w:t>
      </w:r>
      <w:r>
        <w:rPr>
          <w:rFonts w:ascii="Times New Roman;serif" w:hAnsi="Times New Roman;serif"/>
          <w:b w:val="false"/>
          <w:color w:val="000000"/>
          <w:sz w:val="24"/>
          <w:u w:val="single"/>
        </w:rPr>
        <w:t>Section 6.05</w:t>
      </w:r>
      <w:r>
        <w:rPr>
          <w:color w:val="000000"/>
        </w:rPr>
        <w:t xml:space="preserve"> </w:t>
      </w:r>
      <w:r>
        <w:rPr>
          <w:rFonts w:ascii="Times New Roman;serif" w:hAnsi="Times New Roman;serif"/>
          <w:b w:val="false"/>
          <w:color w:val="000000"/>
          <w:sz w:val="24"/>
        </w:rPr>
        <w:t xml:space="preserve">and (vi) payments of Indebtedness permitted under </w:t>
      </w:r>
      <w:r>
        <w:rPr>
          <w:rFonts w:ascii="Times New Roman;serif" w:hAnsi="Times New Roman;serif"/>
          <w:b w:val="false"/>
          <w:color w:val="000000"/>
          <w:sz w:val="24"/>
          <w:u w:val="single"/>
        </w:rPr>
        <w:t>Section 6.09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director, officer and employee compensation (including bonuses) and other benefits (including, without limitation, retirement, health, incentive equity and other benefit plans) and expense reimbursement and indemnification arrangements and severance agreements;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transactions with customers, clients, suppliers, joint venture partners or purchasers or sellers of goods and services, in each case in the ordinary course of business and otherwise not prohibited by the Note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[reserved];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any transaction with an Affiliate where the only consideration paid by any Note Party is Qualified Capital Stock of Issuer (or Equity Interests of a direct or indirect parent company of Issuer);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agreements relating to Intellectual Property not interfering in any material respect with the ordinary conduct of business of or the value of such Intellectual Property to such Group Member or materially impairing the security interest granted under the Security Agreement therein held by the Collateral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(g)    any other agreement, arrangement or transaction as in effect on the Restatement Effective Date and listed on </w:t>
      </w:r>
      <w:r>
        <w:rPr>
          <w:rFonts w:ascii="Times New Roman;serif" w:hAnsi="Times New Roman;serif"/>
          <w:b w:val="false"/>
          <w:color w:val="000000"/>
          <w:sz w:val="24"/>
          <w:u w:val="single"/>
        </w:rPr>
        <w:t>Schedule 6.07,</w:t>
      </w:r>
      <w:r>
        <w:rPr>
          <w:color w:val="000000"/>
        </w:rPr>
        <w:t xml:space="preserve"> </w:t>
      </w:r>
      <w:r>
        <w:rPr>
          <w:rFonts w:ascii="Times New Roman;serif" w:hAnsi="Times New Roman;serif"/>
          <w:b w:val="false"/>
          <w:color w:val="000000"/>
          <w:sz w:val="24"/>
        </w:rPr>
        <w:t>and any amendment or modification with respect to such agreement, arrangement or transaction, and the performance of obligations thereunder, so long as such amendment or modification is not materially adverse to the interests of the Holders;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the Transactions as contemplated by the Transaction Documents, including the payment of any fees, costs or expenses related to such Transactions;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transactions among Issuer and/or any of its Restricted Subsidiaries that are permitted hereunder;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(j)    transactions pursuant to transfer pricing or shared services agreements, advances with respect to which are permitted by </w:t>
      </w:r>
      <w:r>
        <w:rPr>
          <w:rFonts w:ascii="Times New Roman;serif" w:hAnsi="Times New Roman;serif"/>
          <w:b w:val="false"/>
          <w:color w:val="000000"/>
          <w:sz w:val="24"/>
          <w:u w:val="single"/>
        </w:rPr>
        <w:t>Section 6.03(z)</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6.08    </w:t>
      </w:r>
      <w:r>
        <w:rPr>
          <w:rFonts w:ascii="Times New Roman;serif" w:hAnsi="Times New Roman;serif"/>
          <w:b w:val="false"/>
          <w:color w:val="000000"/>
          <w:sz w:val="24"/>
          <w:u w:val="single"/>
        </w:rPr>
        <w:t>Financial Covenants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Total Net Leverage Ratio</w:t>
      </w:r>
      <w:r>
        <w:rPr>
          <w:rFonts w:ascii="Times New Roman;serif" w:hAnsi="Times New Roman;serif"/>
          <w:b w:val="false"/>
          <w:color w:val="000000"/>
          <w:sz w:val="24"/>
        </w:rPr>
        <w:t>. Except with the written consent of the Controlling Parties, permit the Total Net Leverage Ratio as of the last day of and for any Test Period (commencing, for the avoidance of doubt, with the Test Period ending September 30, 2026) to be greater than the Total Net Leverage Ratio set forth below opposite such Test Period:</w:t>
      </w:r>
    </w:p>
    <w:p>
      <w:pPr>
        <w:pStyle w:val="TextBody"/>
        <w:bidi w:val="0"/>
        <w:spacing w:before="0" w:after="0"/>
        <w:jc w:val="both"/>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118</w:t>
                      </w:r>
                    </w:p>
                  </w:txbxContent>
                </v:textbox>
                <w10:wrap type="none"/>
              </v:rect>
            </w:pict>
          </mc:Fallback>
        </mc:AlternateContent>
      </w:r>
    </w:p>
    <w:tbl>
      <w:tblPr>
        <w:tblW w:w="8473" w:type="dxa"/>
        <w:jc w:val="left"/>
        <w:tblInd w:w="0" w:type="dxa"/>
        <w:tblLayout w:type="fixed"/>
        <w:tblCellMar>
          <w:top w:w="28" w:type="dxa"/>
          <w:left w:w="28" w:type="dxa"/>
          <w:bottom w:w="28" w:type="dxa"/>
          <w:right w:w="28" w:type="dxa"/>
        </w:tblCellMar>
      </w:tblPr>
      <w:tblGrid>
        <w:gridCol w:w="2077"/>
        <w:gridCol w:w="1828"/>
        <w:gridCol w:w="1839"/>
        <w:gridCol w:w="799"/>
        <w:gridCol w:w="799"/>
        <w:gridCol w:w="1131"/>
      </w:tblGrid>
      <w:tr>
        <w:trPr/>
        <w:tc>
          <w:tcPr>
            <w:tcW w:w="2077"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Test Period Ending</w:t>
            </w:r>
          </w:p>
        </w:tc>
        <w:tc>
          <w:tcPr>
            <w:tcW w:w="2729"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Total Net Leverage Ratio</w:t>
            </w:r>
          </w:p>
        </w:tc>
      </w:tr>
      <w:tr>
        <w:trPr/>
        <w:tc>
          <w:tcPr>
            <w:tcW w:w="574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September 30, 2026 through and including March 31, 2027</w:t>
            </w:r>
          </w:p>
        </w:tc>
        <w:tc>
          <w:tcPr>
            <w:tcW w:w="272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4.50:1.00</w:t>
            </w:r>
          </w:p>
        </w:tc>
      </w:tr>
      <w:tr>
        <w:trPr/>
        <w:tc>
          <w:tcPr>
            <w:tcW w:w="574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June 30, 2027 through and including March 31, 2028</w:t>
            </w:r>
          </w:p>
        </w:tc>
        <w:tc>
          <w:tcPr>
            <w:tcW w:w="272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4.00:1.00</w:t>
            </w:r>
          </w:p>
        </w:tc>
      </w:tr>
      <w:tr>
        <w:trPr/>
        <w:tc>
          <w:tcPr>
            <w:tcW w:w="5744" w:type="dxa"/>
            <w:gridSpan w:val="3"/>
            <w:tcBorders>
              <w:top w:val="single" w:sz="4" w:space="0" w:color="000000"/>
              <w:left w:val="single" w:sz="4" w:space="0" w:color="000000"/>
            </w:tcBorders>
            <w:tcMar>
              <w:top w:w="30" w:type="dxa"/>
              <w:left w:w="51"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June 30, 2028 through and including March 31, 2029</w:t>
            </w:r>
          </w:p>
        </w:tc>
        <w:tc>
          <w:tcPr>
            <w:tcW w:w="2729" w:type="dxa"/>
            <w:gridSpan w:val="3"/>
            <w:tcBorders>
              <w:top w:val="single" w:sz="4" w:space="0" w:color="000000"/>
              <w:left w:val="single" w:sz="4" w:space="0" w:color="000000"/>
              <w:right w:val="single" w:sz="4" w:space="0" w:color="000000"/>
            </w:tcBorders>
            <w:tcMar>
              <w:top w:w="30" w:type="dxa"/>
              <w:left w:w="51" w:type="dxa"/>
              <w:bottom w:w="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3.50:1.00</w:t>
            </w:r>
          </w:p>
        </w:tc>
      </w:tr>
      <w:tr>
        <w:trPr/>
        <w:tc>
          <w:tcPr>
            <w:tcW w:w="5744" w:type="dxa"/>
            <w:gridSpan w:val="3"/>
            <w:tcBorders>
              <w:top w:val="single" w:sz="4" w:space="0" w:color="000000"/>
              <w:left w:val="single" w:sz="4" w:space="0" w:color="000000"/>
              <w:bottom w:val="single" w:sz="4" w:space="0" w:color="000000"/>
            </w:tcBorders>
            <w:tcMar>
              <w:top w:w="30" w:type="dxa"/>
              <w:left w:w="51"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June 30, 2029, and thereafter</w:t>
            </w:r>
          </w:p>
        </w:tc>
        <w:tc>
          <w:tcPr>
            <w:tcW w:w="2729" w:type="dxa"/>
            <w:gridSpan w:val="3"/>
            <w:tcBorders>
              <w:top w:val="single" w:sz="4" w:space="0" w:color="000000"/>
              <w:left w:val="single" w:sz="4" w:space="0" w:color="000000"/>
              <w:bottom w:val="single" w:sz="4" w:space="0" w:color="000000"/>
              <w:right w:val="single" w:sz="4" w:space="0" w:color="000000"/>
            </w:tcBorders>
            <w:tcMar>
              <w:top w:w="30" w:type="dxa"/>
              <w:left w:w="51" w:type="dxa"/>
              <w:bottom w:w="30" w:type="dxa"/>
              <w:right w:w="51"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3.00:1.00</w:t>
            </w:r>
          </w:p>
        </w:tc>
      </w:tr>
    </w:tbl>
    <w:p>
      <w:pPr>
        <w:pStyle w:val="TextBody"/>
        <w:bidi w:val="0"/>
        <w:spacing w:before="0" w:after="0"/>
        <w:jc w:val="both"/>
        <w:rPr/>
      </w:pPr>
      <w:r>
        <w:rPr/>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Net Capital Expenditures</w:t>
      </w:r>
      <w:r>
        <w:rPr>
          <w:rFonts w:ascii="Times New Roman;serif" w:hAnsi="Times New Roman;serif"/>
          <w:b w:val="false"/>
          <w:color w:val="000000"/>
          <w:sz w:val="24"/>
        </w:rPr>
        <w:t xml:space="preserve">. Make Net Capital Expenditures in any Test Period costing in excess of the greater of (x) $65,000,000 in the aggregate during any Test Period or (y) seven percent (7%) of revenues during such Test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amounts shall be calculated on a Pro Forma Basis to give effect to any Subject Transaction as if it occurred on the first day of the reference period;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for purposes of testing compliance with this </w:t>
      </w:r>
      <w:r>
        <w:rPr>
          <w:rFonts w:ascii="Times New Roman;serif" w:hAnsi="Times New Roman;serif"/>
          <w:b w:val="false"/>
          <w:color w:val="000000"/>
          <w:sz w:val="24"/>
          <w:u w:val="single"/>
        </w:rPr>
        <w:t>Section 6.08(b)</w:t>
      </w:r>
      <w:r>
        <w:rPr>
          <w:rFonts w:ascii="Times New Roman;serif" w:hAnsi="Times New Roman;serif"/>
          <w:b w:val="false"/>
          <w:color w:val="000000"/>
          <w:sz w:val="24"/>
        </w:rPr>
        <w:t>, as of the last day of (x) the first full fiscal quarter ending after the Restatement Effective Date, Net Capital Expenditures shall be the amount of Net Capital Expenditures for such fiscal quarter then-ended multiplied by 4, (y) the second full fiscal quarter ending after the Restatement Effective Date, Net Capital Expenditures shall be the amount of Net Capital Expenditures for the two fiscal quarters then-ended multiplied by 2 and (z) the third full fiscal quarter ending after the Restatement Effective Date, Net Capital Expenditures shall be the amount of Net Capital Expenditures for the three fiscal quarters then-ended multiplied by 4/3.</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6.09    </w:t>
      </w:r>
      <w:r>
        <w:rPr>
          <w:rFonts w:ascii="Times New Roman;serif" w:hAnsi="Times New Roman;serif"/>
          <w:b w:val="false"/>
          <w:color w:val="000000"/>
          <w:sz w:val="24"/>
          <w:u w:val="single"/>
        </w:rPr>
        <w:t>Prepayments of Certain Indebtedness; Modifications of Organizational Documents and Other Documents, etc</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Directly or indirectly make any voluntary or optional payment or prepayment of, or repurchase, redemption or acquisition for value of, prior to any scheduled repayment, sinking fund payment or maturity, any Subordinated Indebtedness, Junior Secured Indebtedness and Unsecured Indebtedness outstanding under the documents evidencing any such Indebtedness that is, in each case, in excess of $5,000,000 in the aggregate (each, a “</w:t>
      </w:r>
      <w:r>
        <w:rPr>
          <w:rFonts w:ascii="Times New Roman;serif" w:hAnsi="Times New Roman;serif"/>
          <w:b/>
          <w:color w:val="000000"/>
          <w:sz w:val="24"/>
        </w:rPr>
        <w:t>Restricted Debt Payment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except</w:t>
      </w:r>
      <w:r>
        <w:rPr>
          <w:color w:val="000000"/>
        </w:rPr>
        <w:t xml:space="preserve"> </w:t>
      </w:r>
      <w:r>
        <w:rPr>
          <w:rFonts w:ascii="Times New Roman;serif" w:hAnsi="Times New Roman;serif"/>
          <w:b w:val="false"/>
          <w:color w:val="000000"/>
          <w:sz w:val="24"/>
        </w:rPr>
        <w:t xml:space="preserve">(i) to the extent not prohibited by any applicable Intercreditor Agreement or any subordination terms applicable to any such Subordinated Indebtedness, Junior Secured Indebtedness or Unsecured Indebtedness (including pursuant to a Permitted Refinancing) with the Cumulative Amount;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(A) no Event of Default shall have occurred and be continuing at the time of the making of such Restricted Debt Payment or would immediately result therefrom, and (B) on a Pro Forma Basis, the Total Net Leverage Ratio as of the Applicable Date of Determination and for the most recently ended Test Period shall be no greater than 1.50 to 1.00, (ii) in connection with any Permitted Refinancing thereof or to the extent made with the proceeds of Qualified Capital Stock of Issuer that are Not Otherwise Applied;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in the case of any refinancing of Permitted Junior Refinancing Debt or other Indebtedness subject to any applicable Intercreditor Agreement, such refinancing must be </w:t>
      </w:r>
    </w:p>
    <w:p>
      <w:pPr>
        <w:pStyle w:val="TextBody"/>
        <w:bidi w:val="0"/>
        <w:spacing w:before="0" w:after="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permitted by such Intercreditor Agreement or, if applicable, the other customary subordination documentation related to such Permitted Junior Refinancing Debt or such other Indebtedness, (iii) prepaying, redeeming, purchasing, defeasing or otherwise satisfying prior to the scheduled maturity thereof (or setting apart any property for such purpose) (A) in the case of any Group Member that is not a Note Party, any Indebtedness owing by such Group Member to any other Group Member, (B) otherwise, any Indebtedness owing to any Note Party and (C) so long as no Event of Default under </w:t>
      </w:r>
      <w:r>
        <w:rPr>
          <w:rFonts w:ascii="Times New Roman;serif" w:hAnsi="Times New Roman;serif"/>
          <w:b w:val="false"/>
          <w:color w:val="000000"/>
          <w:sz w:val="24"/>
          <w:u w:val="single"/>
        </w:rPr>
        <w:t>Section 8.01(a)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w:t>
      </w:r>
      <w:r>
        <w:rPr>
          <w:rFonts w:ascii="Times New Roman;serif" w:hAnsi="Times New Roman;serif"/>
          <w:b w:val="false"/>
          <w:color w:val="000000"/>
          <w:sz w:val="24"/>
        </w:rPr>
        <w:t xml:space="preserve">is continuing or would immediately result therefrom, any mandatory prepayments of Indebtedness incurred under </w:t>
      </w:r>
      <w:r>
        <w:rPr>
          <w:rFonts w:ascii="Times New Roman;serif" w:hAnsi="Times New Roman;serif"/>
          <w:b w:val="false"/>
          <w:color w:val="000000"/>
          <w:sz w:val="24"/>
          <w:u w:val="single"/>
        </w:rPr>
        <w:t>clauses (b)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w:t>
      </w:r>
      <w:r>
        <w:rPr>
          <w:color w:val="000000"/>
        </w:rPr>
        <w:t xml:space="preserve"> </w:t>
      </w:r>
      <w:r>
        <w:rPr>
          <w:rFonts w:ascii="Times New Roman;serif" w:hAnsi="Times New Roman;serif"/>
          <w:b w:val="false"/>
          <w:color w:val="000000"/>
          <w:sz w:val="24"/>
        </w:rPr>
        <w:t xml:space="preserve">and any Permitted Refinancing thereof, (iv) making regularly scheduled or otherwise required payments of interest and mandatory prepayments in respect of such Subordinated Indebtedness, Junior Secured Indebtedness or Unsecured Indebtedness (and any Permitted Refinancing of any of the foregoing) and payments of fees, expenses and indemnification obligations thereunder, (v) to the extent that such payment is made solely with cash contributions from the issuance of Equity Interests (other than Disqualified Capital Stock) of the Issuer which are Not Otherwise Applied, (vi) converting (or exchanging) any Indebtedness to (or for) Qualified Capital Stock of Issuer, (vii) if applicable, any AHYDO Catch-Up Payments with respect thereto, (viii) making prepayments, redemptions, purchases, defeasance or other satisfaction of Indebtedness in an amount not to exceed $20,000,000 </w:t>
      </w:r>
      <w:r>
        <w:rPr>
          <w:rFonts w:ascii="Times New Roman;serif" w:hAnsi="Times New Roman;serif"/>
          <w:b w:val="false"/>
          <w:i/>
          <w:color w:val="000000"/>
          <w:sz w:val="24"/>
        </w:rPr>
        <w:t xml:space="preserve">less </w:t>
      </w:r>
      <w:r>
        <w:rPr>
          <w:rFonts w:ascii="Times New Roman;serif" w:hAnsi="Times New Roman;serif"/>
          <w:b w:val="false"/>
          <w:color w:val="000000"/>
          <w:sz w:val="24"/>
        </w:rPr>
        <w:t xml:space="preserve">the aggregate amount re-allocated to </w:t>
      </w:r>
      <w:r>
        <w:rPr>
          <w:rFonts w:ascii="Times New Roman;serif" w:hAnsi="Times New Roman;serif"/>
          <w:b w:val="false"/>
          <w:color w:val="000000"/>
          <w:sz w:val="24"/>
          <w:u w:val="single"/>
        </w:rPr>
        <w:t>Section 6.03(y)</w:t>
      </w:r>
      <w:r>
        <w:rPr>
          <w:color w:val="000000"/>
        </w:rPr>
        <w:t xml:space="preserve"> </w:t>
      </w:r>
      <w:r>
        <w:rPr>
          <w:rFonts w:ascii="Times New Roman;serif" w:hAnsi="Times New Roman;serif"/>
          <w:b w:val="false"/>
          <w:color w:val="000000"/>
          <w:sz w:val="24"/>
        </w:rPr>
        <w:t xml:space="preserve">by the Issuer pursuant to </w:t>
      </w:r>
      <w:r>
        <w:rPr>
          <w:rFonts w:ascii="Times New Roman;serif" w:hAnsi="Times New Roman;serif"/>
          <w:b w:val="false"/>
          <w:color w:val="000000"/>
          <w:sz w:val="24"/>
          <w:u w:val="single"/>
        </w:rPr>
        <w:t>Section 6.03(y)</w:t>
      </w:r>
      <w:r>
        <w:rPr>
          <w:rFonts w:ascii="Times New Roman;serif" w:hAnsi="Times New Roman;serif"/>
          <w:b w:val="false"/>
          <w:color w:val="000000"/>
          <w:sz w:val="24"/>
        </w:rPr>
        <w:t xml:space="preserve">, (ix) making prepayments, redemptions, purchases, defeasance or other satisfaction of such Indebtedness, so long as no Event of Default has occurred and is continuing and the Total Net Leverage Ratio computed on a Pro Forma Basis as of the Applicable Date of Determination and for the most recently ended Test Period is no greater than 1.00 to 1.00, (x) [reserved], (xi) in connection with the refinancing of any Indebtedness acquired in connection with a Permitted Acquisition or similar Investment to the extent such Indebtedness was not incurred in contemplation of such Permitted Acquisition or similar Investment, and (xii) any payments of intercompany obligations permitted under subordination terms approved by the Trustee pursuant to </w:t>
      </w:r>
      <w:r>
        <w:rPr>
          <w:rFonts w:ascii="Times New Roman;serif" w:hAnsi="Times New Roman;serif"/>
          <w:b w:val="false"/>
          <w:color w:val="000000"/>
          <w:sz w:val="24"/>
          <w:u w:val="single"/>
        </w:rPr>
        <w:t>Section 6.01(l)</w:t>
      </w:r>
      <w:r>
        <w:rPr>
          <w:color w:val="000000"/>
        </w:rPr>
        <w:t xml:space="preserve"> </w:t>
      </w:r>
      <w:r>
        <w:rPr>
          <w:rFonts w:ascii="Times New Roman;serif" w:hAnsi="Times New Roman;serif"/>
          <w:b w:val="false"/>
          <w:color w:val="000000"/>
          <w:sz w:val="24"/>
        </w:rPr>
        <w:t>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amend, modify or change any term or condition of documents evidencing Subordinated Indebtedness, Junior Secured Indebtedness or Unsecured Indebtedness in violation of an Intercreditor Agreement or applicable documents governing such Indebtedness without the consent of the Controlling Parties (not to be unreasonably withheld, conditioned, or delayed);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to the extent that its shares are secured in favor of the Secured Parties pursuant to any Security Agreement, terminate, amend, modify or change any of its Organizational Documents (including by the filing or modification of any certificate of designation) or any agreement to which it is a party with respect to its Equity Interests (including any stockholders’ agreement), other than any such amendments, modifications or changes or such new agreements which are not materially adverse to the interests of the Holders.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6.10    </w:t>
      </w:r>
      <w:r>
        <w:rPr>
          <w:rFonts w:ascii="Times New Roman;serif" w:hAnsi="Times New Roman;serif"/>
          <w:b w:val="false"/>
          <w:color w:val="000000"/>
          <w:sz w:val="24"/>
          <w:u w:val="single"/>
        </w:rPr>
        <w:t>No Further Negative Pledge; Subsidiary Distributions</w:t>
      </w:r>
      <w:r>
        <w:rPr>
          <w:rFonts w:ascii="Times New Roman;serif" w:hAnsi="Times New Roman;serif"/>
          <w:b w:val="false"/>
          <w:color w:val="000000"/>
          <w:sz w:val="24"/>
        </w:rPr>
        <w:t xml:space="preserve">. Enter into any agreement, instrument, deed or lease which (a) prohibits or limits the ability of any Note Party to create, incur, assume or suffer to exist any Lien upon any of their respective properties </w:t>
      </w:r>
    </w:p>
    <w:p>
      <w:pPr>
        <w:pStyle w:val="TextBody"/>
        <w:bidi w:val="0"/>
        <w:spacing w:before="0" w:after="0"/>
        <w:jc w:val="both"/>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revenues, whether now owned or hereafter acquired, or which requires the grant of any security for an obligation if security is granted for another obligation or (b) prohibits, restricts or imposes any condition upon the ability of any Restricted Subsidiary that is not a Note Party from paying dividends or other distributions with respect to any of its Equity Interests or to make or repay loans or advances to any Restricted Subsidiary or to guarantee Indebtedness of any Restricted Subsidiary, in each case, except the following: (i) this Indenture and the other Note Documents, and any documents governing any Additional Notes, any Permitted Additional Debt, any Indebtedness incurred pursuant to </w:t>
      </w:r>
      <w:r>
        <w:rPr>
          <w:rFonts w:ascii="Times New Roman;serif" w:hAnsi="Times New Roman;serif"/>
          <w:b w:val="false"/>
          <w:color w:val="000000"/>
          <w:sz w:val="24"/>
          <w:u w:val="single"/>
        </w:rPr>
        <w:t>Section 6.01(t)</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6.01(w)</w:t>
      </w:r>
      <w:r>
        <w:rPr>
          <w:color w:val="000000"/>
        </w:rPr>
        <w:t xml:space="preserve"> </w:t>
      </w:r>
      <w:r>
        <w:rPr>
          <w:rFonts w:ascii="Times New Roman;serif" w:hAnsi="Times New Roman;serif"/>
          <w:b w:val="false"/>
          <w:color w:val="000000"/>
          <w:sz w:val="24"/>
        </w:rPr>
        <w:t xml:space="preserve">or, in each case, any Notes Refinancing Indebtedness or Permitted Refinancing in respect thereof;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Additional Notes, Permitted Additional Debt, Notes Refinancing Indebtedness, and other Indebtedness are no more materially restrictive with respect to such prohibitions, restrictions and conditions than the applicable terms of this Indenture; (ii) covenants in documents creating Liens permitted by </w:t>
      </w:r>
      <w:r>
        <w:rPr>
          <w:rFonts w:ascii="Times New Roman;serif" w:hAnsi="Times New Roman;serif"/>
          <w:b w:val="false"/>
          <w:color w:val="000000"/>
          <w:sz w:val="24"/>
          <w:u w:val="single"/>
        </w:rPr>
        <w:t>Section 6.02</w:t>
      </w:r>
      <w:r>
        <w:rPr>
          <w:color w:val="000000"/>
        </w:rPr>
        <w:t xml:space="preserve"> </w:t>
      </w:r>
      <w:r>
        <w:rPr>
          <w:rFonts w:ascii="Times New Roman;serif" w:hAnsi="Times New Roman;serif"/>
          <w:b w:val="false"/>
          <w:color w:val="000000"/>
          <w:sz w:val="24"/>
        </w:rPr>
        <w:t xml:space="preserve">prohibiting further Liens on the properties encumbered thereby; (iii) the ABL Documents; (iv) any other agreement that does not restrict in any manner (directly or indirectly) Liens created pursuant to the Note Documents on any Collateral securing the Obligations and does not require the direct or indirect granting of any Lien securing any Indebtedness or other obligation by virtue of the granting of Liens on or pledge of property of any Note Party to secure the Obligations; (v) customary covenants and restrictions in any indenture, agreement, document, instrument or other arrangement relating to non-material assets or business of any Subsidiary existing prior to the consummation of a Permitted Acquisition in which such Subsidiary was acquired (and not created in contemplation of such Permitted Acquisition); (vi) customary restrictions on cash or other deposits; (vii) net worth provisions in leases and other agreements entered into by a Group Member in the ordinary course of business; (viii) contractual encumbrances or restrictions existing on the Restatement Effective Date and identified on </w:t>
      </w:r>
      <w:r>
        <w:rPr>
          <w:rFonts w:ascii="Times New Roman;serif" w:hAnsi="Times New Roman;serif"/>
          <w:b w:val="false"/>
          <w:color w:val="000000"/>
          <w:sz w:val="24"/>
          <w:u w:val="single"/>
        </w:rPr>
        <w:t>Schedule 6.10</w:t>
      </w:r>
      <w:r>
        <w:rPr>
          <w:rFonts w:ascii="Times New Roman;serif" w:hAnsi="Times New Roman;serif"/>
          <w:b w:val="false"/>
          <w:color w:val="000000"/>
          <w:sz w:val="24"/>
        </w:rPr>
        <w:t xml:space="preserve">; and (ix) any prohibition or limitation that (A) exists pursuant to applicable Requirements of Law, (B) consists of customary restrictions and conditions contained in any agreement relating to the sale of any property permitted under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stock sale agreement, joint venture agreement, sale/leaseback agreement, purchase agreements, or acquisition agreements (including by way of merger, acquisition or consolidation) entered into by a Note Party or any Restricted Subsidiary solely to the extent pending the consummation of such transaction, which covenant or restriction is limited to the assets that are the subject of such agreements, (C) restricts subletting or assignment of leasehold interests contained in any Lease governing a leasehold interest of a Note Party or a Restricted Subsidiary, or (D) is imposed by any amendments or refinancings that are otherwise permitted by the Note Documents of the contracts, instruments or obligations referred to in immediately preceding </w:t>
      </w:r>
      <w:r>
        <w:rPr>
          <w:rFonts w:ascii="Times New Roman;serif" w:hAnsi="Times New Roman;serif"/>
          <w:b w:val="false"/>
          <w:color w:val="000000"/>
          <w:sz w:val="24"/>
          <w:u w:val="single"/>
        </w:rPr>
        <w:t>clauses (i)</w:t>
      </w:r>
      <w:r>
        <w:rPr>
          <w:color w:val="000000"/>
        </w:rPr>
        <w:t>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(ix)</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that, such amendments and refinancings are no more materially restrictive with respect to such prohibitions and limitations than those prior to such amendment or refinancing.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6.11    </w:t>
      </w:r>
      <w:r>
        <w:rPr>
          <w:rFonts w:ascii="Times New Roman;serif" w:hAnsi="Times New Roman;serif"/>
          <w:b w:val="false"/>
          <w:color w:val="000000"/>
          <w:sz w:val="24"/>
          <w:u w:val="single"/>
        </w:rPr>
        <w:t>Nature of Business</w:t>
      </w:r>
      <w:r>
        <w:rPr>
          <w:rFonts w:ascii="Times New Roman;serif" w:hAnsi="Times New Roman;serif"/>
          <w:b w:val="false"/>
          <w:color w:val="000000"/>
          <w:sz w:val="24"/>
        </w:rPr>
        <w:t>. The Issuer and its Restricted Subsidiaries will not engage in any material line of business substantially different from the lines of business conducted by the Issuer and its Restricted Subsidiaries on the Restatement Effective Date or any business reasonably related, similar, corollary, complementary, incidental or ancillary thereto.</w:t>
      </w: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6.12    </w:t>
      </w:r>
      <w:r>
        <w:rPr>
          <w:rFonts w:ascii="Times New Roman;serif" w:hAnsi="Times New Roman;serif"/>
          <w:b w:val="false"/>
          <w:color w:val="000000"/>
          <w:sz w:val="24"/>
          <w:u w:val="single"/>
        </w:rPr>
        <w:t>Fiscal Year</w:t>
      </w:r>
      <w:r>
        <w:rPr>
          <w:rFonts w:ascii="Times New Roman;serif" w:hAnsi="Times New Roman;serif"/>
          <w:b w:val="false"/>
          <w:color w:val="000000"/>
          <w:sz w:val="24"/>
        </w:rPr>
        <w:t xml:space="preserve">. Change its fiscal year end date to a date other than December 31, other than with prior written notice to the Trustee.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6.13    </w:t>
      </w:r>
      <w:r>
        <w:rPr>
          <w:rFonts w:ascii="Times New Roman;serif" w:hAnsi="Times New Roman;serif"/>
          <w:b w:val="false"/>
          <w:color w:val="000000"/>
          <w:sz w:val="24"/>
          <w:u w:val="single"/>
        </w:rPr>
        <w:t>Hedging Obligations</w:t>
      </w:r>
      <w:r>
        <w:rPr>
          <w:rFonts w:ascii="Times New Roman;serif" w:hAnsi="Times New Roman;serif"/>
          <w:b w:val="false"/>
          <w:color w:val="000000"/>
          <w:sz w:val="24"/>
        </w:rPr>
        <w:t xml:space="preserve">. None of the Note Parties will, nor will they permit any of their Restricted Subsidiaries to, incur, create, or permit to exist any Hedging Obligations, other than Hedging Obligations with respect to interest rates, foreign currency exchange rates or commodity prices not entered into for speculative purposes.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w:t>
        <w:br/>
        <w:t>GUARANTEE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7.01    </w:t>
      </w:r>
      <w:r>
        <w:rPr>
          <w:rFonts w:ascii="Times New Roman;serif" w:hAnsi="Times New Roman;serif"/>
          <w:b w:val="false"/>
          <w:color w:val="000000"/>
          <w:sz w:val="24"/>
          <w:u w:val="single"/>
        </w:rPr>
        <w:t>Guarantees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For value received, each Guarantor, fully and unconditionally, jointly and severally with each other Guarantor and each other Person which may become a Guarantor hereunder, guarantees the Notes and obligations of the Issuer hereunder and thereunder, and guarantees to each Holder of a Note authenticated and delivered by the Trustee and to the Trustee, that: (i) the principal of and premium, if any, and interest, if any, on the Notes shall be paid in full when due, whether at stated maturity, by acceleration, call for redemption or otherwise, together with interest on the overdue principal, if any, and interest on any overdue interest, if any, to the extent lawful, and all other Obligations of the Issuer to the Holders or the Trustee under this Indenture or the Notes shall be paid in full or performed, all in accordance with the terms hereof and thereof; and (ii) in case of any extension of time of payment or renewal of any Notes or of any such other obligations, the same shall be paid in full when due or performed in accordance with the terms of the extension or renewal, whether at stated maturity, by acceleration or otherwise. Each of the Guarantees shall be a guarantee of payment and not of collection.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Guarantor hereby agrees that its obligations hereunder shall be unconditional, irrespective of the validity, regularity or enforceability of the Notes or this Indenture, the absence of any action to enforce the same, any waiver or consent by any Holder with respect to any provisions hereof or thereof, the recovery of any judgment against the Issuer, any action to enforce the same or any other circumstance which might otherwise constitute a legal or equitable discharge or defense of a Guarantor.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Each Guarantor hereby waives the benefits of diligence, presentment, demand for payment, filing of claims with a court in the event of insolvency or bankruptcy of the Issuer, any right to require a proceeding first against the Issuer or any other Person, protest, notice and all demands whatsoever and covenants that the Guarantee of such Guarantor shall not be discharged as to any Note or this Indenture except by complete performance of the obligations contained in such Note and this Indenture and such Guarantee. Each of the Guarantors hereby agrees that, in the event of a Default in payment of principal or premium, if any, or interest on any Note, whether at its stated maturity, by acceleration, call for redemption, purchase or otherwise, legal proceedings may be instituted by the Trustee on behalf of, or by, the Holder of such Note, subject to the terms and conditions set forth in this Indenture, directly against each of the Guarantors to enforce each such Guarantor’s Guarantee without first proceeding against the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Issuer or any other Guarantor. Each Guarantor agrees that if, after the occurrence and during the continuance of an Event of Default, the Trustee or any of the Holders are prevented by applicable law from exercising their respective rights to accelerate the maturity of the Notes, to collect interest on the Notes, or to enforce or exercise any other right or remedy with respect to the Notes, such Guarantor shall pay to the Trustee for the account of the Holders, upon demand therefor, the amount that would otherwise have been due and payable had such rights and remedies been permitted to be exercised by the Trustee or any of the Holders and any other amounts due and owing to the Trustee under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If any Holder or the Trustee is required by any court or otherwise to return to the Issuer or any Guarantor, or any custodian, trustee, liquidator or other similar official acting in relation to the Issuer or any Guarantor, any amount paid by any of them to the Trustee or such Holder, the Guarantee of each of the Guarantors, to the extent theretofore discharged, shall be reinstated in full force and effect. This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 xml:space="preserve">shall remain effective notwithstanding any contrary action which may be taken by the Trustee or any Holder in reliance upon such amount required to be returned. This </w:t>
      </w:r>
      <w:r>
        <w:rPr>
          <w:rFonts w:ascii="Times New Roman;serif" w:hAnsi="Times New Roman;serif"/>
          <w:b w:val="false"/>
          <w:color w:val="000000"/>
          <w:sz w:val="24"/>
          <w:u w:val="single"/>
        </w:rPr>
        <w:t>clause (d)</w:t>
      </w:r>
      <w:r>
        <w:rPr>
          <w:color w:val="000000"/>
        </w:rPr>
        <w:t xml:space="preserve"> </w:t>
      </w:r>
      <w:r>
        <w:rPr>
          <w:rFonts w:ascii="Times New Roman;serif" w:hAnsi="Times New Roman;serif"/>
          <w:b w:val="false"/>
          <w:color w:val="000000"/>
          <w:sz w:val="24"/>
        </w:rPr>
        <w:t>shall survive the termination of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Each Guarantor further agrees that, as between each Guarantor, on the one hand, and the Holders and the Trustee, on the other hand, (x) the maturity of the obligations guaranteed hereby may be accelerated as provided in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for the purposes of the Guarantee of such Guarantor, notwithstanding any stay, injunction or other prohibition preventing such acceleration in respect of the obligations guaranteed hereby, and (y) in the event of any acceleration of such obligations as provided in </w:t>
      </w:r>
      <w:r>
        <w:rPr>
          <w:rFonts w:ascii="Times New Roman;serif" w:hAnsi="Times New Roman;serif"/>
          <w:b w:val="false"/>
          <w:color w:val="000000"/>
          <w:sz w:val="24"/>
          <w:u w:val="single"/>
        </w:rPr>
        <w:t>Article VIII</w:t>
      </w:r>
      <w:r>
        <w:rPr>
          <w:rFonts w:ascii="Times New Roman;serif" w:hAnsi="Times New Roman;serif"/>
          <w:b w:val="false"/>
          <w:color w:val="000000"/>
          <w:sz w:val="24"/>
        </w:rPr>
        <w:t>, such obligations (whether or not due and payable) shall forthwith become due and payable by each Guarantor for the purpose of the Guarantee of such Guarantor.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Each Guarantor that makes a payment for distribution under its Guarantee is entitled upon payment in full of all guaranteed obligations under this Indenture to seek contribution from each other Guarantor in a pro rata amount of such payment based on the respective net assets of all the Guarantors at the time of such payment in accordance with GAAP.</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7.02    </w:t>
      </w:r>
      <w:r>
        <w:rPr>
          <w:rFonts w:ascii="Times New Roman;serif" w:hAnsi="Times New Roman;serif"/>
          <w:b w:val="false"/>
          <w:color w:val="000000"/>
          <w:sz w:val="24"/>
          <w:u w:val="single"/>
        </w:rPr>
        <w:t>Execution and Delivery of Guarantee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To evidence its Guarantee set forth in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each Guarantor agrees that this Indenture or a supplemental indenture in substantially the form attached hereto as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 xml:space="preserve">shall be executed on behalf of such Guarantor by an Officer of such Guarantor (or, if an Officer is not available, by a board member or director) on behalf of such Guarantor by manual, electronic or facsimile signature. Each Guarantor hereby agrees that its Guarantee set forth in </w:t>
      </w:r>
      <w:r>
        <w:rPr>
          <w:rFonts w:ascii="Times New Roman;serif" w:hAnsi="Times New Roman;serif"/>
          <w:b w:val="false"/>
          <w:color w:val="000000"/>
          <w:sz w:val="24"/>
          <w:u w:val="single"/>
        </w:rPr>
        <w:t>Section 7.01</w:t>
      </w:r>
      <w:r>
        <w:rPr>
          <w:color w:val="000000"/>
        </w:rPr>
        <w:t xml:space="preserve"> </w:t>
      </w:r>
      <w:r>
        <w:rPr>
          <w:rFonts w:ascii="Times New Roman;serif" w:hAnsi="Times New Roman;serif"/>
          <w:b w:val="false"/>
          <w:color w:val="000000"/>
          <w:sz w:val="24"/>
        </w:rPr>
        <w:t>hereof shall remain in full force and effect notwithstanding the absence of the endorsement of any notation of such Guarantee on the Notes. In case the officer, board member or director of such Guarantor whose signature is on this Indenture or supplemental indenture, as applicable, no longer holds such or any office at the time the Trustee authenticates any Note, the Guarantee shall be valid nevertheless.</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delivery of any Note by the Trustee, after the authentication thereof hereunder, shall constitute due delivery of the Guarantee set forth in this Indenture on behalf of the Guarantors.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7.03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case any provision of any Guarantee shall be invalid, illegal or unenforceable, the validity, legality and enforceability of the remaining provisions shall not in any way be affected or impaired thereby.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7.04    </w:t>
      </w:r>
      <w:r>
        <w:rPr>
          <w:rFonts w:ascii="Times New Roman;serif" w:hAnsi="Times New Roman;serif"/>
          <w:b w:val="false"/>
          <w:color w:val="000000"/>
          <w:sz w:val="24"/>
          <w:u w:val="single"/>
        </w:rPr>
        <w:t>Limitation of Guarantors’ Liability</w:t>
      </w:r>
      <w:r>
        <w:rPr>
          <w:rFonts w:ascii="Times New Roman;serif" w:hAnsi="Times New Roman;serif"/>
          <w:b w:val="false"/>
          <w:color w:val="000000"/>
          <w:sz w:val="24"/>
        </w:rPr>
        <w:t>. Each Guarantor and by its acceptance hereof each Holder confirms that it is the intention of all such parties that the Guarantee of such Guarantor not constitute a fraudulent transfer or conveyance for purposes of the Debtor Relief Law, the Uniform Fraudulent Conveyance Act, the Uniform Fraudulent Transfer Act or any similar federal or state law or the provisions of its local law relating to fraudulent transfer or conveyance. To effectuate the foregoing intention, the Trustee, the Holders and the Guarantors hereby irrevocably agree that the obligations of such Guarantor under its Guarantee and the related security granted as Collateral therefor (other than a company that is a direct or indirect parent of the Issuer) shall be limited to the maximum amount that will not, after giving effect to all other contingent and fixed liabilities of such Guarantor (including, without limitation, any guarantees under the ABL Credit Agreement) and after giving effect to any collections from, rights to receive contribution from or payments made by or on behalf of any other Guarantor in respect of the obligations of such other Guarantor under its Guarantee or the related security granted as Collateral therefor, result in the obligations of such Guarantor under its Guarantee or the related security granted as Collateral therefor constituting a fraudulent conveyance, fraudulent preference or fraudulent transfer or otherwise reviewable under applicable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7.05    </w:t>
      </w:r>
      <w:r>
        <w:rPr>
          <w:rFonts w:ascii="Times New Roman;serif" w:hAnsi="Times New Roman;serif"/>
          <w:b w:val="false"/>
          <w:color w:val="000000"/>
          <w:sz w:val="24"/>
          <w:u w:val="single"/>
        </w:rPr>
        <w:t>Releases</w:t>
      </w:r>
      <w:r>
        <w:rPr>
          <w:rFonts w:ascii="Times New Roman;serif" w:hAnsi="Times New Roman;serif"/>
          <w:b w:val="false"/>
          <w:color w:val="000000"/>
          <w:sz w:val="24"/>
        </w:rPr>
        <w:t>. A Guarantor shall be automatically released from its Obligations under its Guarantee and this Indenture (without the need for any action by any party) upon: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any sale or other disposition of all or substantially all of the assets of such Guarantor (by merger, consolidation or otherwise) to a Person that is not (either before or after giving effect to such transaction) the Issuer or a Restricted Subsidiary, if the sale or other disposition does not violate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of this Indenture;</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any sale, exchange or transfer (by merger, consolidation or otherwise) of all or a portion of the Equity Interests of such Guarantor after which the applicable Guarantor is no longer a Restricted Subsidiary, which sale, exchange or transfer does not violate </w:t>
      </w:r>
      <w:r>
        <w:rPr>
          <w:rFonts w:ascii="Times New Roman;serif" w:hAnsi="Times New Roman;serif"/>
          <w:b w:val="false"/>
          <w:color w:val="000000"/>
          <w:sz w:val="24"/>
          <w:u w:val="single"/>
        </w:rPr>
        <w:t>Section 6.06</w:t>
      </w:r>
      <w:r>
        <w:rPr>
          <w:color w:val="000000"/>
        </w:rPr>
        <w:t xml:space="preserve"> </w:t>
      </w:r>
      <w:r>
        <w:rPr>
          <w:rFonts w:ascii="Times New Roman;serif" w:hAnsi="Times New Roman;serif"/>
          <w:b w:val="false"/>
          <w:color w:val="000000"/>
          <w:sz w:val="24"/>
        </w:rPr>
        <w:t>of this Indenture;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the proper designation of such Guarantor by the Issuer as an Unrestricted Subsidiary in accordance with the terms of this Indenture;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[reserved];</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124</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if the Issuer exercises its Legal Defeasance option or its Covenant Defeasance option pursuant to Section 11.02 or Section 11.03 or if its Obligations under this Indenture are discharged in accordance with Section 11.08;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liquidation or dissolution of such Guarantor; provided no Default or Event of Default has occurred and is continuing;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Issuer delivering to the Trustee an Officer’s Certificate and an Opinion of Counsel to the effect that all conditions precedent provided for in this Indenture relating to the release of such Guarantor’s Guarantee have been complied with.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Upon the release of any Guarantee in accordance with this Indenture, the Trustee shall execute any documents reasonably requested in order to evidence the release of the Guarantor from its obligations under its Guarantee.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7.06    </w:t>
      </w:r>
      <w:r>
        <w:rPr>
          <w:rFonts w:ascii="Times New Roman;serif" w:hAnsi="Times New Roman;serif"/>
          <w:b w:val="false"/>
          <w:color w:val="000000"/>
          <w:sz w:val="24"/>
          <w:u w:val="single"/>
        </w:rPr>
        <w:t>Benefits Acknowledged</w:t>
      </w:r>
      <w:r>
        <w:rPr>
          <w:rFonts w:ascii="Times New Roman;serif" w:hAnsi="Times New Roman;serif"/>
          <w:b w:val="false"/>
          <w:color w:val="000000"/>
          <w:sz w:val="24"/>
        </w:rPr>
        <w:t>. Each Guarantor acknowledges that it will receive direct and indirect benefits from the financing arrangements contemplated by this Indenture and that its guarantee and waivers pursuant to its Guarantee are knowingly made in contemplation of such benefits.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VIII</w:t>
        <w:br/>
        <w:t>EVENTS OF DEFAULT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8.01    </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For so long as this Indenture remains outstanding, upon the occurrence and during the continuance of any of the following events (each an “</w:t>
      </w:r>
      <w:r>
        <w:rPr>
          <w:rFonts w:ascii="Times New Roman;serif" w:hAnsi="Times New Roman;serif"/>
          <w:b/>
          <w:color w:val="000000"/>
          <w:sz w:val="24"/>
        </w:rPr>
        <w:t>Event of Default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default shall be made in the payment of any principal of any Notes (including any Notes required to be redeemed on a Quarterly Redemption Date) when and as the same shall become due and payable, whether at the due date thereof or at a date fixed for redemption or repurchase thereof or by acceleration thereof or otherwise;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default shall be made in the payment of any interest on any Note, fees or any other amount (other than an amount referred to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above) due under any Note Document, when and as the same shall become due and payable, and such default shall continue unremedied for a period of three (3) Business Days;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(c)    any representation or warranty made or deemed made by or on behalf of any Group Member in any Note Document or any representation, warranty, statement or information contained in any certificate furnished by or on behalf of any Group Member pursuant to any Note Document, shall prove to have been false or misleading in any material respect (or in any respect if such representation, warranty, statement or information is qualified as to “materiality” or “Material Adverse Effect”) when so made or deemed made, and such false or misleading representation, warranty, statement or information, to the extent capable of being cured, shall continue to be false, misleading or otherwise unremedied, or shall not be waived, for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period of twenty (20) days after the earlier of (i) receipt of written notice thereof from the Trustee to the Issuer or (ii) an Officer of the Issuer obtaining knowledge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default shall be made in the due observance or performance by any Group Member of any covenant, condition or agreement contained in </w:t>
      </w:r>
      <w:r>
        <w:rPr>
          <w:rFonts w:ascii="Times New Roman;serif" w:hAnsi="Times New Roman;serif"/>
          <w:b w:val="false"/>
          <w:color w:val="000000"/>
          <w:sz w:val="24"/>
          <w:u w:val="single"/>
        </w:rPr>
        <w:t>Sections 5.04(a)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5.05(a)</w:t>
      </w:r>
      <w:r>
        <w:rPr>
          <w:color w:val="000000"/>
        </w:rPr>
        <w:t xml:space="preserve"> </w:t>
      </w:r>
      <w:r>
        <w:rPr>
          <w:rFonts w:ascii="Times New Roman;serif" w:hAnsi="Times New Roman;serif"/>
          <w:b w:val="false"/>
          <w:color w:val="000000"/>
          <w:sz w:val="24"/>
        </w:rPr>
        <w:t xml:space="preserve">(only with respect to legal existence in the Issuer’s state of organization), or in </w:t>
      </w:r>
      <w:r>
        <w:rPr>
          <w:rFonts w:ascii="Times New Roman;serif" w:hAnsi="Times New Roman;serif"/>
          <w:b w:val="false"/>
          <w:color w:val="000000"/>
          <w:sz w:val="24"/>
          <w:u w:val="single"/>
        </w:rPr>
        <w:t>Article VI</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for the avoidance of doubt, an Event of Default under this </w:t>
      </w:r>
      <w:r>
        <w:rPr>
          <w:rFonts w:ascii="Times New Roman;serif" w:hAnsi="Times New Roman;serif"/>
          <w:b w:val="false"/>
          <w:color w:val="000000"/>
          <w:sz w:val="24"/>
          <w:u w:val="single"/>
        </w:rPr>
        <w:t>Section 8.01(d)</w:t>
      </w:r>
      <w:r>
        <w:rPr>
          <w:color w:val="000000"/>
        </w:rPr>
        <w:t xml:space="preserve"> </w:t>
      </w:r>
      <w:r>
        <w:rPr>
          <w:rFonts w:ascii="Times New Roman;serif" w:hAnsi="Times New Roman;serif"/>
          <w:b w:val="false"/>
          <w:color w:val="000000"/>
          <w:sz w:val="24"/>
        </w:rPr>
        <w:t xml:space="preserve">resulting from a breach of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shall be subject to cure pursuant to </w:t>
      </w:r>
      <w:r>
        <w:rPr>
          <w:rFonts w:ascii="Times New Roman;serif" w:hAnsi="Times New Roman;serif"/>
          <w:b w:val="false"/>
          <w:color w:val="000000"/>
          <w:sz w:val="24"/>
          <w:u w:val="single"/>
        </w:rPr>
        <w:t>Section 8.10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default shall be made in the due observance or performance by any Group Member of any covenant, condition or agreement contained in any Note Document other than those specified in </w:t>
      </w:r>
      <w:r>
        <w:rPr>
          <w:rFonts w:ascii="Times New Roman;serif" w:hAnsi="Times New Roman;serif"/>
          <w:b w:val="false"/>
          <w:color w:val="000000"/>
          <w:sz w:val="24"/>
          <w:u w:val="single"/>
        </w:rPr>
        <w:t>clauses (a)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immediately above and such default shall continue unremedied or shall not be waived for a period of thirty (30) days after receipt by the Issuer of written notice thereof from the Trustee to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any Group Member shall fail to (i) pay any principal or interest due in respect of any Indebtedness (other than the Obligations) or Hedging Obligations, when and as the same shall become due and payable beyond any applicable grace period, or (ii) observe or perform any other term, covenant, condition or agreement contained in any agreement or instrument evidencing or governing any such Indebtedness or Hedging Obligations, if the effect of any failure referred to in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is to cause, or to permit the holder or holders of such Indebtedness of Hedging Obligations or a trustee or other representative on its or their behalf to cause (with or without the giving of notice (other than any notice required to start any grace period), but taking into account any applicable grace periods or waivers), such Indebtedness to become due prior to its stated maturity, terminate, or become subject to a mandatory offer to purchase by the obligor;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 xml:space="preserve">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Indenture and such Indebtedness is repaid in accordance with its terms);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xml:space="preserve">, that, no Event of Default shall occur pursuant to this </w:t>
      </w:r>
      <w:r>
        <w:rPr>
          <w:rFonts w:ascii="Times New Roman;serif" w:hAnsi="Times New Roman;serif"/>
          <w:b w:val="false"/>
          <w:color w:val="000000"/>
          <w:sz w:val="24"/>
          <w:u w:val="single"/>
        </w:rPr>
        <w:t>clause (f)</w:t>
      </w:r>
      <w:r>
        <w:rPr>
          <w:color w:val="000000"/>
        </w:rPr>
        <w:t xml:space="preserve"> </w:t>
      </w:r>
      <w:r>
        <w:rPr>
          <w:rFonts w:ascii="Times New Roman;serif" w:hAnsi="Times New Roman;serif"/>
          <w:b w:val="false"/>
          <w:color w:val="000000"/>
          <w:sz w:val="24"/>
        </w:rPr>
        <w:t xml:space="preserve">unless the aggregate principal amount of all such Indebtedness or Hedging Obligations referred to in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exceeds $7,500,000 at any one time (</w:t>
      </w:r>
      <w:r>
        <w:rPr>
          <w:rFonts w:ascii="Times New Roman;serif" w:hAnsi="Times New Roman;serif"/>
          <w:b w:val="false"/>
          <w:i/>
          <w:color w:val="000000"/>
          <w:sz w:val="24"/>
        </w:rPr>
        <w:t>provided</w:t>
      </w:r>
      <w:r>
        <w:rPr>
          <w:rFonts w:ascii="Times New Roman;serif" w:hAnsi="Times New Roman;serif"/>
          <w:b w:val="false"/>
          <w:color w:val="000000"/>
          <w:sz w:val="24"/>
        </w:rPr>
        <w:t>, that, in the case of Hedging Obligations, the amount counted for this purpose shall be the amount payable by all Group Members if such Hedging Obligations were terminated at such time;</w:t>
      </w:r>
      <w:r>
        <w:rPr>
          <w:color w:val="000000"/>
          <w:u w:val="single"/>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i/>
          <w:color w:val="000000"/>
          <w:sz w:val="24"/>
        </w:rPr>
        <w:t>further</w:t>
      </w:r>
      <w:r>
        <w:rPr>
          <w:rFonts w:ascii="Times New Roman;serif" w:hAnsi="Times New Roman;serif"/>
          <w:b w:val="false"/>
          <w:color w:val="000000"/>
          <w:sz w:val="24"/>
        </w:rPr>
        <w:t>, that, such failure is unremedied and is not waived by the holders of such Indebtedness);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(g)    an involuntary proceeding shall be commenced or an involuntary petition shall be filed in a court of competent jurisdiction seeking (i) relief in respect of any Group Member (other than any Immaterial Subsidiary), or of all or substantially all of the property of any Group Member (other than any Immaterial Subsidiary), under Title 11 of the U.S. Code, as now constituted or hereafter amended, or any other federal, state or foreign bankruptcy, insolvency, receivership or similar law; (ii) the appointment of a receiver, trustee, custodian, sequestrator, conservator or similar official for any Group Member (other than any Immaterial Subsidiary) or for all or substantially of the property of any Group Member (other than any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Immaterial Subsidiary); or (iii) the winding-up or liquidation of any Group Member (other than any Immaterial Subsidiary); and such proceeding or petition shall continue undismissed for sixty (60) days or an order or decree approving or ordering any of the foregoing shall be entered;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any Group Member (other than any Immaterial Subsidiary) shall (i) voluntarily commence any proceeding, or file any petition, seeking relief under Title 11 of the United States Code, as now constituted or hereafter amended, or any other federal, state or foreign bankruptcy, insolvency, receivership or similar law; (ii) consent to the institution of, or fail to contest in a timely and appropriate manner, any proceeding or the filing of any petition described in </w:t>
      </w:r>
      <w:r>
        <w:rPr>
          <w:rFonts w:ascii="Times New Roman;serif" w:hAnsi="Times New Roman;serif"/>
          <w:b w:val="false"/>
          <w:color w:val="000000"/>
          <w:sz w:val="24"/>
          <w:u w:val="single"/>
        </w:rPr>
        <w:t>clause (g)</w:t>
      </w:r>
      <w:r>
        <w:rPr>
          <w:color w:val="000000"/>
        </w:rPr>
        <w:t xml:space="preserve"> </w:t>
      </w:r>
      <w:r>
        <w:rPr>
          <w:rFonts w:ascii="Times New Roman;serif" w:hAnsi="Times New Roman;serif"/>
          <w:b w:val="false"/>
          <w:color w:val="000000"/>
          <w:sz w:val="24"/>
        </w:rPr>
        <w:t>above; (iii) apply for or consent to the appointment of a receiver, trustee, custodian, sequestrator, conservator or similar official for any Group Member (other than any Immaterial Subsidiary) or for a substantial part of the property of any Group Member (other than any Immaterial Subsidiary); (iv) file an answer admitting the material allegations of a petition filed against it in any such proceeding; (v) make a general assignment for the benefit of creditors; (vi) become unable, admit in writing its inability, or fail generally to, pay its debts as they become due; or (vii) take any corporate (or equivalent) action for the purpose of effecting any of the foregoing;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there is entered against any Note Party or any Restricted Subsidiary (in each case other than an Immaterial Subsidiary) a final judgment or order for the payment of money in an aggregate amount in excess of $7,500,000 (to the extent not covered by independent third-party insurance) and such judgment or order shall not have been satisfied, vacated, discharged or stayed or bonded pending an appeal for a period of sixty (60) consecutive days;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(j)    any material provision of any Note Document, at any time after its execution and delivery and for any reason other than as expressly permitted hereunder or thereunder (including as a result of a transaction permitted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or solely as a result of acts or omissions by the Trustee or any Holder not arising as a result of a breach of the Note Documents by any Group Member, or the satisfaction in full in cash of all of the Obligations (other than contingent indemnification obligations and unasserted expense reimbursement obligations), ceases to be in full force and effect or, in the case of any Security Document, ceases to create a valid and perfected (A) first priority lien (subject to Permitted Liens) on the Notes Priority Collateral covered thereby and (B) second priority lien (subject to Permitted Liens) on the ABL Priority Collateral covered thereby; or any material Guarantee for any reason other than as expressly permitted hereunder (including as a result of a transaction permitted under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or solely as a result of acts or omissions by the Trustee or any Holder not arising as a result of a breach of the Note Documents by any Group Member, or the satisfaction in full of all of the guaranteed obligations (other than contingent indemnification obligations, unasserted expense reimbursement obligations), ceases to be in full force and effect; or any Note Party contests in writing the validity or enforceability of any material provision of any Note Document or any material Guarantee other than as a result of the express provisions hereof or thereof; or any Note Party contests in writing the validity or enforceability of any material provision of an Intercreditor Agreement or subordination agreement; or any Note Party denies in writing that it has any or further liability or obligation under any material provision of any Note Document or any material Guarantee (in each case,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than as a result of the express provisions hereof or thereof or repayment in full in cash of the Obligations (other than contingent indemnification obligations, unasserted expense reimbursement obligations)), or purports in writing to revoke or rescind any material portion of any Note Document, the grant or assignment of any material security interest or any material Guarantee;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there shall have occurred an ERISA Event that, when taken either alone or together with all such other ERISA Events, could reasonably be expected to have a Material Adverse Effect.</w:t>
      </w:r>
    </w:p>
    <w:p>
      <w:pPr>
        <w:pStyle w:val="TextBody"/>
        <w:bidi w:val="0"/>
        <w:spacing w:lineRule="auto" w:line="288" w:before="0" w:after="240"/>
        <w:jc w:val="both"/>
        <w:rPr/>
      </w:pPr>
      <w:r>
        <w:rPr>
          <w:rFonts w:ascii="Times New Roman;serif" w:hAnsi="Times New Roman;serif"/>
          <w:b w:val="false"/>
          <w:color w:val="000000"/>
          <w:sz w:val="24"/>
        </w:rPr>
        <w:t xml:space="preserve">then, and in every such event (other than an event with respect to a Note Party described in </w:t>
      </w:r>
      <w:r>
        <w:rPr>
          <w:rFonts w:ascii="Times New Roman;serif" w:hAnsi="Times New Roman;serif"/>
          <w:b w:val="false"/>
          <w:color w:val="000000"/>
          <w:sz w:val="24"/>
          <w:u w:val="single"/>
        </w:rPr>
        <w:t>clause (g)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 xml:space="preserve">above), and at any time thereafter during the continuance of such event, the Controlling Parties or the Trustee, with the prior consent of the Controlling Parties, may and at the request of the Controlling Parties, shall, by notice to the Issuer, take either or both of the following actions, at the same or different times, subject to the terms of any applicable Intercreditor Agreement or subordination agreement declare the Notes then outstanding to be forthwith due and payable immediately, whereupon the principal of, premium, if any, and accrued and unpaid interest, if any, on all of the Notes then outstanding to be due and payable immediately, together with any unpaid accrued fees and all other Obligations of the Issuer accrued hereunder and under any other Note Document, shall become forthwith due and payable immediately, without presentment, demand, protest or any other notice of any kind, all of which are hereby expressly waived by the Issuer and the Guarantors, anything contained herein or in any other Note Document to the contrary notwithstanding. If an Event of Default specified in </w:t>
      </w:r>
      <w:r>
        <w:rPr>
          <w:rFonts w:ascii="Times New Roman;serif" w:hAnsi="Times New Roman;serif"/>
          <w:b w:val="false"/>
          <w:color w:val="000000"/>
          <w:sz w:val="24"/>
          <w:u w:val="single"/>
        </w:rPr>
        <w:t>clause (g)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(h)</w:t>
      </w:r>
      <w:r>
        <w:rPr>
          <w:color w:val="000000"/>
        </w:rPr>
        <w:t xml:space="preserve"> </w:t>
      </w:r>
      <w:r>
        <w:rPr>
          <w:rFonts w:ascii="Times New Roman;serif" w:hAnsi="Times New Roman;serif"/>
          <w:b w:val="false"/>
          <w:color w:val="000000"/>
          <w:sz w:val="24"/>
        </w:rPr>
        <w:t>above occurs, then all outstanding Notes shall become forthwith due and payable immediately, whereupon the principal of, premium, if any, and accrued and unpaid interest, if any, on all of the Notes then outstanding to be due and payable immediately, together with any unpaid accrued fees and all other Obligations of the Issuer accrued hereunder and under any other Note Document, shall become forthwith due and payable immediately, without presentment, demand, protest or any other notice of any kind, all of which are hereby expressly waived by the Issuer and the Guarantors, anything contained herein or in any other Note Document to the contrary notwithstanding.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If the Notes are accelerated or otherwise become due prior to their stated maturity, in each case as a result of an Event of Default (including, but not limited to, an Event of Default specified in this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(including the acceleration of any portion of the Obligations evidenced by the Notes by operation of law)), then the additional amount that shall then be due and payable on the Premium Effective Date shall be equal to the applicable redemption price (expressed as a percentage of principal amount) in effect on the Premium Effective Date in accordance with the terms specified in clauses (a) and (b) of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hereof, as applicable, (the “</w:t>
      </w:r>
      <w:r>
        <w:rPr>
          <w:rFonts w:ascii="Times New Roman;serif" w:hAnsi="Times New Roman;serif"/>
          <w:b/>
          <w:color w:val="000000"/>
          <w:sz w:val="24"/>
        </w:rPr>
        <w:t>Redemption Price</w:t>
      </w:r>
      <w:r>
        <w:rPr>
          <w:color w:val="000000"/>
        </w:rPr>
        <w:t>”</w:t>
      </w:r>
      <w:r>
        <w:rPr>
          <w:rFonts w:ascii="Times New Roman;serif" w:hAnsi="Times New Roman;serif"/>
          <w:b w:val="false"/>
          <w:color w:val="000000"/>
          <w:sz w:val="24"/>
        </w:rPr>
        <w:t xml:space="preserve">), in each case, as if such acceleration gave rise to an optional redemption of the Notes (including, for the avoidance of doubt an optional redemption made pursuant to the terms set forth in </w:t>
      </w:r>
      <w:r>
        <w:rPr>
          <w:rFonts w:ascii="Times New Roman;serif" w:hAnsi="Times New Roman;serif"/>
          <w:b w:val="false"/>
          <w:color w:val="000000"/>
          <w:sz w:val="24"/>
          <w:u w:val="single"/>
        </w:rPr>
        <w:t>Section 3.07</w:t>
      </w:r>
      <w:r>
        <w:rPr>
          <w:rFonts w:ascii="Times New Roman;serif" w:hAnsi="Times New Roman;serif"/>
          <w:b w:val="false"/>
          <w:color w:val="000000"/>
          <w:sz w:val="24"/>
        </w:rPr>
        <w:t xml:space="preserve">) so accelerated on the Premium Effective Date. Without limiting the generality of the foregoing, it is understood and agreed that if the Notes are accelerated or otherwise become due prior to their stated maturity, in each case, as a result of an Event of Default (including, but not limited to, an Event of Default specified in this </w:t>
      </w:r>
      <w:r>
        <w:rPr>
          <w:rFonts w:ascii="Times New Roman;serif" w:hAnsi="Times New Roman;serif"/>
          <w:b w:val="false"/>
          <w:color w:val="000000"/>
          <w:sz w:val="24"/>
          <w:u w:val="single"/>
        </w:rPr>
        <w:t>Section 8.01</w:t>
      </w:r>
      <w:r>
        <w:rPr>
          <w:color w:val="000000"/>
        </w:rPr>
        <w:t xml:space="preserve">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(including the acceleration of any portion of the Indebtedness evidenced by the Notes by operation of law)), the amount by which the applicable Redemption Price exceeds the principal amount of the Notes (the “</w:t>
      </w:r>
      <w:r>
        <w:rPr>
          <w:rFonts w:ascii="Times New Roman;serif" w:hAnsi="Times New Roman;serif"/>
          <w:b/>
          <w:color w:val="000000"/>
          <w:sz w:val="24"/>
        </w:rPr>
        <w:t>Redemption Price Premium</w:t>
      </w:r>
      <w:r>
        <w:rPr>
          <w:color w:val="000000"/>
        </w:rPr>
        <w:t>”</w:t>
      </w:r>
      <w:r>
        <w:rPr>
          <w:rFonts w:ascii="Times New Roman;serif" w:hAnsi="Times New Roman;serif"/>
          <w:b w:val="false"/>
          <w:color w:val="000000"/>
          <w:sz w:val="24"/>
        </w:rPr>
        <w:t xml:space="preserve">) with respect to an optional redemption of the Notes shall be due and payable as though the Notes had been optionally redeemed on the Premium Effective Date and shall constitute part of the Obligations with respect to the Notes in view of the impracticability and difficulty of ascertaining actual damages and by mutual agreement of the parties as to a reasonable calculation of lost profits of each of the holders of such Notes as a result thereof. The Redemption Price Premium shall be presumed to be liquidated damages sustained by each holder of Notes as the result of the payment or settlement of the Notes or a claim in a proceeding described in this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in respect of the Notes, in each case arising out of the acceleration of the Notes, or in the event the Notes or this Indenture are satisfied, released or discharged through foreclosure after acceleration of the Notes, whether by judicial proceeding, deed in lieu of foreclosure or by any other means (the date of such payment, settlement, satisfaction, release or discharge being the “</w:t>
      </w:r>
      <w:r>
        <w:rPr>
          <w:rFonts w:ascii="Times New Roman;serif" w:hAnsi="Times New Roman;serif"/>
          <w:b/>
          <w:color w:val="000000"/>
          <w:sz w:val="24"/>
        </w:rPr>
        <w:t>Premium Effective Date</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the case of an Event of Default specified in </w:t>
      </w:r>
      <w:r>
        <w:rPr>
          <w:rFonts w:ascii="Times New Roman;serif" w:hAnsi="Times New Roman;serif"/>
          <w:b w:val="false"/>
          <w:color w:val="000000"/>
          <w:sz w:val="24"/>
          <w:u w:val="single"/>
        </w:rPr>
        <w:t>Section 8.01(f)</w:t>
      </w:r>
      <w:r>
        <w:rPr>
          <w:color w:val="000000"/>
        </w:rPr>
        <w:t xml:space="preserve"> </w:t>
      </w:r>
      <w:r>
        <w:rPr>
          <w:rFonts w:ascii="Times New Roman;serif" w:hAnsi="Times New Roman;serif"/>
          <w:b w:val="false"/>
          <w:color w:val="000000"/>
          <w:sz w:val="24"/>
        </w:rPr>
        <w:t xml:space="preserve">above, such Event of Default and all consequences thereof will be annulled, waived and rescinded with respect to the Notes, automatically and without any action by the Trustee or the Holders, if within 30 days after such Event of Default first arose the Issuer delivers an Officer’s Certificate stating that (a) the Indebtedness or Guarantee that is the basis for such Event of Default has been paid or discharged, (b) the holders of the Indebtedness have rescinded or waived the acceleration giving rise to such Event of Default or (c) the default that is the basis for such Event of Default has been otherwise cured;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in no event shall an acceleration of the principal amount of the Notes as described above be annulled, waived or rescinded upon the happening of any such events.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After such acceleration, but before a judgment or decree based on acceleration, the Controlling Parties may rescind and annul such acceleration and its consequences if: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the rescission would not conflict with any judgment or decree;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all existing Events of Default have been cured or waived other than nonpayment of accelerated principal and interest;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to the extent the payment of such interest is lawful, interest on overdue installments of interest and overdue principal, which has become due otherwise than by such declaration of acceleration, has been paid;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the Issuer has paid the Trustee and the Collateral Agent its reasonable compensation and reimbursed the Trustee and the Collateral Agent for its reasonable expenses, disbursements and advances.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No such rescission shall affect any subsequent Default or impair any right consequent thereto.</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129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Without limiting the foregoing, any redemption, prepayment, repayment, or payment of the Obligations in or in connection with an Insolvency Event shall constitute an optional prepayment thereof under the terms of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and require the immediate payment of the amounts set forth in </w:t>
      </w:r>
      <w:r>
        <w:rPr>
          <w:rFonts w:ascii="Times New Roman;serif" w:hAnsi="Times New Roman;serif"/>
          <w:b w:val="false"/>
          <w:color w:val="000000"/>
          <w:sz w:val="24"/>
          <w:u w:val="single"/>
        </w:rPr>
        <w:t>Section 3.07</w:t>
      </w:r>
      <w:r>
        <w:rPr>
          <w:rFonts w:ascii="Times New Roman;serif" w:hAnsi="Times New Roman;serif"/>
          <w:b w:val="false"/>
          <w:color w:val="000000"/>
          <w:sz w:val="24"/>
        </w:rPr>
        <w:t xml:space="preserve">, in view of the impracticability and extreme difficulty of ascertaining actual damages and by mutual agreement of the parties as to a reasonable calculation of each Holder’s lost profits as a result thereof. Any amount payable pursuant to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shall be presumed to be the liquidated damages sustained by each Holder as the result of the early repayment or prepayment of the Notes and the Issuer agrees that it is reasonable under the circumstances currently existing. THE ISSUER EXPRESSLY WAIVES (TO THE FULLEST EXTENT THEY MAY LAWFULLY DO SO) THE PROVISIONS OF ANY PRESENT OR FUTURE STATUTE OR LAW THAT PROHIBITS OR MAY PROHIBIT THE COLLECTION OF THE FOREGOING PREMIUMS IN CONNECTION WITH ANY SUCH ACCELERATION. The Issuer expressly agrees (to the fullest extent it may lawfully do so) that: (A) the amounts set forth in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are reasonable and are the product of an arm’s length transaction between sophisticated business people, ably represented by counsel; (B) the amounts set forth in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shall be payable notwithstanding the then prevailing market rates at the time payment or redemption is made; (C) there has been a course of conduct between Holders and the Issuer giving specific consideration in this transaction for such agreement to pay the amounts set forth in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and (D) the Issuer shall be estopped hereafter from claiming differently than as agreed to in this paragraph. Each Note Party expressly acknowledges that its agreement to pay or guarantee the payment (as applicable) of the amounts set forth in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to the Holders as herein described is a material inducement to Holders to make (or be deemed to make) the Notes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8.02    </w:t>
      </w:r>
      <w:r>
        <w:rPr>
          <w:rFonts w:ascii="Times New Roman;serif" w:hAnsi="Times New Roman;serif"/>
          <w:b w:val="false"/>
          <w:color w:val="000000"/>
          <w:sz w:val="24"/>
          <w:u w:val="single"/>
        </w:rPr>
        <w:t>Other Remedies</w:t>
      </w:r>
      <w:r>
        <w:rPr>
          <w:rFonts w:ascii="Times New Roman;serif" w:hAnsi="Times New Roman;serif"/>
          <w:b w:val="false"/>
          <w:color w:val="000000"/>
          <w:sz w:val="24"/>
        </w:rPr>
        <w:t>. If an Event of Default occurs and is continuing, the Trustee may pursue any available remedy to collect the payment of principal, premium, if any, and interest, if any, on the Notes or to enforce the performance of any provision of the Notes or this Indenture. 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8.03    </w:t>
      </w:r>
      <w:r>
        <w:rPr>
          <w:rFonts w:ascii="Times New Roman;serif" w:hAnsi="Times New Roman;serif"/>
          <w:b w:val="false"/>
          <w:color w:val="000000"/>
          <w:sz w:val="24"/>
          <w:u w:val="single"/>
        </w:rPr>
        <w:t>Waiver of Past Defaults</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12.02</w:t>
      </w:r>
      <w:r>
        <w:rPr>
          <w:rFonts w:ascii="Times New Roman;serif" w:hAnsi="Times New Roman;serif"/>
          <w:b w:val="false"/>
          <w:color w:val="000000"/>
          <w:sz w:val="24"/>
        </w:rPr>
        <w:t>, the Holders of a majority in aggregate principal amount of the Notes then outstanding by written notice to the Trustee and the Collateral Agent may, on behalf of the Holders of all of the Notes, waive any existing Default or Event of Default and its consequences under this Indenture except a continuing Default or Event of Default in the payment of the principal of, premium, if any, or interest on the Notes. Upon any such waiver, such Default shall cease to exist, and any Event of Default arising therefrom shall be deemed to have been cured, for every purpose of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8.04    </w:t>
      </w:r>
      <w:r>
        <w:rPr>
          <w:rFonts w:ascii="Times New Roman;serif" w:hAnsi="Times New Roman;serif"/>
          <w:b w:val="false"/>
          <w:color w:val="000000"/>
          <w:sz w:val="24"/>
          <w:u w:val="single"/>
        </w:rPr>
        <w:t>Control by Majority</w:t>
      </w:r>
      <w:r>
        <w:rPr>
          <w:rFonts w:ascii="Times New Roman;serif" w:hAnsi="Times New Roman;serif"/>
          <w:b w:val="false"/>
          <w:color w:val="000000"/>
          <w:sz w:val="24"/>
        </w:rPr>
        <w:t xml:space="preserve">. The Holders of a majority in aggregate principal amount of the then outstanding Notes may direct the time, method and place of conducting any proceeding for exercising any remedy available to the Trustee or the Collateral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Agent or exercising any trust power conferred on them. However, (a) the Trustee or the Collateral Agent may refuse to follow any direction that conflicts with law or this Indenture, that may involve the Trustee or the Collateral Agent in personal liability, or that the Trustee or the Collateral Agent determines in good faith may be unduly prejudicial to the rights of Holders not joining in the giving of such direction and (b) the Trustee or the Collateral Agent may take any other action it deems proper that is not inconsistent with any such direction received from the Holders.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8.05    </w:t>
      </w:r>
      <w:r>
        <w:rPr>
          <w:rFonts w:ascii="Times New Roman;serif" w:hAnsi="Times New Roman;serif"/>
          <w:b w:val="false"/>
          <w:color w:val="000000"/>
          <w:sz w:val="24"/>
          <w:u w:val="single"/>
        </w:rPr>
        <w:t>Limitation on Suits</w:t>
      </w:r>
      <w:r>
        <w:rPr>
          <w:rFonts w:ascii="Times New Roman;serif" w:hAnsi="Times New Roman;serif"/>
          <w:b w:val="false"/>
          <w:color w:val="000000"/>
          <w:sz w:val="24"/>
        </w:rPr>
        <w:t>. A Holder may pursue a remedy with respect to this Indenture or the Notes (subject to the Intercreditor Agreement) only if:</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Holder gives to the Trustee written notice of a continuing Event of Default;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Controlling Parties make a written request to the Trustee to pursue the remedy;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such Holder or Holders offer the Trustee indemnity satisfactory to the Trustee against any costs, liability or expense;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Trustee does not comply with the request within 60 days after receipt of the request and the offer of indemnity;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during such 60-day period, the Holders of a majority in aggregate principal amount of the outstanding Notes do not give the Trustee a direction that is inconsistent with the request.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Holder may not use this Indenture to prejudice the rights of another Holder or to obtain a preference or priority over another Holder.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8.06    </w:t>
      </w:r>
      <w:r>
        <w:rPr>
          <w:rFonts w:ascii="Times New Roman;serif" w:hAnsi="Times New Roman;serif"/>
          <w:b w:val="false"/>
          <w:color w:val="000000"/>
          <w:sz w:val="24"/>
          <w:u w:val="single"/>
        </w:rPr>
        <w:t>Rights of Holders of Notes to Receive Payment</w:t>
      </w:r>
      <w:r>
        <w:rPr>
          <w:rFonts w:ascii="Times New Roman;serif" w:hAnsi="Times New Roman;serif"/>
          <w:b w:val="false"/>
          <w:color w:val="000000"/>
          <w:sz w:val="24"/>
        </w:rPr>
        <w:t>. Notwithstanding any other provision of this Indenture, the contractual right of any Holder to receive payment of principal of, premium, if any, or interest on, such Note or to bring suit for the enforcement of any such payment, on or after the due date expressed in the Notes, shall not be modified without the consent of the Holder.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8.07    </w:t>
      </w:r>
      <w:r>
        <w:rPr>
          <w:rFonts w:ascii="Times New Roman;serif" w:hAnsi="Times New Roman;serif"/>
          <w:b w:val="false"/>
          <w:color w:val="000000"/>
          <w:sz w:val="24"/>
          <w:u w:val="single"/>
        </w:rPr>
        <w:t>Collection Suit by Trustee</w:t>
      </w:r>
      <w:r>
        <w:rPr>
          <w:rFonts w:ascii="Times New Roman;serif" w:hAnsi="Times New Roman;serif"/>
          <w:b w:val="false"/>
          <w:color w:val="000000"/>
          <w:sz w:val="24"/>
        </w:rPr>
        <w:t xml:space="preserve">. If an Event of Default specified in </w:t>
      </w:r>
      <w:r>
        <w:rPr>
          <w:rFonts w:ascii="Times New Roman;serif" w:hAnsi="Times New Roman;serif"/>
          <w:b w:val="false"/>
          <w:color w:val="000000"/>
          <w:sz w:val="24"/>
          <w:u w:val="single"/>
        </w:rPr>
        <w:t>Section 8.01(a)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8.01(b)</w:t>
      </w:r>
      <w:r>
        <w:rPr>
          <w:color w:val="000000"/>
        </w:rPr>
        <w:t xml:space="preserve"> </w:t>
      </w:r>
      <w:r>
        <w:rPr>
          <w:rFonts w:ascii="Times New Roman;serif" w:hAnsi="Times New Roman;serif"/>
          <w:b w:val="false"/>
          <w:color w:val="000000"/>
          <w:sz w:val="24"/>
        </w:rPr>
        <w:t>occurs and is continuing, the Trustee is authorized to recover judgment in its own name and as trustee of an express trust against the Issuer for the whole amount of principal of premium and interest remaining unpaid on the Notes and interest on overdue principal and, to the extent lawful, such further amount as shall be sufficient to cover the costs and expenses of collection, including the reasonable compensation, expenses, disbursements and advances of the Trustee, the Collateral Agent, their agents and counsel.</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8.08    </w:t>
      </w:r>
      <w:r>
        <w:rPr>
          <w:rFonts w:ascii="Times New Roman;serif" w:hAnsi="Times New Roman;serif"/>
          <w:b w:val="false"/>
          <w:color w:val="000000"/>
          <w:sz w:val="24"/>
          <w:u w:val="single"/>
        </w:rPr>
        <w:t>Trustee May File Proofs of Claim</w:t>
      </w:r>
      <w:r>
        <w:rPr>
          <w:rFonts w:ascii="Times New Roman;serif" w:hAnsi="Times New Roman;serif"/>
          <w:b w:val="false"/>
          <w:color w:val="000000"/>
          <w:sz w:val="24"/>
        </w:rPr>
        <w:t xml:space="preserve">. The Trustee is authorized to file such proofs of claim and other papers or documents as may be necessary or advisable in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order to have the claims of the Trustee and the Collateral Agent (including any claim for the reasonable compensation, expenses, disbursements and advances of the Trustee, the Collateral Agent, their agents and counsel) and the Holders allowed in any judicial proceedings relative to the Issuer (or any other obligor upon the Notes), its creditors or its property and shall be entitled and empowered to collect, receive and distribute any money or other securities or property payable or deliverable upon the conversion or exchange of the Notes or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the Collateral Agent, their agents and counsel, and any other amounts due the Trustee or Collateral Agent under Section 9.06. To the extent that the payment of any such compensation, expenses, disbursements and advances to the Trustee, the Collateral Agent, their agents and counsel, and any other amounts due the Trustee or Collateral Agent under Section 9.06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in this Section 8.08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8.09    </w:t>
      </w:r>
      <w:r>
        <w:rPr>
          <w:rFonts w:ascii="Times New Roman;serif" w:hAnsi="Times New Roman;serif"/>
          <w:b w:val="false"/>
          <w:color w:val="000000"/>
          <w:sz w:val="24"/>
          <w:u w:val="single"/>
        </w:rPr>
        <w:t>Application of Proceeds</w:t>
      </w:r>
      <w:r>
        <w:rPr>
          <w:rFonts w:ascii="Times New Roman;serif" w:hAnsi="Times New Roman;serif"/>
          <w:b w:val="false"/>
          <w:color w:val="000000"/>
          <w:sz w:val="24"/>
        </w:rPr>
        <w:t>. Subject to the terms of any applicable Intercreditor Agreement, the proceeds received by the Trustee or the Collateral Agent in respect of any sale of, collection from or other realization upon all or any part of the Collateral or the Guarantees pursuant to the exercise by the Trustee or the Collateral Agent, as the case may be, in accordance with the terms of the Note Documents, of its remedies shall be applied, in full or in part, together with any other sums then held by the Collateral Agent pursuant to this Indenture, promptly by the Trustee or the Collateral Agent, as the case may be, as follows:</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i/>
          <w:color w:val="000000"/>
          <w:sz w:val="24"/>
        </w:rPr>
        <w:t>first</w:t>
      </w:r>
      <w:r>
        <w:rPr>
          <w:rFonts w:ascii="Times New Roman;serif" w:hAnsi="Times New Roman;serif"/>
          <w:b w:val="false"/>
          <w:color w:val="000000"/>
          <w:sz w:val="24"/>
        </w:rPr>
        <w:t>, to the payment of all reasonable and documented costs and expenses, fees, commissions and taxes of such sale, collection or other realization including compensation to the Trustee, the Collateral Agent and their respective agents and counsel, and all expenses, liabilities and advances made or incurred by the Trustee or the Collateral Agent in connection therewith and all amounts for which the Trustee or the Collateral Agent is entitled to indemnification pursuant to the provisions of any Note Document, together with interest on each such amount at the highest rate then in effect under this Indenture from and after the date such amount is due, owing and unpaid until paid in full;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(b)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payment of all other reasonable and documented costs and expenses of such sale, collection or other realization including compensation to the other Secured Parties and their agents and counsel and all costs, liabilities and advances made or incurred by the other Secured Parties in connection therewith, together with interest on each such amount at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highest rate then in effect under this Indenture from and after the date such amount is due, owing and unpaid until paid in full;</w:t>
      </w:r>
    </w:p>
    <w:p>
      <w:pPr>
        <w:pStyle w:val="TextBody"/>
        <w:bidi w:val="0"/>
        <w:spacing w:lineRule="auto" w:line="288" w:before="0" w:after="240"/>
        <w:ind w:left="0" w:right="0" w:firstLine="1440"/>
        <w:jc w:val="both"/>
        <w:rPr/>
      </w:pPr>
      <w:r>
        <w:rPr>
          <w:rFonts w:ascii="Times New Roman;serif" w:hAnsi="Times New Roman;serif"/>
          <w:b w:val="false"/>
          <w:color w:val="000000"/>
          <w:sz w:val="24"/>
        </w:rPr>
        <w:t>(c)    </w:t>
      </w:r>
      <w:r>
        <w:rPr>
          <w:rFonts w:ascii="Times New Roman;serif" w:hAnsi="Times New Roman;serif"/>
          <w:b w:val="false"/>
          <w:i/>
          <w:color w:val="000000"/>
          <w:sz w:val="24"/>
        </w:rPr>
        <w:t>third</w:t>
      </w:r>
      <w:r>
        <w:rPr>
          <w:rFonts w:ascii="Times New Roman;serif" w:hAnsi="Times New Roman;serif"/>
          <w:b w:val="false"/>
          <w:color w:val="000000"/>
          <w:sz w:val="24"/>
        </w:rPr>
        <w:t xml:space="preserve">, without duplication of amounts applied pursuant to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(b)</w:t>
      </w:r>
      <w:r>
        <w:rPr>
          <w:color w:val="000000"/>
        </w:rPr>
        <w:t xml:space="preserve"> </w:t>
      </w:r>
      <w:r>
        <w:rPr>
          <w:rFonts w:ascii="Times New Roman;serif" w:hAnsi="Times New Roman;serif"/>
          <w:b w:val="false"/>
          <w:color w:val="000000"/>
          <w:sz w:val="24"/>
        </w:rPr>
        <w:t xml:space="preserve">above, to the payment in full in cash, </w:t>
      </w:r>
      <w:r>
        <w:rPr>
          <w:rFonts w:ascii="Times New Roman;serif" w:hAnsi="Times New Roman;serif"/>
          <w:b w:val="false"/>
          <w:i/>
          <w:color w:val="000000"/>
          <w:sz w:val="24"/>
        </w:rPr>
        <w:t>pro rata</w:t>
      </w:r>
      <w:r>
        <w:rPr>
          <w:rFonts w:ascii="Times New Roman;serif" w:hAnsi="Times New Roman;serif"/>
          <w:b w:val="false"/>
          <w:color w:val="000000"/>
          <w:sz w:val="24"/>
        </w:rPr>
        <w:t>, of interest and other amounts constituting Obligations (other than principal and any premium thereon) equally and ratably in accordance with the respective amounts thereof then due and owing;</w:t>
      </w:r>
    </w:p>
    <w:p>
      <w:pPr>
        <w:pStyle w:val="TextBody"/>
        <w:bidi w:val="0"/>
        <w:spacing w:lineRule="auto" w:line="288" w:before="0" w:after="240"/>
        <w:ind w:left="0" w:right="0" w:firstLine="1440"/>
        <w:jc w:val="both"/>
        <w:rPr/>
      </w:pPr>
      <w:r>
        <w:rPr>
          <w:rFonts w:ascii="Times New Roman;serif" w:hAnsi="Times New Roman;serif"/>
          <w:b w:val="false"/>
          <w:color w:val="000000"/>
          <w:sz w:val="24"/>
        </w:rPr>
        <w:t>(d)    </w:t>
      </w:r>
      <w:r>
        <w:rPr>
          <w:rFonts w:ascii="Times New Roman;serif" w:hAnsi="Times New Roman;serif"/>
          <w:b w:val="false"/>
          <w:i/>
          <w:color w:val="000000"/>
          <w:sz w:val="24"/>
        </w:rPr>
        <w:t>fourth</w:t>
      </w:r>
      <w:r>
        <w:rPr>
          <w:rFonts w:ascii="Times New Roman;serif" w:hAnsi="Times New Roman;serif"/>
          <w:b w:val="false"/>
          <w:color w:val="000000"/>
          <w:sz w:val="24"/>
        </w:rPr>
        <w:t xml:space="preserve">, to the payment in full in cash, </w:t>
      </w:r>
      <w:r>
        <w:rPr>
          <w:rFonts w:ascii="Times New Roman;serif" w:hAnsi="Times New Roman;serif"/>
          <w:b w:val="false"/>
          <w:i/>
          <w:color w:val="000000"/>
          <w:sz w:val="24"/>
        </w:rPr>
        <w:t>pro rata</w:t>
      </w:r>
      <w:r>
        <w:rPr>
          <w:rFonts w:ascii="Times New Roman;serif" w:hAnsi="Times New Roman;serif"/>
          <w:b w:val="false"/>
          <w:color w:val="000000"/>
          <w:sz w:val="24"/>
        </w:rPr>
        <w:t>, of the principal amount of the Obligations and any premium thereon; and</w:t>
      </w:r>
    </w:p>
    <w:p>
      <w:pPr>
        <w:pStyle w:val="TextBody"/>
        <w:bidi w:val="0"/>
        <w:spacing w:lineRule="auto" w:line="288" w:before="0" w:after="240"/>
        <w:ind w:left="0" w:right="0" w:firstLine="1440"/>
        <w:jc w:val="both"/>
        <w:rPr/>
      </w:pPr>
      <w:r>
        <w:rPr>
          <w:rFonts w:ascii="Times New Roman;serif" w:hAnsi="Times New Roman;serif"/>
          <w:b w:val="false"/>
          <w:color w:val="000000"/>
          <w:sz w:val="24"/>
        </w:rPr>
        <w:t>(e)    </w:t>
      </w:r>
      <w:r>
        <w:rPr>
          <w:rFonts w:ascii="Times New Roman;serif" w:hAnsi="Times New Roman;serif"/>
          <w:b w:val="false"/>
          <w:i/>
          <w:color w:val="000000"/>
          <w:sz w:val="24"/>
        </w:rPr>
        <w:t>fifth</w:t>
      </w:r>
      <w:r>
        <w:rPr>
          <w:rFonts w:ascii="Times New Roman;serif" w:hAnsi="Times New Roman;serif"/>
          <w:b w:val="false"/>
          <w:color w:val="000000"/>
          <w:sz w:val="24"/>
        </w:rPr>
        <w:t>, the balance, if any, to the person lawfully entitled thereto (including the applicable Note Party or its successors or assigns) or as a court of competent jurisdiction may direct.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the event that any such proceeds are insufficient to pay in full the items described in the preceding sentences of this </w:t>
      </w:r>
      <w:r>
        <w:rPr>
          <w:rFonts w:ascii="Times New Roman;serif" w:hAnsi="Times New Roman;serif"/>
          <w:b w:val="false"/>
          <w:color w:val="000000"/>
          <w:sz w:val="24"/>
          <w:u w:val="single"/>
        </w:rPr>
        <w:t>Section 8.09</w:t>
      </w:r>
      <w:r>
        <w:rPr>
          <w:rFonts w:ascii="Times New Roman;serif" w:hAnsi="Times New Roman;serif"/>
          <w:b w:val="false"/>
          <w:color w:val="000000"/>
          <w:sz w:val="24"/>
        </w:rPr>
        <w:t xml:space="preserve">, the Note Parties shall remain liable, jointly and severally, for any deficiency.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The Trustee may fix a record date and payment date for any payment to Holders pursuant to this </w:t>
      </w:r>
      <w:r>
        <w:rPr>
          <w:rFonts w:ascii="Times New Roman;serif" w:hAnsi="Times New Roman;serif"/>
          <w:b w:val="false"/>
          <w:color w:val="000000"/>
          <w:sz w:val="24"/>
          <w:u w:val="single"/>
        </w:rPr>
        <w:t>Section 8.09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In any suit for the enforcement of any right or remedy under this Indenture or in any suit against the Trustee for any action taken or omitted by it as the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8.09 does not apply to a suit by the Trustee, a suit by a Holder pursuant to </w:t>
      </w:r>
      <w:r>
        <w:rPr>
          <w:rFonts w:ascii="Times New Roman;serif" w:hAnsi="Times New Roman;serif"/>
          <w:b w:val="false"/>
          <w:color w:val="000000"/>
          <w:sz w:val="24"/>
          <w:u w:val="single"/>
        </w:rPr>
        <w:t>Section 8.06</w:t>
      </w:r>
      <w:r>
        <w:rPr>
          <w:rFonts w:ascii="Times New Roman;serif" w:hAnsi="Times New Roman;serif"/>
          <w:b w:val="false"/>
          <w:color w:val="000000"/>
          <w:sz w:val="24"/>
        </w:rPr>
        <w:t>, or a suit by Holders of more than 10.0% in principal amount of the then outstanding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8.10    </w:t>
      </w:r>
      <w:r>
        <w:rPr>
          <w:rFonts w:ascii="Times New Roman;serif" w:hAnsi="Times New Roman;serif"/>
          <w:b w:val="false"/>
          <w:color w:val="000000"/>
          <w:sz w:val="24"/>
          <w:u w:val="single"/>
        </w:rPr>
        <w:t>Equity Cure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Notwithstanding anything to the contrary contained in </w:t>
      </w:r>
      <w:r>
        <w:rPr>
          <w:rFonts w:ascii="Times New Roman;serif" w:hAnsi="Times New Roman;serif"/>
          <w:b w:val="false"/>
          <w:color w:val="000000"/>
          <w:sz w:val="24"/>
          <w:u w:val="single"/>
        </w:rPr>
        <w:t>Section 8.01</w:t>
      </w:r>
      <w:r>
        <w:rPr>
          <w:rFonts w:ascii="Times New Roman;serif" w:hAnsi="Times New Roman;serif"/>
          <w:b w:val="false"/>
          <w:color w:val="000000"/>
          <w:sz w:val="24"/>
        </w:rPr>
        <w:t xml:space="preserve">, but subject to </w:t>
      </w:r>
      <w:r>
        <w:rPr>
          <w:rFonts w:ascii="Times New Roman;serif" w:hAnsi="Times New Roman;serif"/>
          <w:b w:val="false"/>
          <w:color w:val="000000"/>
          <w:sz w:val="24"/>
          <w:u w:val="single"/>
        </w:rPr>
        <w:t>Section 8.10(b)</w:t>
      </w:r>
      <w:r>
        <w:rPr>
          <w:rFonts w:ascii="Times New Roman;serif" w:hAnsi="Times New Roman;serif"/>
          <w:b w:val="false"/>
          <w:color w:val="000000"/>
          <w:sz w:val="24"/>
        </w:rPr>
        <w:t xml:space="preserve">, solely for the purpose of determining whether an Event of Default has occurred under the Financial Covenant set forth in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as of the end of and for any Test Period ending on the last day of any fiscal quarter (such fiscal quarter, a “</w:t>
      </w:r>
      <w:r>
        <w:rPr>
          <w:rFonts w:ascii="Times New Roman;serif" w:hAnsi="Times New Roman;serif"/>
          <w:b/>
          <w:color w:val="000000"/>
          <w:sz w:val="24"/>
        </w:rPr>
        <w:t>Cure Quarter</w:t>
      </w:r>
      <w:r>
        <w:rPr>
          <w:color w:val="000000"/>
        </w:rPr>
        <w:t>”</w:t>
      </w:r>
      <w:r>
        <w:rPr>
          <w:rFonts w:ascii="Times New Roman;serif" w:hAnsi="Times New Roman;serif"/>
          <w:b w:val="false"/>
          <w:color w:val="000000"/>
          <w:sz w:val="24"/>
        </w:rPr>
        <w:t xml:space="preserve">), the Issuer shall have the right, on or prior to the fifteenth Business Day after the date on which financial statements are required to be delivered pursuant to </w:t>
      </w:r>
      <w:r>
        <w:rPr>
          <w:rFonts w:ascii="Times New Roman;serif" w:hAnsi="Times New Roman;serif"/>
          <w:b w:val="false"/>
          <w:color w:val="000000"/>
          <w:sz w:val="24"/>
          <w:u w:val="single"/>
        </w:rPr>
        <w:t>Section 5.03(a)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5.03(b)</w:t>
      </w:r>
      <w:r>
        <w:rPr>
          <w:rFonts w:ascii="Times New Roman;serif" w:hAnsi="Times New Roman;serif"/>
          <w:b w:val="false"/>
          <w:color w:val="000000"/>
          <w:sz w:val="24"/>
        </w:rPr>
        <w:t>, as applicable, with respect to such Cure Quarter or the fiscal year ending on the last day of such Cure Quarter, as applicable (the “</w:t>
      </w:r>
      <w:r>
        <w:rPr>
          <w:rFonts w:ascii="Times New Roman;serif" w:hAnsi="Times New Roman;serif"/>
          <w:b/>
          <w:color w:val="000000"/>
          <w:sz w:val="24"/>
        </w:rPr>
        <w:t>Cure Expiration Date</w:t>
      </w:r>
      <w:r>
        <w:rPr>
          <w:color w:val="000000"/>
        </w:rPr>
        <w:t>”</w:t>
      </w:r>
      <w:r>
        <w:rPr>
          <w:rFonts w:ascii="Times New Roman;serif" w:hAnsi="Times New Roman;serif"/>
          <w:b w:val="false"/>
          <w:color w:val="000000"/>
          <w:sz w:val="24"/>
        </w:rPr>
        <w:t xml:space="preserve">), to designate the cash proceeds of any Permitted Cure Securities issued by the Issuer on or after the first day of any such Test Period, and such cash will, if so designated by Issuer, be included in the calculation of Consolidated EBITDA solely for purposes of determining compliance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as of the end of and for the Test Period ending on the last day of such Cure Quarter and any Test Periods ending on the last day of any of the subsequent three (3) fiscal quarters (any such equity contribution so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included in the calculation of Consolidated EBITDA, an “</w:t>
      </w:r>
      <w:r>
        <w:rPr>
          <w:rFonts w:ascii="Times New Roman;serif" w:hAnsi="Times New Roman;serif"/>
          <w:b/>
          <w:color w:val="000000"/>
          <w:sz w:val="24"/>
        </w:rPr>
        <w:t>Equity Cure Contribution</w:t>
      </w:r>
      <w:r>
        <w:rPr>
          <w:rFonts w:ascii="Times New Roman;serif" w:hAnsi="Times New Roman;serif"/>
          <w:b w:val="false"/>
          <w:color w:val="000000"/>
          <w:sz w:val="24"/>
        </w:rPr>
        <w:t>,” and the amount of such Equity Cure Contribution, the “</w:t>
      </w:r>
      <w:r>
        <w:rPr>
          <w:rFonts w:ascii="Times New Roman;serif" w:hAnsi="Times New Roman;serif"/>
          <w:b/>
          <w:color w:val="000000"/>
          <w:sz w:val="24"/>
        </w:rPr>
        <w:t>Cure Amount</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Equity Cure Contribution is Not Otherwise Applied (other than, for the avoidance of doubt pursuant to this </w:t>
      </w:r>
      <w:r>
        <w:rPr>
          <w:rFonts w:ascii="Times New Roman;serif" w:hAnsi="Times New Roman;serif"/>
          <w:b w:val="false"/>
          <w:color w:val="000000"/>
          <w:sz w:val="24"/>
          <w:u w:val="single"/>
        </w:rPr>
        <w:t>Section 8.10(a)</w:t>
      </w:r>
      <w:r>
        <w:rPr>
          <w:rFonts w:ascii="Times New Roman;serif" w:hAnsi="Times New Roman;serif"/>
          <w:b w:val="false"/>
          <w:color w:val="000000"/>
          <w:sz w:val="24"/>
        </w:rPr>
        <w:t xml:space="preserve">). All Equity Cure Contributions shall be disregarded for all purposes of this Indenture other than inclusion in the calculation of Consolidated EBITDA for the purpose of determining compliance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as of the end of and for the Test Period ending on the last day of such Cure Quarter and any Test Periods ending on the last day of any of the subsequent three (3) fiscal quarters, including being disregarded for purposes of the determination of the Cumulative Amount and all components thereof and any baskets or other ratios with respect to the covenants contained in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(other than </w:t>
      </w:r>
      <w:r>
        <w:rPr>
          <w:rFonts w:ascii="Times New Roman;serif" w:hAnsi="Times New Roman;serif"/>
          <w:b w:val="false"/>
          <w:color w:val="000000"/>
          <w:sz w:val="24"/>
          <w:u w:val="single"/>
        </w:rPr>
        <w:t>Section 6.08(a)</w:t>
      </w:r>
      <w:r>
        <w:rPr>
          <w:rFonts w:ascii="Times New Roman;serif" w:hAnsi="Times New Roman;serif"/>
          <w:b w:val="false"/>
          <w:color w:val="000000"/>
          <w:sz w:val="24"/>
        </w:rPr>
        <w:t xml:space="preserve">). There shall be no pro forma reduction in Consolidated Total Indebtedness (by netting or otherwise) with the proceeds of any Equity Cure Contribution for determining compliance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as of and for the Test Period ending on the last day of the Cure Quarter or any Test Periods ending on the last day of any of the subsequent (3) three fiscal quarters;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such Equity Cure Contribution shall reduce Consolidated Total Indebtedness in future fiscal quarters to the extent used to prepay any applicable Indebtedness. Notwithstanding anything to the contrary contained in </w:t>
      </w:r>
      <w:r>
        <w:rPr>
          <w:rFonts w:ascii="Times New Roman;serif" w:hAnsi="Times New Roman;serif"/>
          <w:b w:val="false"/>
          <w:color w:val="000000"/>
          <w:sz w:val="24"/>
          <w:u w:val="single"/>
        </w:rPr>
        <w:t>Section 8.01</w:t>
      </w:r>
      <w:r>
        <w:rPr>
          <w:rFonts w:ascii="Times New Roman;serif" w:hAnsi="Times New Roman;serif"/>
          <w:b w:val="false"/>
          <w:color w:val="000000"/>
          <w:sz w:val="24"/>
        </w:rPr>
        <w:t xml:space="preserve">, (i) upon receipt of the Cure Amount by Issuer in no greater than the amount necessary to cause the Issuer to be in compliance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as of the end of and for the Test Period ending on the last day of such Cure Quarter, the Financial Covenant under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 xml:space="preserve">shall be deemed satisfied and complied with as of the end of and for such Test Period with the same effect as though there had been no failure to comply with the Financial Covenant under </w:t>
      </w:r>
      <w:r>
        <w:rPr>
          <w:rFonts w:ascii="Times New Roman;serif" w:hAnsi="Times New Roman;serif"/>
          <w:b w:val="false"/>
          <w:color w:val="000000"/>
          <w:sz w:val="24"/>
          <w:u w:val="single"/>
        </w:rPr>
        <w:t>Section 6.08(a)</w:t>
      </w:r>
      <w:r>
        <w:rPr>
          <w:rFonts w:ascii="Times New Roman;serif" w:hAnsi="Times New Roman;serif"/>
          <w:b w:val="false"/>
          <w:color w:val="000000"/>
          <w:sz w:val="24"/>
        </w:rPr>
        <w:t xml:space="preserve">, and any Default or Event of Default related to any failure to comply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shall be deemed not to have occurred for purposes of the Note Documents, and (ii) upon receipt by the Trustee of a notice from the Issuer (“</w:t>
      </w:r>
      <w:r>
        <w:rPr>
          <w:rFonts w:ascii="Times New Roman;serif" w:hAnsi="Times New Roman;serif"/>
          <w:b/>
          <w:color w:val="000000"/>
          <w:sz w:val="24"/>
        </w:rPr>
        <w:t>Notice of Intent to Cure</w:t>
      </w:r>
      <w:r>
        <w:rPr>
          <w:color w:val="000000"/>
        </w:rPr>
        <w:t>”</w:t>
      </w:r>
      <w:r>
        <w:rPr>
          <w:rFonts w:ascii="Times New Roman;serif" w:hAnsi="Times New Roman;serif"/>
          <w:b w:val="false"/>
          <w:color w:val="000000"/>
          <w:sz w:val="24"/>
        </w:rPr>
        <w:t xml:space="preserve">) and through the Cure Expiration Date: (A) none of the Trustee, the Collateral Agent or any Holder shall exercise any of the remedial rights otherwise available to it upon an Event of Default, including the right to accelerate the Notes or to foreclose on the Collateral solely on the basis of an Event of Default having occurred as a result of a violation of </w:t>
      </w:r>
      <w:r>
        <w:rPr>
          <w:rFonts w:ascii="Times New Roman;serif" w:hAnsi="Times New Roman;serif"/>
          <w:b w:val="false"/>
          <w:color w:val="000000"/>
          <w:sz w:val="24"/>
          <w:u w:val="single"/>
        </w:rPr>
        <w:t>Section 6.08(a)</w:t>
      </w:r>
      <w:r>
        <w:rPr>
          <w:rFonts w:ascii="Times New Roman;serif" w:hAnsi="Times New Roman;serif"/>
          <w:b w:val="false"/>
          <w:color w:val="000000"/>
          <w:sz w:val="24"/>
        </w:rPr>
        <w:t>, unless the Equity Cure Contribution is not made on or before the Cure Expiration Date and (B) if the Equity Cure Contribution is not made on or before the Cure Expiration Date, the Trustee, the Collateral Agent and any Holder may thereafter take any actions or remedies pursuant to this Indenture and the other Note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There shall be no more than five (5) Equity Cure Contributions made during the term of this Indenture and no more than two (2) Equity Cure Contributions made during any four (4) consecutive fiscal quarters. No Equity Cure Contribution shall be any greater than the minimum amount required for the Issuer to be in compliance with </w:t>
      </w:r>
      <w:r>
        <w:rPr>
          <w:rFonts w:ascii="Times New Roman;serif" w:hAnsi="Times New Roman;serif"/>
          <w:b w:val="false"/>
          <w:color w:val="000000"/>
          <w:sz w:val="24"/>
          <w:u w:val="single"/>
        </w:rPr>
        <w:t>Section 6.08(a)</w:t>
      </w:r>
      <w:r>
        <w:rPr>
          <w:color w:val="000000"/>
        </w:rPr>
        <w:t xml:space="preserve"> </w:t>
      </w:r>
      <w:r>
        <w:rPr>
          <w:rFonts w:ascii="Times New Roman;serif" w:hAnsi="Times New Roman;serif"/>
          <w:b w:val="false"/>
          <w:color w:val="000000"/>
          <w:sz w:val="24"/>
        </w:rPr>
        <w:t>in the applicable Cure Quarter.</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134</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IX</w:t>
        <w:br/>
        <w:t xml:space="preserve">THE TRUSTEE AND AGENTS </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9.01    </w:t>
      </w:r>
      <w:r>
        <w:rPr>
          <w:rFonts w:ascii="Times New Roman;serif" w:hAnsi="Times New Roman;serif"/>
          <w:b w:val="false"/>
          <w:color w:val="000000"/>
          <w:sz w:val="24"/>
          <w:u w:val="single"/>
        </w:rPr>
        <w:t>Duties of Trustee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Except during the continuance of an Event of Default: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the Trustee may conclusively rely, as to the truth of the statements and the correctness of the opinions expressed therein, upon certificates or opinions furnished to the Trustee and conforming to the requirements of this Indenture (but need not confirm or investigate the accuracy of mathematical calculations or other facts stated therein);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the Trustee shall examine the certificates and opinions furnished to it to determine whether or not they conform to the requirements of this Indenture.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Trustee may not be relieved from liabilities for its own negligent action, its own negligent failure to act, or its own willful misconduct, except that: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this paragraph does not limit the effect of paragraph (b) of this </w:t>
      </w:r>
      <w:r>
        <w:rPr>
          <w:rFonts w:ascii="Times New Roman;serif" w:hAnsi="Times New Roman;serif"/>
          <w:b w:val="false"/>
          <w:color w:val="000000"/>
          <w:sz w:val="24"/>
          <w:u w:val="single"/>
        </w:rPr>
        <w:t>Section 9.01</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Trustee shall not be liable for any error of judgment made in good faith by a Responsible Officer of the Trustee, unless it is proved that the Trustee was negligent in ascertaining the pertinent facts;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the Trustee shall not be liable with respect to any action it takes or omits to take in good faith in accordance with a direction received by it pursuant to Section 8.04;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no provision of this Indenture shall require the Trustee to expend or risk its own funds or incur any liability.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Trustee shall not be liable for interest on or the investment of any money received by it except as the Trustee may agree in writing with the Issuer. Money held in trust by the Trustee need not be segregated from other funds except to the extent required by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Whether or not therein expressly so provided, every provision of this Indenture that in any way relates to the Trustee is subject to this </w:t>
      </w:r>
      <w:r>
        <w:rPr>
          <w:rFonts w:ascii="Times New Roman;serif" w:hAnsi="Times New Roman;serif"/>
          <w:b w:val="false"/>
          <w:color w:val="000000"/>
          <w:sz w:val="24"/>
          <w:u w:val="single"/>
        </w:rPr>
        <w:t>Section 9.01</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Trustee agrees to accept and act upon facsimile, pdf or electronic transmission of documents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9.02    </w:t>
      </w:r>
      <w:r>
        <w:rPr>
          <w:rFonts w:ascii="Times New Roman;serif" w:hAnsi="Times New Roman;serif"/>
          <w:b w:val="false"/>
          <w:color w:val="000000"/>
          <w:sz w:val="24"/>
          <w:u w:val="single"/>
        </w:rPr>
        <w:t>Rights of Trustee</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Trustee may conclusively rely and shall be fully protected in acting or refraining from acting on any resolution, certificate, statement, instrument., opinion, notice, report, request, direction, consent, order, judgment, bond, debenture or other document (whether in original or facsimile form) believed by it to be genuine and to have been signed or presented by the proper Person. The Trustee need not investigate any fact or matter stated therein.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Before the Trustee acts or refrains from acting, it may require an Officer’s Certificate or an Opinion of Counsel or both. The Trustee shall not be liable for any action it takes or omits to take in good faith in reliance on such Officer’s Certificate or Opinion of Counsel. Prior to taking, suffering or admitting any action, the Trustee may consult with counsel of the Trustee’s own choosing, and the Trustee shall be fully protected from liability in respect of any action taken, suffered or omitted by it hereunder in good faith and in conclusive reliance on the advice or opinion of such counsel.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Trustee may act through its attorneys and agents and shall not be responsible for the misconduct or negligence of any attorney or agent appointed with due care.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Trustee shall not be liable for any action it takes or omits to take in good faith that it believes to be authorized or within the discretion or rights or powers conferred upon it by this Indenture.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Unless otherwise specifically provided in this Indenture, any demand, request, direction or notice from the Issuer or a Guarantor shall be sufficient if signed by an Officer of the Issuer or such Guarantor.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The Trustee shall be under no obligation to exercise any of the rights or powers vested in it by this Indenture at the request or direction of any of the Holders unless such Holders shall have offered to the Trustee security or indemnity satisfactory to the Trustee against the costs, expenses and liabilities that might be incurred by it in compliance with such request or direction.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The Trustee shall not be bound to make any investigation into the facts or matters stated in any resolution, certificate, statement, instrument, opinion, report, notice, request, direction, consent, order, bond, debenture, note, other evidence of indebtedness or other paper or documents, but the Trustee, in its discretion, may make such further inquiry or investigation into such facts or matters as it may see fit, and, if the Trustee shall determine to make such further inquiry or investigation, it shall be entitled to examine during normal business hours the books, records and premises of the Issuer, personally or by agent or attorney at the sole cost of the Issuer, subject to execution of reasonable confidentiality agreements and attorney-client privilege, and shall incur no liability or additional liability of any kind by reason of such inquiry or investigation.</w:t>
      </w:r>
    </w:p>
    <w:p>
      <w:pPr>
        <w:pStyle w:val="TextBody"/>
        <w:bidi w:val="0"/>
        <w:spacing w:before="0" w:after="0"/>
        <w:jc w:val="both"/>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(h)    The rights, privileges, protections, immunities and benefits given to the Trustee, including, without limitation, its rights to be compensated and indemnified, are extended to, and shall be enforceable by, the Trustee in each of its capacities hereunder, the Collateral Agent, the Calculation Agent, the other Agents and each other agent, custodian and Person employed to act hereunder; provided that the foregoing shall not be construed to impose upon such person the duties or standard of care (including any prudent person standard) of the Trustee.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The Trustee may request that the Issuer and each of the Guarantors deliver to the Trustee an Officer’s Certificate setting forth the names of individuals and/or titles of Officers of the Issuer and each Guarantor, as applicable, authorized at such time to take specified actions pursuant to this Indenture, the Notes and the Guarantees on behalf of the Issuer and/or the Guarantors, which certificate may be signed by any Person authorized to sign an Officer’s Certificate, including any Person specified as so authorized in any such certificate previously delivered and not superseded.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The Trustee shall not be deemed to have notice or be charged with knowledge of any Default or Event of Default unless a Responsible Officer of the Trustee has actual knowledge thereof or the Trustee shall have received from the Issuer or any other obligor upon the Notes or from any Holder written notice thereof at its address set forth in Section 13.02 and such notice references the Notes and this Indenture and states that it is an “notice of default.” In the absence of such actual knowledge or such notice, the Trustee may conclusively assume that no such Default or Event of Default exists.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(k)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(l)    The Trustee shall not be required to give any bond or surety in respect of the performance of its powers and duties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(m)    The Trustee will be permitted to engage in other transactions;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it acquires any conflicting interest, it must eliminate such conflict within 90 days or resign.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(n)    Except as otherwise expressly set forth herein, the Issuer will be responsible for making calculations called for under the Notes, including but not limited to determination of redemption price, premium, if any, and any other amounts payable on the Notes. The Issuer will make the calculations in good faith and, absent manifest error, its calculations will be final and binding on the Holders of the Notes. The Issuer will provide a schedule of its calculations to the Trustee, upon request, when applicable, and the Trustee is entitled to rely conclusively on the accuracy of the Issuer’s calculations without independent verification.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(o)    The Trustee shall not be liable for failure to perform its duties if such failure is the result of another party to the Transaction Documents failing to perform its duties.</w:t>
      </w:r>
    </w:p>
    <w:p>
      <w:pPr>
        <w:pStyle w:val="TextBody"/>
        <w:bidi w:val="0"/>
        <w:spacing w:before="0" w:after="0"/>
        <w:jc w:val="both"/>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9.03    </w:t>
      </w:r>
      <w:r>
        <w:rPr>
          <w:rFonts w:ascii="Times New Roman;serif" w:hAnsi="Times New Roman;serif"/>
          <w:b w:val="false"/>
          <w:color w:val="000000"/>
          <w:sz w:val="24"/>
          <w:u w:val="single"/>
        </w:rPr>
        <w:t>Individual Rights of the Trustee</w:t>
      </w:r>
      <w:r>
        <w:rPr>
          <w:rFonts w:ascii="Times New Roman;serif" w:hAnsi="Times New Roman;serif"/>
          <w:b w:val="false"/>
          <w:color w:val="000000"/>
          <w:sz w:val="24"/>
        </w:rPr>
        <w:t>. 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9.09.</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9.04    </w:t>
      </w:r>
      <w:r>
        <w:rPr>
          <w:rFonts w:ascii="Times New Roman;serif" w:hAnsi="Times New Roman;serif"/>
          <w:b w:val="false"/>
          <w:color w:val="000000"/>
          <w:sz w:val="24"/>
          <w:u w:val="single"/>
        </w:rPr>
        <w:t>Trustee’s Disclaimer</w:t>
      </w:r>
      <w:r>
        <w:rPr>
          <w:rFonts w:ascii="Times New Roman;serif" w:hAnsi="Times New Roman;serif"/>
          <w:b w:val="false"/>
          <w:color w:val="000000"/>
          <w:sz w:val="24"/>
        </w:rPr>
        <w:t>. The Trustee shall not be responsible for and makes no representation as to the validity or adequacy of this Indenture, the Notes or any Guarantee, it shall not be accountable for the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any Officer’s Certificate delivered to the Trustee hereunder, or any other document in connection with the sale of the Notes or pursuant to this Indenture other than the Trustee’s certificate of authentication hereunder.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9.05    </w:t>
      </w:r>
      <w:r>
        <w:rPr>
          <w:rFonts w:ascii="Times New Roman;serif" w:hAnsi="Times New Roman;serif"/>
          <w:b w:val="false"/>
          <w:color w:val="000000"/>
          <w:sz w:val="24"/>
          <w:u w:val="single"/>
        </w:rPr>
        <w:t>Notice of Defaults</w:t>
      </w:r>
      <w:r>
        <w:rPr>
          <w:rFonts w:ascii="Times New Roman;serif" w:hAnsi="Times New Roman;serif"/>
          <w:b w:val="false"/>
          <w:color w:val="000000"/>
          <w:sz w:val="24"/>
        </w:rPr>
        <w:t>. If a Default or Event of Default occurs and is continuing and if it is actually known to a Responsible Officer of the Trustee, the Trustee shall deliver to Holders a notice of the Default or Event of Default within 90 days after it occurs, unless such Default shall have been cured or waived. Except in the case of a Default or Event of Default in payment of principal of, premium, if any, or interest on any Note, the Trustee may withhold the notice if and so long as the Trustee in good faith determines that the withholding of such notice is in the interest of the Holders.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9.06    </w:t>
      </w:r>
      <w:r>
        <w:rPr>
          <w:rFonts w:ascii="Times New Roman;serif" w:hAnsi="Times New Roman;serif"/>
          <w:b w:val="false"/>
          <w:color w:val="000000"/>
          <w:sz w:val="24"/>
          <w:u w:val="single"/>
        </w:rPr>
        <w:t>Compensation and Indemnity</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Issuer shall pay to the Trustee from time to time reasonable compensation for its acceptance of this Indenture and for all services rendered by it hereunder as agreed upon in writing.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except any such expense, disbursement or advance as may be attributable to its negligence or willful misconduct. Such expenses shall include the reasonable compensation, disbursements and expenses of the Trustee’s agents and counsel.</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Each of the Issuer and the Guarantors, jointly and severally, shall indemnify the Trustee (which for purposes of this </w:t>
      </w:r>
      <w:r>
        <w:rPr>
          <w:rFonts w:ascii="Times New Roman;serif" w:hAnsi="Times New Roman;serif"/>
          <w:b w:val="false"/>
          <w:color w:val="000000"/>
          <w:sz w:val="24"/>
          <w:u w:val="single"/>
        </w:rPr>
        <w:t xml:space="preserve">Section 9.06 </w:t>
      </w:r>
      <w:r>
        <w:rPr>
          <w:rFonts w:ascii="Times New Roman;serif" w:hAnsi="Times New Roman;serif"/>
          <w:b w:val="false"/>
          <w:color w:val="000000"/>
          <w:sz w:val="24"/>
        </w:rPr>
        <w:t xml:space="preserve">shall include its officers, directors, employees, experts, attorneys and agents) and hold it harmless against any and all claims, damages, losses, liabilities, costs or expenses incurred by it (including, without limitation, the fees and expenses of its agents and counsel) arising out of or in connection with the acceptance or administration of its duties under this Indenture or any other Note Document, the performance of its obligations and/or exercise of its rights hereunder or thereunder, including the costs and expenses of enforcing this Indenture against the Issuer or any Guarantor (including this </w:t>
      </w:r>
      <w:r>
        <w:rPr>
          <w:rFonts w:ascii="Times New Roman;serif" w:hAnsi="Times New Roman;serif"/>
          <w:b w:val="false"/>
          <w:color w:val="000000"/>
          <w:sz w:val="24"/>
          <w:u w:val="single"/>
        </w:rPr>
        <w:t>Section 9.06</w:t>
      </w:r>
      <w:r>
        <w:rPr>
          <w:rFonts w:ascii="Times New Roman;serif" w:hAnsi="Times New Roman;serif"/>
          <w:b w:val="false"/>
          <w:color w:val="000000"/>
          <w:sz w:val="24"/>
        </w:rPr>
        <w:t xml:space="preserve">) and defending itself against any claim (whether asserted by the Issuer or any Holder or any other Person) or liability in connection with the exercise or performance of any of </w:t>
      </w:r>
    </w:p>
    <w:p>
      <w:pPr>
        <w:pStyle w:val="TextBody"/>
        <w:bidi w:val="0"/>
        <w:spacing w:before="0" w:after="0"/>
        <w:jc w:val="both"/>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its powers or duties hereunder, except to the extent any such loss, claim, damage, liability or expense shall be caused by its own gross negligence or willful misconduct. The Trustee shall notify the Issuer promptly of any claim for which it may seek indemnity. Failure by the Trustee to so notify the Issuer shall not relieve the Issuer of its obligations hereunder. In the event that defense of any such claim is assumed by the Issuer or a Guarantor, it shall be done so with the Trustee’s consent, and the Trustee may have one separate counsel, and the Issuer shall pay the reasonable fees and expenses of such counsel for the Trustee. The Issuer need not pay for any settlement made without its consent, which consent shall not be unreasonably withheld.</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The obligations of the Issuer and the Guarantors under this </w:t>
      </w:r>
      <w:r>
        <w:rPr>
          <w:rFonts w:ascii="Times New Roman;serif" w:hAnsi="Times New Roman;serif"/>
          <w:b w:val="false"/>
          <w:color w:val="000000"/>
          <w:sz w:val="24"/>
          <w:u w:val="single"/>
        </w:rPr>
        <w:t>Section 9.06</w:t>
      </w:r>
      <w:r>
        <w:rPr>
          <w:color w:val="000000"/>
        </w:rPr>
        <w:t xml:space="preserve"> </w:t>
      </w:r>
      <w:r>
        <w:rPr>
          <w:rFonts w:ascii="Times New Roman;serif" w:hAnsi="Times New Roman;serif"/>
          <w:b w:val="false"/>
          <w:color w:val="000000"/>
          <w:sz w:val="24"/>
        </w:rPr>
        <w:t>shall survive the satisfaction and discharge of this Indenture, the payment of the Notes or the resignation or removal of the Trustee.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(d)    To secure the Issuer’s payment obligations in this </w:t>
      </w:r>
      <w:r>
        <w:rPr>
          <w:rFonts w:ascii="Times New Roman;serif" w:hAnsi="Times New Roman;serif"/>
          <w:b w:val="false"/>
          <w:color w:val="000000"/>
          <w:sz w:val="24"/>
          <w:u w:val="single"/>
        </w:rPr>
        <w:t>Section 9.06</w:t>
      </w:r>
      <w:r>
        <w:rPr>
          <w:rFonts w:ascii="Times New Roman;serif" w:hAnsi="Times New Roman;serif"/>
          <w:b w:val="false"/>
          <w:color w:val="000000"/>
          <w:sz w:val="24"/>
        </w:rPr>
        <w:t>, the Trustee shall have a Lien prior to the Notes on all money or property held or collected by the Trustee, except that held in trust to pay principal or interest, if any, on particular Notes. Such Lien shall survive the satisfaction and discharge of this Indenture, the payment of the Notes and the resignation or removal of the Trustee.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When the Trustee incurs expenses or renders services after an Event of Default specified in </w:t>
      </w:r>
      <w:r>
        <w:rPr>
          <w:rFonts w:ascii="Times New Roman;serif" w:hAnsi="Times New Roman;serif"/>
          <w:b w:val="false"/>
          <w:color w:val="000000"/>
          <w:sz w:val="24"/>
          <w:u w:val="single"/>
        </w:rPr>
        <w:t>Section 8.01(g)</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8.01(h)</w:t>
      </w:r>
      <w:r>
        <w:rPr>
          <w:color w:val="000000"/>
        </w:rPr>
        <w:t xml:space="preserve"> </w:t>
      </w:r>
      <w:r>
        <w:rPr>
          <w:rFonts w:ascii="Times New Roman;serif" w:hAnsi="Times New Roman;serif"/>
          <w:b w:val="false"/>
          <w:color w:val="000000"/>
          <w:sz w:val="24"/>
        </w:rPr>
        <w:t>occurs, the expenses and the compensation for the services (including the fees and expenses of its agents and counsel) are intended to constitute expenses of administration under any Debtor Relief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9.07    </w:t>
      </w:r>
      <w:r>
        <w:rPr>
          <w:rFonts w:ascii="Times New Roman;serif" w:hAnsi="Times New Roman;serif"/>
          <w:b w:val="false"/>
          <w:color w:val="000000"/>
          <w:sz w:val="24"/>
          <w:u w:val="single"/>
        </w:rPr>
        <w:t>Replacement of Trustee</w:t>
      </w:r>
      <w:r>
        <w:rPr>
          <w:rFonts w:ascii="Times New Roman;serif" w:hAnsi="Times New Roman;serif"/>
          <w:b w:val="false"/>
          <w:color w:val="000000"/>
          <w:sz w:val="24"/>
        </w:rPr>
        <w:t>. A resignation or removal of the Trustee and appointment of a successor Trustee shall become effective only upon the successor trustee’s acceptance of appointment as provided in this Section 9.07.</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Trustee may resign in writing at any time and be discharged from the trust hereby created by so notifying the Issuer in writing. The Holders of a majority in principal amount of the then outstanding Notes may remove the Trustee upon 30 days’ prior notice by so notifying the Trustee and the Issuer in writing. The Issuer may remove the Trustee if:</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the Trustee fails to comply with </w:t>
      </w:r>
      <w:r>
        <w:rPr>
          <w:rFonts w:ascii="Times New Roman;serif" w:hAnsi="Times New Roman;serif"/>
          <w:b w:val="false"/>
          <w:color w:val="000000"/>
          <w:sz w:val="24"/>
          <w:u w:val="single"/>
        </w:rPr>
        <w:t>Section 9.09</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Trustee is adjudged a bankrupt or an insolvent or an order for relief is entered with respect to the Trustee under any Debtor Relief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 receiver of the Trustee or of its property is appointed or any public officer takes charge or control of the Trustee or of its property or affairs for the purpose of rehabilitation, conservation or liquidation;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Trustee becomes incapable of acting.</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If the Trustee resigns or is removed or if a vacancy exists in the office of the Trustee for any reason, the Issuer shall promptly appoint a successor trustee. Within one year </w:t>
      </w:r>
    </w:p>
    <w:p>
      <w:pPr>
        <w:pStyle w:val="TextBody"/>
        <w:bidi w:val="0"/>
        <w:spacing w:before="0" w:after="0"/>
        <w:jc w:val="both"/>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139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after the successor trustee takes office, the Holders of a majority in principal amount of the then outstanding Notes may appoint a successor trustee to replace the successor trustee appointed by the Issuer.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 successor trustee does not take office within 30 days after the retiring Trustee resigns or is removed, such retiring Trustee (at the expense of the Issuer), the Issuer or the Holders of at least 10.0% in principal amount of the then outstanding Notes may petition any court of competent jurisdiction for the appointment of a successor trustee.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If the Trustee, after written request by any Holder who has been a Holder for at least six months, fails to comply with </w:t>
      </w:r>
      <w:r>
        <w:rPr>
          <w:rFonts w:ascii="Times New Roman;serif" w:hAnsi="Times New Roman;serif"/>
          <w:b w:val="false"/>
          <w:color w:val="000000"/>
          <w:sz w:val="24"/>
          <w:u w:val="single"/>
        </w:rPr>
        <w:t>Section 9.09</w:t>
      </w:r>
      <w:r>
        <w:rPr>
          <w:rFonts w:ascii="Times New Roman;serif" w:hAnsi="Times New Roman;serif"/>
          <w:b w:val="false"/>
          <w:color w:val="000000"/>
          <w:sz w:val="24"/>
        </w:rPr>
        <w:t>, such Holder may petition any court of competent jurisdiction for the removal of the Trustee and the appointment of a successor trustee.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the duties of the Trustee under this Indenture. The successor trustee shall mail a notice of its succession to the Holders. The retiring Trustee shall promptly transfer all property held by it as Trustee to the successor Trustee;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all sums owing to such Trustee hereunder have been paid and subject to the Lien provided for in this </w:t>
      </w:r>
      <w:r>
        <w:rPr>
          <w:rFonts w:ascii="Times New Roman;serif" w:hAnsi="Times New Roman;serif"/>
          <w:b w:val="false"/>
          <w:color w:val="000000"/>
          <w:sz w:val="24"/>
          <w:u w:val="single"/>
        </w:rPr>
        <w:t>Section 9.07</w:t>
      </w:r>
      <w:r>
        <w:rPr>
          <w:rFonts w:ascii="Times New Roman;serif" w:hAnsi="Times New Roman;serif"/>
          <w:b w:val="false"/>
          <w:color w:val="000000"/>
          <w:sz w:val="24"/>
        </w:rPr>
        <w:t xml:space="preserve">. Notwithstanding replacement of the Trustee pursuant to this </w:t>
      </w:r>
      <w:r>
        <w:rPr>
          <w:rFonts w:ascii="Times New Roman;serif" w:hAnsi="Times New Roman;serif"/>
          <w:b w:val="false"/>
          <w:color w:val="000000"/>
          <w:sz w:val="24"/>
          <w:u w:val="single"/>
        </w:rPr>
        <w:t>Section 9.07</w:t>
      </w:r>
      <w:r>
        <w:rPr>
          <w:rFonts w:ascii="Times New Roman;serif" w:hAnsi="Times New Roman;serif"/>
          <w:b w:val="false"/>
          <w:color w:val="000000"/>
          <w:sz w:val="24"/>
        </w:rPr>
        <w:t xml:space="preserve">, the Issuer’s and the Guarantors’ obligations under </w:t>
      </w:r>
      <w:r>
        <w:rPr>
          <w:rFonts w:ascii="Times New Roman;serif" w:hAnsi="Times New Roman;serif"/>
          <w:b w:val="false"/>
          <w:color w:val="000000"/>
          <w:sz w:val="24"/>
          <w:u w:val="single"/>
        </w:rPr>
        <w:t>Section 9.07</w:t>
      </w:r>
      <w:r>
        <w:rPr>
          <w:color w:val="000000"/>
        </w:rPr>
        <w:t xml:space="preserve"> </w:t>
      </w:r>
      <w:r>
        <w:rPr>
          <w:rFonts w:ascii="Times New Roman;serif" w:hAnsi="Times New Roman;serif"/>
          <w:b w:val="false"/>
          <w:color w:val="000000"/>
          <w:sz w:val="24"/>
        </w:rPr>
        <w:t>shall continue for the benefit of the retiring Trustee.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9.07</w:t>
      </w:r>
      <w:r>
        <w:rPr>
          <w:color w:val="000000"/>
        </w:rPr>
        <w:t xml:space="preserve"> </w:t>
      </w:r>
      <w:r>
        <w:rPr>
          <w:rFonts w:ascii="Times New Roman;serif" w:hAnsi="Times New Roman;serif"/>
          <w:b w:val="false"/>
          <w:color w:val="000000"/>
          <w:sz w:val="24"/>
        </w:rPr>
        <w:t>shall be applicable to the Collateral Agent, as if references to the “Trustee” were references to the “Collateral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9.08    </w:t>
      </w:r>
      <w:r>
        <w:rPr>
          <w:rFonts w:ascii="Times New Roman;serif" w:hAnsi="Times New Roman;serif"/>
          <w:b w:val="false"/>
          <w:color w:val="000000"/>
          <w:sz w:val="24"/>
          <w:u w:val="single"/>
        </w:rPr>
        <w:t>Successor Trustee by Merger, Etc</w:t>
      </w:r>
      <w:r>
        <w:rPr>
          <w:rFonts w:ascii="Times New Roman;serif" w:hAnsi="Times New Roman;serif"/>
          <w:b w:val="false"/>
          <w:color w:val="000000"/>
          <w:sz w:val="24"/>
        </w:rPr>
        <w:t>. If the Trustee or any Agent consolidates, sells, merges or converts into, or transfers all or substantially all of its corporate trust business (including this transaction) to, another corporation, the successor corporation without any further act shall be the successor Trustee or any Agent, as applicable.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9.09    </w:t>
      </w:r>
      <w:r>
        <w:rPr>
          <w:rFonts w:ascii="Times New Roman;serif" w:hAnsi="Times New Roman;serif"/>
          <w:b w:val="false"/>
          <w:color w:val="000000"/>
          <w:sz w:val="24"/>
          <w:u w:val="single"/>
        </w:rPr>
        <w:t>Eligibility; Disqualification</w:t>
      </w:r>
      <w:r>
        <w:rPr>
          <w:rFonts w:ascii="Times New Roman;serif" w:hAnsi="Times New Roman;serif"/>
          <w:b w:val="false"/>
          <w:color w:val="000000"/>
          <w:sz w:val="24"/>
        </w:rPr>
        <w:t>. There shall at all times be a Trustee hereunder that is a corporation organized and doing business under the laws of the United States or of any state thereof that is authorized under such laws to exercise corporate trust powers and that is subject to supervision or examination by federal or state authorities. Such Trustee (or its parent) together with its affiliates shall at all times have a combined capital surplus of at least $50.0 million as set forth in its most recent annual report of condition.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9.10    </w:t>
      </w:r>
      <w:r>
        <w:rPr>
          <w:rFonts w:ascii="Times New Roman;serif" w:hAnsi="Times New Roman;serif"/>
          <w:b w:val="false"/>
          <w:color w:val="000000"/>
          <w:sz w:val="24"/>
          <w:u w:val="single"/>
        </w:rPr>
        <w:t>Appointment of Authenticating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At any time when any of the Notes remain outstanding, the Trustee may appoint an Authenticating Agent or Agents with respect to the Notes which shall be authorized to act on behalf of the Trustee to authenticate the Notes and the Trustee shall give written notice of such appointment to all Holders of Notes, in the manner provided for in </w:t>
      </w:r>
      <w:r>
        <w:rPr>
          <w:rFonts w:ascii="Times New Roman;serif" w:hAnsi="Times New Roman;serif"/>
          <w:b w:val="false"/>
          <w:color w:val="000000"/>
          <w:sz w:val="24"/>
          <w:u w:val="single"/>
        </w:rPr>
        <w:t>Section 13.02</w:t>
      </w:r>
      <w:r>
        <w:rPr>
          <w:rFonts w:ascii="Times New Roman;serif" w:hAnsi="Times New Roman;serif"/>
          <w:b w:val="false"/>
          <w:color w:val="000000"/>
          <w:sz w:val="24"/>
        </w:rPr>
        <w:t xml:space="preserve">. Notes so authenticated shall be entitled to the benefits of this Indenture and shall be valid and obligatory for all purposes as if authenticated by the Trustee hereunder. Any such appointment shall be </w:t>
      </w:r>
    </w:p>
    <w:p>
      <w:pPr>
        <w:pStyle w:val="TextBody"/>
        <w:bidi w:val="0"/>
        <w:spacing w:before="0" w:after="0"/>
        <w:jc w:val="both"/>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evidenced by an instrument in writing signed by the Trustee, and a copy of such instrument shall be promptly furnished to the Issuer.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Each Authenticating Agent shall be reasonably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at least $50.0 million and subject to supervision or examination by federal or state authority. If such corporation publishes or files reports of condition at least annually, pursuant to law or to the requirements of said supervising or examining authority, then for the purposes of this </w:t>
      </w:r>
      <w:r>
        <w:rPr>
          <w:rFonts w:ascii="Times New Roman;serif" w:hAnsi="Times New Roman;serif"/>
          <w:b w:val="false"/>
          <w:color w:val="000000"/>
          <w:sz w:val="24"/>
          <w:u w:val="single"/>
        </w:rPr>
        <w:t>Section 9.10</w:t>
      </w:r>
      <w:r>
        <w:rPr>
          <w:rFonts w:ascii="Times New Roman;serif" w:hAnsi="Times New Roman;serif"/>
          <w:b w:val="false"/>
          <w:color w:val="000000"/>
          <w:sz w:val="24"/>
        </w:rPr>
        <w:t xml:space="preserve">, the combined capital and surplus of such corporation shall be deemed to be its combined capital and surplus as set forth in its most recent report of condition so published or filed. If at any time an Authenticating Agent shall cease to be eligible in accordance with the provisions of this Section, it shall resign immediately in the manner and with the effect specified in this </w:t>
      </w:r>
      <w:r>
        <w:rPr>
          <w:rFonts w:ascii="Times New Roman;serif" w:hAnsi="Times New Roman;serif"/>
          <w:b w:val="false"/>
          <w:color w:val="000000"/>
          <w:sz w:val="24"/>
          <w:u w:val="single"/>
        </w:rPr>
        <w:t>Section 9.10</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written notice of such appointment to all Holders of Notes, in the manner provided for in this Section 9.10.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9.10.</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(e)    The Issuer agrees to pay to each Authenticating Agent from time to time reasonable compensation for its services under this </w:t>
      </w:r>
      <w:r>
        <w:rPr>
          <w:rFonts w:ascii="Times New Roman;serif" w:hAnsi="Times New Roman;serif"/>
          <w:b w:val="false"/>
          <w:color w:val="000000"/>
          <w:sz w:val="24"/>
          <w:u w:val="single"/>
        </w:rPr>
        <w:t>Section 9.10</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9.11    </w:t>
      </w:r>
      <w:r>
        <w:rPr>
          <w:rFonts w:ascii="Times New Roman;serif" w:hAnsi="Times New Roman;serif"/>
          <w:b w:val="false"/>
          <w:color w:val="000000"/>
          <w:sz w:val="24"/>
          <w:u w:val="single"/>
        </w:rPr>
        <w:t>The Calculation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Issuer hereby appoints U.S. Bank as Calculation Agent in accordance with the terms of the Notes solely with respect to calculating the amount of interest to be paid with respect to the Notes, including determining the Alternate Base Rate and the Term SOFR, in the manner and at the times provided in the Notes and Indenture, and U.S. Bank hereby accepts such appointment.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Calculation Agent shall not be under any duty to succeed to, assume or otherwise perform any of the duties of the Issuer or its designee, or to appoint a successor or replacement designee in the event of its resignation or removal, or to remove and replace the Issuer’s designee in the event of a default, breach or failure of performance on the part of the designee with respect to its duties and obligations under the terms of this Indenture and the Notes. In the event that the Calculation Agent has determined (and notified the Issuer or its designee that), or has been notified that, the current designated benchmark is not or will not be available on an Interest Payment Determination Date, then unless the Calculation Agent is notified of a Benchmark Replacement in accordance with the provisions of the terms of this Indenture and the Notes at least one U.S. Government Securities Business Day prior to the applicable Interest Payment Date, the Calculation Agent shall use the interest rate in effect for the immediately prior interest period.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acting under this Indenture, the Calculation Agent (in its capacity as such) does not assume any obligation toward, or any relationship of agency or trust for or with the Holders of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Calculation Agent shall have no liability for any interest rate published by any publication that is the source for determining the interest rates of the Notes, or for any rates published on any publicly available source, including without limitation the SOFR Administrator’s Website, or in any of the foregoing cases for any delay, error or inaccuracy in the publication of any such, or for any subsequent correction or adjustment thereto.</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If the Calculation Agent receives any certificate, statement, request, notice, advice, instruction, direction or other agreement or instrument from the Issuer or its designee, or any other party with respect to the performance of its duties hereunder which, in the Calculation Agent’s reasonable and good faith opinion, is in conflict with any of the provisions of this Indenture, or is advised that a dispute has arisen with respect to any part of this Indenture as between the Issuer and the holders of the Notes, the Calculation Agent may, without liability to any person, refrain from taking any action until such conflict or dispute is resolved to the satisfaction of the Calculation Agent. The Calculation Agent shall be under no duty to institute or defend any legal proceedings. The Calculation Agent, in its individual or in any other capacity, may become interested in any financial or other transaction with the Issuer as freely as if it were not the Calculation Agent.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The Calculation Agent may at any time resign as Calculation Agent by giving written notice to the Issuer of such intention on its part, specifying the date on which its desired resignation shall become effective; provided that such notice shall be given not less than </w:t>
      </w:r>
    </w:p>
    <w:p>
      <w:pPr>
        <w:pStyle w:val="TextBody"/>
        <w:bidi w:val="0"/>
        <w:spacing w:before="0" w:after="0"/>
        <w:jc w:val="both"/>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30 days prior to the said effective date unless the Issuer otherwise agrees in writing. The Calculation Agent may be removed by the Issuer giving notice in writing signed by the Issuer specifying such removal and the date when it shall become effective. Upon receipt of such notice of resignation or the giving of such notice of removal, the Issuer shall promptly appoint a successor Calculation Agent (which may be the Issuer, an affiliate or another person which is a bank, trust company, investment banking firm or other financial institution), which appointment shall take effect prior to the effective date of such resignation or removal. If no successor shall have been so appointed and have accepted appointment within 30 days after the giving of such notice of resignation or removal, the resignation of the Calculation Agent shall be automatically effective, and the Issuer shall be the Calculation Agent. Any successor Calculation Agent appointed hereunder shall execute and deliver to its predecessor and the Issuer an instrument accepting such appointment hereunder, and thereupon such successor Calculation Agent, without any further act, deed or conveyance, shall become vested with all the authority, rights, powers, immunities, duties and obligations of such predecessor with like effect as if originally named as the Calculation Agent hereunder, and such predecessor shall thereupon become obliged to transfer and deliver, and such successor Calculation Agent shall be entitled to receive, copies of any relevant records maintained by such predecessor Calculation Agent. Any business entity into which the Calculation Agent may be merged or converted or consolidated or any business entity resulting from any merger, conversion or consolidation to which the Calculation Agent shall be a party, or any corporation to which the Calculation Agent shall sell or otherwise transfer all or substantially all the corporate trust assets and business of the Calculation Agent, shall, to the extent permitted by applicable law, be the successor Calculation Agent under this Indenture without the execution or filing of any paper or any further act on the part of any of the parties hereto. Notice of any such merger, conversion or consolidation shall forthwith be given to the Issuer.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w:t>
        <w:br/>
        <w:t>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10.01    </w:t>
      </w:r>
      <w:r>
        <w:rPr>
          <w:rFonts w:ascii="Times New Roman;serif" w:hAnsi="Times New Roman;serif"/>
          <w:b w:val="false"/>
          <w:color w:val="000000"/>
          <w:sz w:val="24"/>
          <w:u w:val="single"/>
        </w:rPr>
        <w:t>The Collateral</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The Issuer and the Guarantors hereby appoint U.S. Bank to act as Collateral Agent, and each Holder, by its acceptance of any Notes and the Guarantees thereof, irrevocably consents and agrees to such appointment. The Collateral Agent shall have the privileges, powers, indemnities and immunities as set forth in this Indenture and the Security Documents. Notwithstanding any provision to the contrary contained elsewhere in this Indenture or the Security Documents, the duties of the Collateral Agent shall be ministerial and administrative in nature, and the Collateral Agent shall not have any duties or responsibilities, except those expressly set forth herein and in the Security Documents to which the Collateral Agent is a party, nor shall the Collateral Agent have or be deemed to have any trust or other fiduciary relationship with the Trustee, any Holder, the Issuer or any Guarantor, and no implied covenants, functions, responsibilities, duties, obligations or liabilities shall be read into this Indenture or the Security Documents or otherwise exist against the Collateral Agent. Without limiting the generality of the foregoing sentence, the use of the term “agent” in this Indenture with reference to the Collateral Agent is not intended to connote any fiduciary or other implied </w:t>
      </w:r>
    </w:p>
    <w:p>
      <w:pPr>
        <w:pStyle w:val="TextBody"/>
        <w:bidi w:val="0"/>
        <w:spacing w:before="0" w:after="0"/>
        <w:jc w:val="both"/>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(or express) obligations arising under agency doctrine of any applicable law. Instead, such term is used merely as a matter of market custom, and is intended to create or reflect only an administrative relationship between independent contracting parties. From and after the Restatement Effective Date, the due and punctual payment of the principal of, premium, if any, and interest on the Notes and the Guarantees thereof when and as the same shall be due and payable, whether on an Interest Payment Date, at maturity, by acceleration, repurchase, redemption or otherwise, interest on the overdue principal of and interest (to the extent permitted by law), if any, on the Notes and the Guarantees thereof and performance of all other obligations under this Indenture, including, without limitation, the obligations of the Issuer set forth in </w:t>
      </w:r>
      <w:r>
        <w:rPr>
          <w:rFonts w:ascii="Times New Roman;serif" w:hAnsi="Times New Roman;serif"/>
          <w:b w:val="false"/>
          <w:color w:val="000000"/>
          <w:sz w:val="24"/>
          <w:u w:val="single"/>
        </w:rPr>
        <w:t>Section 9.06</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herein, and the Notes and the Guarantees thereof and the Security Documents, shall be secured by (i) first-priority Liens and security interests on the Notes Priority Collateral and (ii) second-priority Liens and security interests on the ABL Priority Collateral (in each case subject to Permitted Liens), as and to the extent provided in the Security Documents, including the Security Agreement substantially in the form attached as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 xml:space="preserve">hereto and the ABL/Note Intercreditor Agreement substantially in the form attached as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 xml:space="preserve">hereto, and shall be further secured pursuant to the Security Documents hereafter delivered as required or permitted by this Indenture and the Security Documents. The Collateral will also secure the Issuer’s and the Guarantors’ Obligations under the ABL Credit Agreement and any Permitted Additional Debt that is secured on a basis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the Obligations as provided in the Intercreditor Agreements. The Issuer and the Guarantors hereby agree that the Collateral Agent shall hold the Collateral on behalf of and for the benefit of all of the Holders, the Trustee and the Collateral Agent, in each case pursuant to the terms of the Security Documents, and the Collateral Agent and the Trustee are hereby directed and authorized by the Holders to execute and deliver the Security Agreement, including the exhibits thereto, the Intercreditor Agreement and the other Security Documents to which they are a party.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Holder, by its acceptance of any Notes and the Guarantees thereof, irrevocably consents and agrees to the terms of the Security Documents (including, without limitation, the provisions providing for foreclosure and release of Collateral) as the same may be in effect or may be amended from time to time in accordance with their terms, agrees to the appointment of the Collateral Agent and authorizes and directs the Collateral Agent (i) to enter into the Security Documents to which it is a party (including, without limitation, the ABL/Note Intercreditor Agreement), whether executed on or after the Closing Date, and perform its obligations and exercise its rights, powers and discretions under the Security Documents in accordance therewith, (ii) make the representations of the Holders set forth in the Security Documents (including, without limitation, the ABL/Note Intercreditor Agreement), and (iii) bind the Holders on the terms as set forth in the Security Documents (including, without limitation, the ABL/Note Intercreditor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The Trustee, the Collateral Agent and each Holder, by accepting the Notes and the Guarantees thereof acknowledges that, as more fully set forth in the Security Documents, the Collateral as now or hereafter constituted shall be held for the benefit of all the Holders, the Collateral Agent and the Trustee, and that the Lien of this Indenture and the Security Documents in respect of the Trustee, the Collateral Agent and the Holders is subject to and qualified and limited in all respects by the Security Documents and actions that may be taken thereunder.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10.02    </w:t>
      </w:r>
      <w:r>
        <w:rPr>
          <w:rFonts w:ascii="Times New Roman;serif" w:hAnsi="Times New Roman;serif"/>
          <w:b w:val="false"/>
          <w:color w:val="000000"/>
          <w:sz w:val="24"/>
          <w:u w:val="single"/>
        </w:rPr>
        <w:t>Maintenance of Collateral; Further Assurances</w:t>
      </w:r>
      <w:r>
        <w:rPr>
          <w:rFonts w:ascii="Times New Roman;serif" w:hAnsi="Times New Roman;serif"/>
          <w:b w:val="false"/>
          <w:color w:val="000000"/>
          <w:sz w:val="24"/>
        </w:rPr>
        <w:t>. The Issuer and the Guarantors shall maintain the Collateral that is material to the conduct of their respective businesses in good, safe and insurable operating order, condition and repair (ordinary wear and tear excepted). The Issuer and the Guarantors shall pay all real estate and other taxes (except such as are contested in good faith and by appropriate negotiations or proceedings), and maintain in full force and effect all material permits and insurance in amounts that insures against such losses and risks as are reasonable for the type and size of the business of the Issuer and the Guarantors, except, in each case, where the failure to effect such payment or maintain such permits or insurance coverages is not adverse in any material respect to the Holders.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10.03    </w:t>
      </w:r>
      <w:r>
        <w:rPr>
          <w:rFonts w:ascii="Times New Roman;serif" w:hAnsi="Times New Roman;serif"/>
          <w:b w:val="false"/>
          <w:color w:val="000000"/>
          <w:sz w:val="24"/>
          <w:u w:val="single"/>
        </w:rPr>
        <w:t>Release of Liens on the Collateral</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Liens on the Collateral securing the Notes will automatically and without the need for any further action by any Person be released: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in whole , upon payment in full of the principal of, accrued and unpaid interest and premium, if any, on the Notes;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in whole upon:</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(A)    a Legal Defeasance or Covenant Defeasance as set forth in </w:t>
      </w:r>
      <w:r>
        <w:rPr>
          <w:rFonts w:ascii="Times New Roman;serif" w:hAnsi="Times New Roman;serif"/>
          <w:b w:val="false"/>
          <w:color w:val="000000"/>
          <w:sz w:val="24"/>
          <w:u w:val="single"/>
        </w:rPr>
        <w:t>Article XI</w:t>
      </w:r>
      <w:r>
        <w:rPr>
          <w:color w:val="000000"/>
        </w:rPr>
        <w:t xml:space="preserve"> </w:t>
      </w:r>
      <w:r>
        <w:rPr>
          <w:rFonts w:ascii="Times New Roman;serif" w:hAnsi="Times New Roman;serif"/>
          <w:b w:val="false"/>
          <w:color w:val="000000"/>
          <w:sz w:val="24"/>
        </w:rPr>
        <w:t>hereof; or</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(B)    the satisfaction and discharge of this Indenture as set forth in </w:t>
      </w:r>
      <w:r>
        <w:rPr>
          <w:rFonts w:ascii="Times New Roman;serif" w:hAnsi="Times New Roman;serif"/>
          <w:b w:val="false"/>
          <w:color w:val="000000"/>
          <w:sz w:val="24"/>
          <w:u w:val="single"/>
        </w:rPr>
        <w:t>Section 11.08</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in part, as to any property constituting Collateral that (a) is sold, transferred or otherwise disposed of by the Issuer or any Guarantor (other than to the Issuer or another Guarantor) in a transaction not prohibited by this Indenture or the Security Documents at the time of such sale, transfer or disposition or (b) is owned or at any time acquired by a Guarantor that has been released from its Guarantee in accordance with this Indenture, concurrently with the release of such Guarantee (including in connection with the designation of a Guarantor as an Unrestricted Subsidiary);</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(iv)    in whole or in part, as applicable, in accordance with the provisions in </w:t>
      </w:r>
      <w:r>
        <w:rPr>
          <w:rFonts w:ascii="Times New Roman;serif" w:hAnsi="Times New Roman;serif"/>
          <w:b w:val="false"/>
          <w:color w:val="000000"/>
          <w:sz w:val="24"/>
          <w:u w:val="single"/>
        </w:rPr>
        <w:t>Article XII</w:t>
      </w:r>
      <w:r>
        <w:rPr>
          <w:rFonts w:ascii="Times New Roman;serif" w:hAnsi="Times New Roman;serif"/>
          <w:b w:val="false"/>
          <w:color w:val="000000"/>
          <w:sz w:val="24"/>
        </w:rPr>
        <w: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in part, in accordance with the applicable provisions of the Security Documents and the Intercreditor Agreement;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in whole or in part, as applicable, as to all or any part of the Collateral that has been taken by eminent domain, condemnation or other similar circumstances,</w:t>
      </w:r>
    </w:p>
    <w:p>
      <w:pPr>
        <w:pStyle w:val="TextBody"/>
        <w:bidi w:val="0"/>
        <w:spacing w:lineRule="auto" w:line="288" w:before="0" w:after="240"/>
        <w:jc w:val="both"/>
        <w:rPr/>
      </w:pP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in the case of any release in whole pursuant to clauses (i), (ii) and (iv) above, all amounts owing to the Trustee and the Collateral Agent under this Indenture, the Notes, the Guarantees, the Security Documents and the Intercreditor Agreement have been paid in full.</w:t>
      </w:r>
    </w:p>
    <w:p>
      <w:pPr>
        <w:pStyle w:val="TextBody"/>
        <w:bidi w:val="0"/>
        <w:spacing w:before="0" w:after="0"/>
        <w:jc w:val="both"/>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To the extent a proposed release of Collateral is not automatic and requires action by the Trustee or the Collateral Agent, the Issuer and each Guarantor will furnish to the Trustee and the Collateral Agent, prior to each proposed release of such Collateral pursuant to the Security Documents and this Indenture, an Officer’s Certificate and an Opinion of Counsel that all conditions precedent provided for in this Indenture and the Security Documents relating to such release have been complied with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Upon compliance by the Issuer or the Guarantors, as the case may be, with the conditions precedent set forth above, the Trustee or the Collateral Agent shall promptly cause to be released and reconveyed (at the expense of the Issuer or the Guarantors) to the Issuer or the Guarantors, as the case may be, the released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10.04    </w:t>
      </w:r>
      <w:r>
        <w:rPr>
          <w:rFonts w:ascii="Times New Roman;serif" w:hAnsi="Times New Roman;serif"/>
          <w:b w:val="false"/>
          <w:color w:val="000000"/>
          <w:sz w:val="24"/>
          <w:u w:val="single"/>
        </w:rPr>
        <w:t>Authorization of Actions to be Taken by the Trustee or the Collateral Agent Under the Security Documents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Subject to the provisions of the Security Documents, each of the Trustee or the Collateral Agent may (but shall not be obligated to), in its sole discretion and without the consent of the Holders, on behalf of the Holders, take all actions it deems necessary or appropriate in order to (i) enforce any of its rights or any of the rights of the Holders under the Security Documents and (ii) collect and receive any and all amounts payable in respect of the Collateral in respect of the obligations of the Issuer and the Guarantors hereunder and thereunder. Subject to the provisions of the Security Documents, the Trustee or the Collateral Agent shall have the power to institute and to maintain such suits and proceedings as it may deem expedient to prevent any impairment of the Collateral by any acts that may be unlawful or in violation of the Security Documents or this Indenture, and such suits and proceedings as the Trustee or the Collateral Agent may deem expedient to preserve or protect its interest and the interests of the Holders in the Collateral (including power to institute and maintain suits or proceedings to restrain the enforcement of or compliance with any legislative or other governmental enactment, rule or order that may be unconstitutional or otherwise invalid if the enforcement of, or compliance with, such enactment, rule or order would impair the security interest hereunder or be prejudicial to the interests of the Holders or the Trustee).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Except as otherwise expressly set forth in </w:t>
      </w:r>
      <w:r>
        <w:rPr>
          <w:rFonts w:ascii="Times New Roman;serif" w:hAnsi="Times New Roman;serif"/>
          <w:b w:val="false"/>
          <w:color w:val="000000"/>
          <w:sz w:val="24"/>
          <w:u w:val="single"/>
        </w:rPr>
        <w:t>Section 4.4</w:t>
      </w:r>
      <w:r>
        <w:rPr>
          <w:color w:val="000000"/>
        </w:rPr>
        <w:t xml:space="preserve"> </w:t>
      </w:r>
      <w:r>
        <w:rPr>
          <w:rFonts w:ascii="Times New Roman;serif" w:hAnsi="Times New Roman;serif"/>
          <w:b w:val="false"/>
          <w:color w:val="000000"/>
          <w:sz w:val="24"/>
        </w:rPr>
        <w:t>of the Security Agreement, neither the Trustee nor the Collateral Agent shall be responsible for, nor do they make any representation regarding, the existence, genuineness or value of any of the Collateral or for the validity, perfection, priority or enforceability of the Liens in any of the Collateral, whether impaired by operation of law or by reason of any action or omission to act on its part hereunder, for the validity or sufficiency of the Collateral or any agreement or assignment contained therein, for the validity of the title of the Issuer to the Collateral, for insuring the Collateral or for the payment of taxes, charges, assessments or Liens upon the Collateral or otherwise as to the maintenance of the Collateral. Neither the Trustee nor the Collateral Agent shall have any responsibility for recording, filing, re-recording or re-filing any financing statement, continuation statement, document, instrument or other notice in any public office at any time or times or to otherwise take any action to perfect or maintain the perfection of any security interest granted to it under the Security Documents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146</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Where any provision of this Indenture requires that additional property or assets be added to the Collateral and a security interest with respect to such property or assets would not be created or perfected without preparation and execution of additional documentation, the Issuer and each Guarantor shall deliver to the Trustee or the Collateral Agent the following:</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 request from the Issuer that such Collateral be added;</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    the form of instrument adding such Collateral, which, based on the type and location of the property subject thereto, shall be in substantially the form of the applicable Security Documents entered into on the Closing Date, with such changes thereto as the Issuer shall consider appropriate, or in such other form as the Issuer shall deem proper;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any such changes or such form are administratively satisfactory to the Trustee and the Collateral Agent;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such financing statements, if any, as the Issuer shall deem necessary to perfect the Collateral Agent’s security interest in such Collateral.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Trustee and the Collateral Agent, in giving any consent or approval under the Security Documents or in executing any Security Documents or any Intercreditor Agreement (other than any Intercreditor Agreement executed on the Closing Date), shall be entitled to receive, as a condition to such consent or approval or to executing such document in the case of a request to execute a Security Document or an Intercreditor Agreement, a request of the Issuer and, in all cases, an Officer’s Certificate and an Opinion of Counsel to the effect that all conditions precedent specified in this Indenture with respect to the action or omission for which consent or approval is to be given have been satisfied or that such action or omission for which consent or approval is not being given does not violate this Indenture, and the Trustee and the Collateral Agent shall be fully protected in giving such consent or approval on the basis of such certificate and Opinion of Counsel.</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Notwithstanding anything else to the contrary herein, whenever reference is made in this Indenture or any Security Document to any discretionary action by, consent, designation, specification, requirement or approval of, notice, request or other communication from, or other direction given or action to be undertaken or to be (or not to be) suffered or omitted by the Collateral Agent or to any election, decision, opinion, acceptance, use of judgment, expression of satisfaction or other exercise of discretion, rights or remedies to be made (or not to be made) by the Collateral Agent, it is understood that in all cases the Collateral Agent shall be fully justified in failing or refusing to take any such action under this Indenture if it shall not have received such written instruction, advice or concurrence of the requisite percentage of Holders or from the Trustee (acting at the direction of the requisite percentage of Holders and otherwise in accordance with this Indenture, Intercreditor Agreements and other Security Documents), and such indemnity from the Holders as it deems appropriate. This provision is intended solely for the benefit of the Collateral Agent and its successors and permitted assigns and is not intended to and will not entitle the other parties hereto to any defense, claim or counterclaim, or confer any rights or benefits on any party hereto.</w:t>
      </w:r>
    </w:p>
    <w:p>
      <w:pPr>
        <w:pStyle w:val="TextBody"/>
        <w:bidi w:val="0"/>
        <w:spacing w:before="0" w:after="0"/>
        <w:jc w:val="both"/>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10.05    </w:t>
      </w:r>
      <w:r>
        <w:rPr>
          <w:rFonts w:ascii="Times New Roman;serif" w:hAnsi="Times New Roman;serif"/>
          <w:b w:val="false"/>
          <w:color w:val="000000"/>
          <w:sz w:val="24"/>
          <w:u w:val="single"/>
        </w:rPr>
        <w:t>Notes Collateral Account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Trustee is authorized to receive any funds for the benefit of the Holders distributed under, and in accordance with, the Security Documents, and to make further distributions of such funds to the Holders according to the provisions of this Indenture, the Security Documents and the Intercreditor Agreement.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Issuer shall establish upon the first Asset Sale of Notes Priority Collateral, with the Collateral Agent the Notes Collateral Account, which shall at all times hereafter until this Indenture shall have terminated, be maintained with, and under the control of, the Collateral Agent. The Net Cash Proceeds from any Asset Sale of Notes Priority Collateral shall be deposited in such Notes Collateral Account pending distribution in accordance with </w:t>
      </w:r>
      <w:r>
        <w:rPr>
          <w:rFonts w:ascii="Times New Roman;serif" w:hAnsi="Times New Roman;serif"/>
          <w:b w:val="false"/>
          <w:color w:val="000000"/>
          <w:sz w:val="24"/>
          <w:u w:val="single"/>
        </w:rPr>
        <w:t>Section 3.08(a)</w:t>
      </w:r>
      <w:r>
        <w:rPr>
          <w:color w:val="000000"/>
        </w:rPr>
        <w:t xml:space="preserve"> </w:t>
      </w:r>
      <w:r>
        <w:rPr>
          <w:rFonts w:ascii="Times New Roman;serif" w:hAnsi="Times New Roman;serif"/>
          <w:b w:val="false"/>
          <w:color w:val="000000"/>
          <w:sz w:val="24"/>
        </w:rPr>
        <w:t>of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10.06    </w:t>
      </w:r>
      <w:r>
        <w:rPr>
          <w:rFonts w:ascii="Times New Roman;serif" w:hAnsi="Times New Roman;serif"/>
          <w:b w:val="false"/>
          <w:color w:val="000000"/>
          <w:sz w:val="24"/>
          <w:u w:val="single"/>
        </w:rPr>
        <w:t>Information Regarding Collateral</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Issuer shall furnish to the Collateral Agent, with respect to the Issuer or any Guarantor, promptly (and in any event within no more than thirty days of such change) written notice of any change in such Person’s (i) legal name, (ii) jurisdiction of organization or formation, (iii) identity or corporate structure or (iv) legal identification number. The Issuer and the Guarantors will take all necessary action so that the Lien in favor of the Collateral Agent pursuant to this Indenture and/or the Security Documents is perfected with the same priority as immediately prior to such change to the extent required by this Indenture and/or the Security Documents. The Issuer shall also promptly notify the Collateral Agent if any material portion of the Collateral is damaged, destroyed or condemned.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Each year, within 120 days after the end of the preceding fiscal year, the Issuer shall deliver to each of the Trustee and the Collateral Agent a certificate of a Financial Officer of the Issuer setting forth the information required pursuant to the schedules required by this Indenture and/or the Security Documents or confirming that there has been no change in such information since the date of the prior annual certification.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10.07    </w:t>
      </w:r>
      <w:r>
        <w:rPr>
          <w:rFonts w:ascii="Times New Roman;serif" w:hAnsi="Times New Roman;serif"/>
          <w:b w:val="false"/>
          <w:color w:val="000000"/>
          <w:sz w:val="24"/>
          <w:u w:val="single"/>
        </w:rPr>
        <w:t>Regarding the Collateral Agent</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Collateral Agent is authorized and empowered to appoint one or more subagents or co-collateral agents as it deems necessary or appropriate.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    Except as otherwise expressly set forth in Section 4.4 of the Security Agreement, neither the Trustee nor the Collateral Agent shall have any obligation whatsoever to the Trustee or any of the Holders to assure that the Collateral exists or is owned by any Note Party or is cared for, protected, or insured or has been encumbered, or that the Collateral Agent’s Liens have been properly or sufficiently or lawfully created, perfected, protected, maintained or enforced or are entitled to any particular priority, or to determine whether all of the Issuer’s or any Guarantor’s property constituting collateral intended to be subject to the Lien and security interest of the Security Documents has been properly and completely listed or delivered, as the case maybe, or the genuineness, validity, marketability or sufficiency thereof or title thereto, or </w:t>
      </w:r>
    </w:p>
    <w:p>
      <w:pPr>
        <w:pStyle w:val="TextBody"/>
        <w:bidi w:val="0"/>
        <w:spacing w:before="0" w:after="0"/>
        <w:jc w:val="both"/>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exercise at all or in any particular manner or under any duty of care, disclosure, or fidelity, or to continue exercising, any of the rights, authorities, and powers granted or available to the Collateral Agent pursuant to this Indenture or any Security Document other than pursuant to the instructions of the Trustee or the Holders of a majority in aggregate principal amount of the Notes or as otherwise provided in the Security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Notwithstanding anything to the contrary contained in this Indenture or the Security Documents, in the event the Collateral Agent is entitled or required to commence an action to foreclose or otherwise exercise its remedies to acquire control or possession of the Collateral, the Collateral Agent shall not be required to commence any such action or exercise any remedy or to inspect or conduct any studies of any property under the mortgages or take any such other action if the Collateral Agent has determined that the Collateral Agent may incur personal liability as a result of the presence at, or release on or from, the Collateral or such property, of any hazardous substances. The Collateral Agent shall at any time be entitled to cease taking any action described in this clause if it no longer reasonably deems any indemnity, security or undertaking from the Issuer or the Holders to be sufficient.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Collateral Agent shall not be liable for (i) any action taken or omitted to be taken by it in connection with this Indenture and the Security Documents or instrument referred to herein or therein, except to the extent that any of the foregoing are found by a final, non-appealable judgment of a court of competent jurisdiction to have resulted from its own gross negligence or willful misconduct, and (ii) interest on any money received by it except as the Collateral Agent may agree in writing with the Issuer (and money held in trust by the Collateral Agent shall be segregated from other funds except to the extent required by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Collateral Agent shall exercise reasonable care in the custody of any Collateral in its possession or control or in the possession or control of any agent or bailee or any income thereon. The Collateral Agent shall be deemed to have exercised reasonable care in the custody of Collateral in its possession if the Collateral is accorded treatment substantially equal to that which it accords similar property held for its own benefit and shall not be liable or responsible for any loss or diminution in value of any of the Collateral, including, without limitation, by reason of the act or omission of any carrier, forwarding agency or other agent or bailee selected by the Collateral Agent in good faith.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(f)    The parties hereto and the Holders hereby agree and acknowledge that neither the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Security Documents or any actions taken pursuant hereto or thereto. Further, the parties hereto and the Holders hereby agree and acknowledge that in the exercise of its rights under this Indenture and the Security Documents, the Collateral Agent or the Trustee may hold or obtain indicia of ownership primarily to protect </w:t>
      </w:r>
    </w:p>
    <w:p>
      <w:pPr>
        <w:pStyle w:val="TextBody"/>
        <w:bidi w:val="0"/>
        <w:spacing w:before="0" w:after="0"/>
        <w:jc w:val="both"/>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149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the security interest of the Collateral Agent or the Trustee in the Collateral and that any such actions taken by the Collateral Agent or the Trustee shall not be construed as or otherwise constitute any participation in the management of such Collateral. In the event that the Collateral Agent or the Trustee is required to acquire title to an asset for any reason, or take any managerial action of any kind in regard thereto, which in the Collateral Agent’s or the Trustee’s sole discretion may cause the Collateral Agent or the Trustee to be considered an “owner or operator” under the provisions of the Comprehensive Environmental Response, Compensation and Liability Act (“</w:t>
      </w:r>
      <w:r>
        <w:rPr>
          <w:rFonts w:ascii="Times New Roman;serif" w:hAnsi="Times New Roman;serif"/>
          <w:b/>
          <w:color w:val="000000"/>
          <w:sz w:val="24"/>
        </w:rPr>
        <w:t>CERCLA</w:t>
      </w:r>
      <w:r>
        <w:rPr>
          <w:color w:val="000000"/>
        </w:rPr>
        <w:t>”</w:t>
      </w:r>
      <w:r>
        <w:rPr>
          <w:rFonts w:ascii="Times New Roman;serif" w:hAnsi="Times New Roman;serif"/>
          <w:b w:val="false"/>
          <w:color w:val="000000"/>
          <w:sz w:val="24"/>
        </w:rPr>
        <w:t>), 42 U.S.C. §9601, et seq., or otherwise cause the Collateral Agent or the Trustee to incur liability under CERCLA or any other federal, state or local law, the Collateral Agent and the Trustee reserves the right, instead of taking such action, to either resign as the Collateral Agent or the Trustee or arrange for the transfer of the title or control of the asset to a court-appointed receiver. Neither the Collateral Agent nor the Trustee shall be liable to the Issuer, the Guarantors or any other Person for any environmental claims or contribution actions under any federal, state or local law, rule or regulation by reason of the Collateral Agent’s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Collateral Agent or the Trustee) other than the Issuer or the Guarantors, subject to the terms of the Security Documents, a majority in interest of Holders shall direct the Collateral Agent or the Trustee to appoint an appropriately qualified Person (excluding the Collateral Agent or the Trustee) whom it shall designate to possess, own, operate or manage, as the case may be, such property.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For the avoidance of doubt, the rights, privileges, protections, immunities and benefits given to the Collateral Agent hereunder, including, without limitation, its right to be indemnified prior to taking action, shall survive the satisfaction, discharge or termination of this Indenture or earlier termination, resignation or removal of the Collateral Agent or the Trustee, in such capacity, with respect to the holders of the ABL Priority Collateral , as applicable, to the extent the Security Documents remain in force thereafter.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w:t>
        <w:br/>
        <w:t>DEFEASANCE; DISCHARGE OF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11.01    </w:t>
      </w:r>
      <w:r>
        <w:rPr>
          <w:rFonts w:ascii="Times New Roman;serif" w:hAnsi="Times New Roman;serif"/>
          <w:b w:val="false"/>
          <w:color w:val="000000"/>
          <w:sz w:val="24"/>
          <w:u w:val="single"/>
        </w:rPr>
        <w:t>Option to Effect Legal Defeasance or Covenant Defeasance</w:t>
      </w:r>
      <w:r>
        <w:rPr>
          <w:rFonts w:ascii="Times New Roman;serif" w:hAnsi="Times New Roman;serif"/>
          <w:b w:val="false"/>
          <w:color w:val="000000"/>
          <w:sz w:val="24"/>
        </w:rPr>
        <w:t xml:space="preserve">. The Issuer may, by delivery of an Officer’s Certificate, at any time, elect to have either Section </w:t>
      </w:r>
      <w:r>
        <w:rPr>
          <w:rFonts w:ascii="Times New Roman;serif" w:hAnsi="Times New Roman;serif"/>
          <w:b w:val="false"/>
          <w:color w:val="000000"/>
          <w:sz w:val="24"/>
          <w:u w:val="single"/>
        </w:rPr>
        <w:t>11.02</w:t>
      </w:r>
      <w:r>
        <w:rPr>
          <w:color w:val="000000"/>
        </w:rPr>
        <w:t xml:space="preserve"> </w:t>
      </w:r>
      <w:r>
        <w:rPr>
          <w:rFonts w:ascii="Times New Roman;serif" w:hAnsi="Times New Roman;serif"/>
          <w:b w:val="false"/>
          <w:color w:val="000000"/>
          <w:sz w:val="24"/>
        </w:rPr>
        <w:t xml:space="preserve">or Section </w:t>
      </w:r>
      <w:r>
        <w:rPr>
          <w:rFonts w:ascii="Times New Roman;serif" w:hAnsi="Times New Roman;serif"/>
          <w:b w:val="false"/>
          <w:color w:val="000000"/>
          <w:sz w:val="24"/>
          <w:u w:val="single"/>
        </w:rPr>
        <w:t>11.03</w:t>
      </w:r>
      <w:r>
        <w:rPr>
          <w:color w:val="000000"/>
        </w:rPr>
        <w:t xml:space="preserve"> </w:t>
      </w:r>
      <w:r>
        <w:rPr>
          <w:rFonts w:ascii="Times New Roman;serif" w:hAnsi="Times New Roman;serif"/>
          <w:b w:val="false"/>
          <w:color w:val="000000"/>
          <w:sz w:val="24"/>
        </w:rPr>
        <w:t xml:space="preserve">applied to all outstanding Notes upon compliance with the conditions set forth below in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11.02    </w:t>
      </w:r>
      <w:r>
        <w:rPr>
          <w:rFonts w:ascii="Times New Roman;serif" w:hAnsi="Times New Roman;serif"/>
          <w:b w:val="false"/>
          <w:color w:val="000000"/>
          <w:sz w:val="24"/>
          <w:u w:val="single"/>
        </w:rPr>
        <w:t>Legal Defeasance</w:t>
      </w:r>
      <w:r>
        <w:rPr>
          <w:rFonts w:ascii="Times New Roman;serif" w:hAnsi="Times New Roman;serif"/>
          <w:b w:val="false"/>
          <w:color w:val="000000"/>
          <w:sz w:val="24"/>
        </w:rPr>
        <w:t xml:space="preserve">. Upon the Issuer’s exercise under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 xml:space="preserve">of the option applicable to this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the Issuer shall, subject to the satisfaction of the conditions set forth in </w:t>
      </w:r>
      <w:r>
        <w:rPr>
          <w:rFonts w:ascii="Times New Roman;serif" w:hAnsi="Times New Roman;serif"/>
          <w:b w:val="false"/>
          <w:color w:val="000000"/>
          <w:sz w:val="24"/>
          <w:u w:val="single"/>
        </w:rPr>
        <w:t>Section 11.04</w:t>
      </w:r>
      <w:r>
        <w:rPr>
          <w:rFonts w:ascii="Times New Roman;serif" w:hAnsi="Times New Roman;serif"/>
          <w:b w:val="false"/>
          <w:color w:val="000000"/>
          <w:sz w:val="24"/>
        </w:rPr>
        <w:t>, be deemed to have been discharged from its obligations with respect to all outstanding Notes on the date the conditions set forth below are satisfied (hereinafter, “</w:t>
      </w:r>
      <w:r>
        <w:rPr>
          <w:rFonts w:ascii="Times New Roman;serif" w:hAnsi="Times New Roman;serif"/>
          <w:b/>
          <w:color w:val="000000"/>
          <w:sz w:val="24"/>
        </w:rPr>
        <w:t>Legal Defeasance</w:t>
      </w:r>
      <w:r>
        <w:rPr>
          <w:color w:val="000000"/>
        </w:rPr>
        <w:t>”</w:t>
      </w:r>
      <w:r>
        <w:rPr>
          <w:rFonts w:ascii="Times New Roman;serif" w:hAnsi="Times New Roman;serif"/>
          <w:b w:val="false"/>
          <w:color w:val="000000"/>
          <w:sz w:val="24"/>
        </w:rPr>
        <w:t xml:space="preserve">). For this purpose, Legal Defeasance means that the Issuer and the Guarantors shall be deemed to have paid and discharged the entire Obligations represented by the Notes and the Guarantees, which shall thereafter be deemed to be outstanding only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purposes of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and the other Sections of this Indenture referred to in clauses (a) and (b) below, and to have satisfied all of its other Obligations under such Notes, Guarantees and this Indenture (and the Trustee, on written demand of and at the expense of the Issuer, shall execute instruments acknowledging the same), and this Indenture shall cease to be of further effect as to all such Notes and Guarantees, except for the following provisions which shall survive until otherwise terminated or discharged hereunder: (a) the rights of Holders of outstanding Notes to receive payments in respect of the principal of, and interest and premium, if any, on such Notes when such payments are due from the trust funds referred to in </w:t>
      </w:r>
      <w:r>
        <w:rPr>
          <w:rFonts w:ascii="Times New Roman;serif" w:hAnsi="Times New Roman;serif"/>
          <w:b w:val="false"/>
          <w:color w:val="000000"/>
          <w:sz w:val="24"/>
          <w:u w:val="single"/>
        </w:rPr>
        <w:t>Section 11.04(b)(i)</w:t>
      </w:r>
      <w:r>
        <w:rPr>
          <w:color w:val="000000"/>
        </w:rPr>
        <w:t xml:space="preserve"> </w:t>
      </w:r>
      <w:r>
        <w:rPr>
          <w:rFonts w:ascii="Times New Roman;serif" w:hAnsi="Times New Roman;serif"/>
          <w:b w:val="false"/>
          <w:color w:val="000000"/>
          <w:sz w:val="24"/>
        </w:rPr>
        <w:t xml:space="preserve">(but not a Change of Control Offer or the payment pursuant to an Asset Sale or Debt Issuance); (b) the Issuer’s obligations with respect to such Notes under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2.11</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5.02</w:t>
      </w:r>
      <w:r>
        <w:rPr>
          <w:rFonts w:ascii="Times New Roman;serif" w:hAnsi="Times New Roman;serif"/>
          <w:b w:val="false"/>
          <w:color w:val="000000"/>
          <w:sz w:val="24"/>
        </w:rPr>
        <w:t xml:space="preserve">; (c) the rights, powers, trusts, duties and immunities of the Trustee, including without limitation thereunder, under </w:t>
      </w:r>
      <w:r>
        <w:rPr>
          <w:rFonts w:ascii="Times New Roman;serif" w:hAnsi="Times New Roman;serif"/>
          <w:b w:val="false"/>
          <w:color w:val="000000"/>
          <w:sz w:val="24"/>
          <w:u w:val="single"/>
        </w:rPr>
        <w:t>Section 9.06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11.07</w:t>
      </w:r>
      <w:r>
        <w:rPr>
          <w:color w:val="000000"/>
        </w:rPr>
        <w:t xml:space="preserve"> </w:t>
      </w:r>
      <w:r>
        <w:rPr>
          <w:rFonts w:ascii="Times New Roman;serif" w:hAnsi="Times New Roman;serif"/>
          <w:b w:val="false"/>
          <w:color w:val="000000"/>
          <w:sz w:val="24"/>
        </w:rPr>
        <w:t xml:space="preserve">and the obligations of the Issuer and the Guarantors in connection therewith; and (d) the provisions of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Subject to compliance with this </w:t>
      </w:r>
      <w:r>
        <w:rPr>
          <w:rFonts w:ascii="Times New Roman;serif" w:hAnsi="Times New Roman;serif"/>
          <w:b w:val="false"/>
          <w:color w:val="000000"/>
          <w:sz w:val="24"/>
          <w:u w:val="single"/>
        </w:rPr>
        <w:t>Article XI</w:t>
      </w:r>
      <w:r>
        <w:rPr>
          <w:rFonts w:ascii="Times New Roman;serif" w:hAnsi="Times New Roman;serif"/>
          <w:b w:val="false"/>
          <w:color w:val="000000"/>
          <w:sz w:val="24"/>
        </w:rPr>
        <w:t xml:space="preserve">, the Issuer may exercise its option under this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notwithstanding the prior exercise of its option under </w:t>
      </w:r>
      <w:r>
        <w:rPr>
          <w:rFonts w:ascii="Times New Roman;serif" w:hAnsi="Times New Roman;serif"/>
          <w:b w:val="false"/>
          <w:color w:val="000000"/>
          <w:sz w:val="24"/>
          <w:u w:val="single"/>
        </w:rPr>
        <w:t>Section 11.03</w:t>
      </w:r>
      <w:r>
        <w:rPr>
          <w:rFonts w:ascii="Times New Roman;serif" w:hAnsi="Times New Roman;serif"/>
          <w:b w:val="false"/>
          <w:color w:val="000000"/>
          <w:sz w:val="24"/>
        </w:rPr>
        <w:t>. If the Issuer exercises the Legal Defeasance option, the Liens on the Collateral will be released and the Guarantees in effect at such time will automatically be released.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11.03    </w:t>
      </w:r>
      <w:r>
        <w:rPr>
          <w:rFonts w:ascii="Times New Roman;serif" w:hAnsi="Times New Roman;serif"/>
          <w:b w:val="false"/>
          <w:color w:val="000000"/>
          <w:sz w:val="24"/>
          <w:u w:val="single"/>
        </w:rPr>
        <w:t>Covenant Defeasance</w:t>
      </w:r>
      <w:r>
        <w:rPr>
          <w:rFonts w:ascii="Times New Roman;serif" w:hAnsi="Times New Roman;serif"/>
          <w:b w:val="false"/>
          <w:color w:val="000000"/>
          <w:sz w:val="24"/>
        </w:rPr>
        <w:t xml:space="preserve">. Upon the Issuer’s exercise under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 xml:space="preserve">above of the option applicable to this </w:t>
      </w:r>
      <w:r>
        <w:rPr>
          <w:rFonts w:ascii="Times New Roman;serif" w:hAnsi="Times New Roman;serif"/>
          <w:b w:val="false"/>
          <w:color w:val="000000"/>
          <w:sz w:val="24"/>
          <w:u w:val="single"/>
        </w:rPr>
        <w:t>Section 11.03</w:t>
      </w:r>
      <w:r>
        <w:rPr>
          <w:rFonts w:ascii="Times New Roman;serif" w:hAnsi="Times New Roman;serif"/>
          <w:b w:val="false"/>
          <w:color w:val="000000"/>
          <w:sz w:val="24"/>
        </w:rPr>
        <w:t xml:space="preserve">, the Issuer shall, subject to the satisfaction of the conditions set forth in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below, be released from its obligations under </w:t>
      </w:r>
      <w:r>
        <w:rPr>
          <w:rFonts w:ascii="Times New Roman;serif" w:hAnsi="Times New Roman;serif"/>
          <w:b w:val="false"/>
          <w:color w:val="000000"/>
          <w:sz w:val="24"/>
          <w:u w:val="single"/>
        </w:rPr>
        <w:t>Section 5.03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6.12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6.13</w:t>
      </w:r>
      <w:r>
        <w:rPr>
          <w:color w:val="000000"/>
        </w:rPr>
        <w:t xml:space="preserve"> </w:t>
      </w:r>
      <w:r>
        <w:rPr>
          <w:rFonts w:ascii="Times New Roman;serif" w:hAnsi="Times New Roman;serif"/>
          <w:b w:val="false"/>
          <w:color w:val="000000"/>
          <w:sz w:val="24"/>
        </w:rPr>
        <w:t>on and after the date the conditions set forth below are satisfied (hereinafter, “</w:t>
      </w:r>
      <w:r>
        <w:rPr>
          <w:rFonts w:ascii="Times New Roman;serif" w:hAnsi="Times New Roman;serif"/>
          <w:b/>
          <w:color w:val="000000"/>
          <w:sz w:val="24"/>
        </w:rPr>
        <w:t>Covenant Defeasance</w:t>
      </w:r>
      <w:r>
        <w:rPr>
          <w:color w:val="000000"/>
        </w:rPr>
        <w:t>”</w:t>
      </w:r>
      <w:r>
        <w:rPr>
          <w:rFonts w:ascii="Times New Roman;serif" w:hAnsi="Times New Roman;serif"/>
          <w:b w:val="false"/>
          <w:color w:val="000000"/>
          <w:sz w:val="24"/>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or any of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Event of Default under Section 8.01, but, except as specified above, the remainder of this Indenture and such Notes shall be unaffected thereby.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Issuer exercises the Covenant Defeasance option, the Liens on the Collateral in respect of the Notes and the Guarantees will be released and the Guarantees in effect at such time will automatically be released.</w:t>
      </w:r>
    </w:p>
    <w:p>
      <w:pPr>
        <w:pStyle w:val="TextBody"/>
        <w:bidi w:val="0"/>
        <w:spacing w:before="0" w:after="0"/>
        <w:jc w:val="both"/>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11.04    </w:t>
      </w:r>
      <w:r>
        <w:rPr>
          <w:rFonts w:ascii="Times New Roman;serif" w:hAnsi="Times New Roman;serif"/>
          <w:b w:val="false"/>
          <w:color w:val="000000"/>
          <w:sz w:val="24"/>
          <w:u w:val="single"/>
        </w:rPr>
        <w:t>Conditions to Legal or Covenant Defeasance</w:t>
      </w:r>
      <w:r>
        <w:rPr>
          <w:rFonts w:ascii="Times New Roman;serif" w:hAnsi="Times New Roman;serif"/>
          <w:b w:val="false"/>
          <w:color w:val="000000"/>
          <w:sz w:val="24"/>
        </w:rPr>
        <w:t xml:space="preserve">. The following shall be the conditions to the application of either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to the outstanding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the Issuer must irrevocably deposit with the Trustee, as trust funds, in trust solely for the benefit of the Holders, U.S. legal tender, U.S. Government Obligations or a combination thereof, in such amounts as will be sufficient (without consideration of any reinvestment of interest) to pay the principal of and interest and premium, if any, on the outstanding Notes on the stated date for payment thereof or on the applicable redemption date, as the case may be;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in the case of Legal Defeasance, the Issuer shall have delivered to the Trustee an Opinion of Counsel in the United States reasonably acceptable to the Trustee confirming that: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the Issuer has received from, or there has been published by, the United States Internal Revenue Service a ruling, 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since the Restatement Effective Date, there has been a change in the applicable U.S. federal income tax law,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either case to the effect that, and based thereon such Opinion of Counsel shall confirm that, the beneficial owners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in the case of Covenant Defeasance, the Issuer shall have delivered to the Trustee an Opinion of Counsel in the United States reasonably acceptable to the Trustee confirming that the beneficial owners of the outstanding Notes will not recognize income, gain or loss for U.S. federal income tax purposes as a result of the Covenant Defeasance and will be subject to U.S. federal income tax on the same amounts, in the same manner and at the same times as would have been the case if such Covenant Defeasance had not occurred;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no Default shall have occurred and be continuing on the date of such deposit (other than a Default resulting from the borrowing of funds to be applied to such deposit (and any similar concurrent deposit relates to other Indebtedness) and the grant of any Lien securing such borrowings);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the Legal Defeasance or Covenant Defeasance shall not result in a breach or violation of, or constitute a default under any other material agreement or instrument (other than this Indenture and the agreements governing any other Indebtedness being defeased, discharged or replaced) to which the Issuer or any of its Subsidiaries is a party or by which the Issuer or any of its Subsidiaries is bound or, if such breach, violation or default would occur, such breach, violation or default is waived as of and for all purposes, on and after, the date of such deposit; and</w:t>
      </w:r>
    </w:p>
    <w:p>
      <w:pPr>
        <w:pStyle w:val="TextBody"/>
        <w:bidi w:val="0"/>
        <w:spacing w:before="0" w:after="0"/>
        <w:jc w:val="both"/>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(f)    the Issuer shall have delivered to the Trustee an Officer’s Certificate and an Opinion of Counsel to the effect that the conditions precedent provided for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(e)</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have been complied with;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opinion with respect to the condition in </w:t>
      </w:r>
      <w:r>
        <w:rPr>
          <w:rFonts w:ascii="Times New Roman;serif" w:hAnsi="Times New Roman;serif"/>
          <w:b w:val="false"/>
          <w:color w:val="000000"/>
          <w:sz w:val="24"/>
          <w:u w:val="single"/>
        </w:rPr>
        <w:t>clause (e)</w:t>
      </w:r>
      <w:r>
        <w:rPr>
          <w:color w:val="000000"/>
        </w:rPr>
        <w:t xml:space="preserve"> </w:t>
      </w:r>
      <w:r>
        <w:rPr>
          <w:rFonts w:ascii="Times New Roman;serif" w:hAnsi="Times New Roman;serif"/>
          <w:b w:val="false"/>
          <w:color w:val="000000"/>
          <w:sz w:val="24"/>
        </w:rPr>
        <w:t>may be limited to a review of instruments certified by an Officer as being the only material instruments of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11.05    </w:t>
      </w:r>
      <w:r>
        <w:rPr>
          <w:rFonts w:ascii="Times New Roman;serif" w:hAnsi="Times New Roman;serif"/>
          <w:b w:val="false"/>
          <w:color w:val="000000"/>
          <w:sz w:val="24"/>
          <w:u w:val="single"/>
        </w:rPr>
        <w:t>Deposited Money and U.S. Government Obligations to Be Held in Trust, Other Miscellaneous Provisions</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Subject to </w:t>
      </w:r>
      <w:r>
        <w:rPr>
          <w:rFonts w:ascii="Times New Roman;serif" w:hAnsi="Times New Roman;serif"/>
          <w:b w:val="false"/>
          <w:color w:val="000000"/>
          <w:sz w:val="24"/>
          <w:u w:val="single"/>
        </w:rPr>
        <w:t>Section 11.06</w:t>
      </w:r>
      <w:r>
        <w:rPr>
          <w:rFonts w:ascii="Times New Roman;serif" w:hAnsi="Times New Roman;serif"/>
          <w:b w:val="false"/>
          <w:color w:val="000000"/>
          <w:sz w:val="24"/>
        </w:rPr>
        <w:t xml:space="preserve">, all U.S. legal tender and U.S. Government Obligations (including the proceeds thereof) deposited with the Trustee (or other qualifying trustee, collectively for purposes of this </w:t>
      </w:r>
      <w:r>
        <w:rPr>
          <w:rFonts w:ascii="Times New Roman;serif" w:hAnsi="Times New Roman;serif"/>
          <w:b w:val="false"/>
          <w:color w:val="000000"/>
          <w:sz w:val="24"/>
          <w:u w:val="single"/>
        </w:rPr>
        <w:t>Section 11.05</w:t>
      </w:r>
      <w:r>
        <w:rPr>
          <w:rFonts w:ascii="Times New Roman;serif" w:hAnsi="Times New Roman;serif"/>
          <w:b w:val="false"/>
          <w:color w:val="000000"/>
          <w:sz w:val="24"/>
        </w:rPr>
        <w:t>, the “</w:t>
      </w:r>
      <w:r>
        <w:rPr>
          <w:rFonts w:ascii="Times New Roman;serif" w:hAnsi="Times New Roman;serif"/>
          <w:b/>
          <w:color w:val="000000"/>
          <w:sz w:val="24"/>
        </w:rPr>
        <w:t>Deposit Trustee</w:t>
      </w:r>
      <w:r>
        <w:rPr>
          <w:color w:val="000000"/>
        </w:rPr>
        <w:t>”</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11.08</w:t>
      </w:r>
      <w:r>
        <w:rPr>
          <w:color w:val="000000"/>
        </w:rPr>
        <w:t xml:space="preserve"> </w:t>
      </w:r>
      <w:r>
        <w:rPr>
          <w:rFonts w:ascii="Times New Roman;serif" w:hAnsi="Times New Roman;serif"/>
          <w:b w:val="false"/>
          <w:color w:val="000000"/>
          <w:sz w:val="24"/>
        </w:rPr>
        <w:t>in respect of the outstanding Notes shall be held in trust, shall not be invested, and shall be applied by the Deposit Trustee in accordance with the provisions of such Notes and this Indenture to the payment, either directly or through any Paying Agent (including the Issuer or any Subsidiary acting as Paying Agent) as the Deposit Trustee may determine, to the Holders of such Notes of all sums due and to become due thereon in respect of principal, premium, if any, and interest, if any, but such money need not be segregated from other funds except to the extent required by law.</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Issuer shall pay and indemnify the Deposit Trustee against any tax, fee or other charge imposed on or assessed against the cash or non-callable U.S. Government Obligations deposited pursuant to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11.08</w:t>
      </w:r>
      <w:r>
        <w:rPr>
          <w:color w:val="000000"/>
        </w:rPr>
        <w:t xml:space="preserve"> </w:t>
      </w:r>
      <w:r>
        <w:rPr>
          <w:rFonts w:ascii="Times New Roman;serif" w:hAnsi="Times New Roman;serif"/>
          <w:b w:val="false"/>
          <w:color w:val="000000"/>
          <w:sz w:val="24"/>
        </w:rPr>
        <w:t>or the principal and interest received in respect thereof other than any such tax, fee or other charge which by law is for the account of the Holders of the outstanding Notes.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Anything in this Article VIII to the contrary notwithstanding, the Deposit Trustee shall deliver or pay to the Issuer from time to time upon the written request of the Issuer and be relieved of all liability with respect to any U.S. legal tender or non-callable U.S. Government Obligations held by it as provided in </w:t>
      </w:r>
      <w:r>
        <w:rPr>
          <w:rFonts w:ascii="Times New Roman;serif" w:hAnsi="Times New Roman;serif"/>
          <w:b w:val="false"/>
          <w:color w:val="000000"/>
          <w:sz w:val="24"/>
          <w:u w:val="single"/>
        </w:rPr>
        <w:t>Section 11.04</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11.08</w:t>
      </w:r>
      <w:r>
        <w:rPr>
          <w:color w:val="000000"/>
        </w:rPr>
        <w:t xml:space="preserve"> </w:t>
      </w:r>
      <w:r>
        <w:rPr>
          <w:rFonts w:ascii="Times New Roman;serif" w:hAnsi="Times New Roman;serif"/>
          <w:b w:val="false"/>
          <w:color w:val="000000"/>
          <w:sz w:val="24"/>
        </w:rPr>
        <w:t>which are in excess of the amount thereof that would then be required to be deposited to effect an equivalent Legal Defeasance or Covenant Defeasance or satisfaction and discharge, as the case may be.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11.06    </w:t>
      </w:r>
      <w:r>
        <w:rPr>
          <w:rFonts w:ascii="Times New Roman;serif" w:hAnsi="Times New Roman;serif"/>
          <w:b w:val="false"/>
          <w:color w:val="000000"/>
          <w:sz w:val="24"/>
          <w:u w:val="single"/>
        </w:rPr>
        <w:t>Repayment to Issuer</w:t>
      </w:r>
      <w:r>
        <w:rPr>
          <w:rFonts w:ascii="Times New Roman;serif" w:hAnsi="Times New Roman;serif"/>
          <w:b w:val="false"/>
          <w:color w:val="000000"/>
          <w:sz w:val="24"/>
        </w:rPr>
        <w:t xml:space="preserve">. Any money deposited with the Trustee or any Paying Agent, or then held by the Issuer, in trust for the payment of the principal of, premium, if any, or interest, if any, on any Note and remaining unclaimed for two years after such principal and premium, if any, or interest has become due and payable shall be paid to the Issuer on its written request or (if then held by the Issuer) shall be discharged from such trust; and the Holder of such Note shall thereafter, as an unsecured general creditor, look only to the Issuer for payment thereof; and all liability of the Trustee or such Paying Agent with respect to such trust money, and all liability of the Issuer as trustee thereof, shall thereupon cease; provided, however, that the Trustee or such Paying Agent, before being required to make any such repayment, may at the expense of the Issuer cause to be published once, in the New York Times and The Wall Street Journal (national edition), notice that such money remains unclaimed and that, after a date specified therein, which shall not be less than 30 days from the date of such </w:t>
      </w:r>
    </w:p>
    <w:p>
      <w:pPr>
        <w:pStyle w:val="TextBody"/>
        <w:bidi w:val="0"/>
        <w:spacing w:before="0" w:after="0"/>
        <w:jc w:val="both"/>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notification or publication, any unclaimed balance of such money then remaining shall be repaid to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11.07    </w:t>
      </w:r>
      <w:r>
        <w:rPr>
          <w:rFonts w:ascii="Times New Roman;serif" w:hAnsi="Times New Roman;serif"/>
          <w:b w:val="false"/>
          <w:color w:val="000000"/>
          <w:sz w:val="24"/>
          <w:u w:val="single"/>
        </w:rPr>
        <w:t>Reinstatement</w:t>
      </w:r>
      <w:r>
        <w:rPr>
          <w:rFonts w:ascii="Times New Roman;serif" w:hAnsi="Times New Roman;serif"/>
          <w:b w:val="false"/>
          <w:color w:val="000000"/>
          <w:sz w:val="24"/>
        </w:rPr>
        <w:t xml:space="preserve">. If the Trustee or Paying Agent is unable to apply any U.S. dollars or U.S. Government Obligations in accordance with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11.08</w:t>
      </w:r>
      <w:r>
        <w:rPr>
          <w:rFonts w:ascii="Times New Roman;serif" w:hAnsi="Times New Roman;serif"/>
          <w:b w:val="false"/>
          <w:color w:val="000000"/>
          <w:sz w:val="24"/>
        </w:rPr>
        <w:t xml:space="preserve">, as the case may be, by reason of any order or judgment of any court or governmental authority enjoining, restraining or otherwise prohibiting such application, then the obligations of the Issuer and the Guarantors under this Indenture and the Notes shall be revived and reinstated as though no deposit had occurred pursuant to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11.08</w:t>
      </w:r>
      <w:r>
        <w:rPr>
          <w:color w:val="000000"/>
        </w:rPr>
        <w:t xml:space="preserve"> </w:t>
      </w:r>
      <w:r>
        <w:rPr>
          <w:rFonts w:ascii="Times New Roman;serif" w:hAnsi="Times New Roman;serif"/>
          <w:b w:val="false"/>
          <w:color w:val="000000"/>
          <w:sz w:val="24"/>
        </w:rPr>
        <w:t xml:space="preserve">until such time as the Trustee or Paying Agent is permitted to apply all such money in accordance with </w:t>
      </w:r>
      <w:r>
        <w:rPr>
          <w:rFonts w:ascii="Times New Roman;serif" w:hAnsi="Times New Roman;serif"/>
          <w:b w:val="false"/>
          <w:color w:val="000000"/>
          <w:sz w:val="24"/>
          <w:u w:val="single"/>
        </w:rPr>
        <w:t>Section 11.02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11.08</w:t>
      </w:r>
      <w:r>
        <w:rPr>
          <w:rFonts w:ascii="Times New Roman;serif" w:hAnsi="Times New Roman;serif"/>
          <w:b w:val="false"/>
          <w:color w:val="000000"/>
          <w:sz w:val="24"/>
        </w:rPr>
        <w:t>, as the case may be; provided, however,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11.08    </w:t>
      </w:r>
      <w:r>
        <w:rPr>
          <w:rFonts w:ascii="Times New Roman;serif" w:hAnsi="Times New Roman;serif"/>
          <w:b w:val="false"/>
          <w:color w:val="000000"/>
          <w:sz w:val="24"/>
          <w:u w:val="single"/>
        </w:rPr>
        <w:t>Discharge</w:t>
      </w:r>
      <w:r>
        <w:rPr>
          <w:rFonts w:ascii="Times New Roman;serif" w:hAnsi="Times New Roman;serif"/>
          <w:b w:val="false"/>
          <w:color w:val="000000"/>
          <w:sz w:val="24"/>
        </w:rPr>
        <w:t>. This Indenture and the Security Documents will be discharged and will cease to be of further effect (except as to rights of registration of transfer or exchange of Notes which shall survive until all Notes have been canceled and the rights, protections and immunities of the Trustee and the Collateral Agent) as to all outstanding Notes and security granted for the Notes and the Guarantees when either: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all the Notes that have been authenticated and delivered (except lost, stolen or destroyed Notes which have been replaced or paid and Notes for whose payment money has been deposited in trust or segregated and held in trust by the Issuer and thereafter repaid to the Issuer or discharged from this trust), have been delivered to the Trustee for cancellation;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    all Notes not delivered to the Trustee for cancellation otherwise (A) have become due and payable, (B) will become due and payable within one year or (C) have been called for redemption pursuant to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and, in any case, the Issuer has irrevocably deposited or caused to be deposited with the Trustee as trust funds in trust solely for the benefit of the Holders, U.S. legal tender, U.S. Government Obligations or a combination thereof, in such amounts as will be sufficient (without consideration of any reinvestment of interest) to pay and discharge the entire Indebtedness (including all principal and accrued and unpaid interest and premium, if any) on the Notes not theretofore delivered to the Trustee for cancellation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if such redemption is made as provided under </w:t>
      </w:r>
      <w:r>
        <w:rPr>
          <w:rFonts w:ascii="Times New Roman;serif" w:hAnsi="Times New Roman;serif"/>
          <w:b w:val="false"/>
          <w:color w:val="000000"/>
          <w:sz w:val="24"/>
          <w:u w:val="single"/>
        </w:rPr>
        <w:t>Section 3.07</w:t>
      </w:r>
      <w:r>
        <w:rPr>
          <w:rFonts w:ascii="Times New Roman;serif" w:hAnsi="Times New Roman;serif"/>
          <w:b w:val="false"/>
          <w:color w:val="000000"/>
          <w:sz w:val="24"/>
        </w:rPr>
        <w:t>, (x) the amount of cash in U.S. dollars, U.S. Government Obligations, or a combination thereof, that must be irrevocably deposited will be determined using an assumed redemption price calculated as of the date of such deposit and (y) the depositor must irrevocably deposit or cause to be deposited additional money in trust on the redemption date as necessary to pay the redemption price as determined by such date) (any such amount, the “</w:t>
      </w:r>
      <w:r>
        <w:rPr>
          <w:rFonts w:ascii="Times New Roman;serif" w:hAnsi="Times New Roman;serif"/>
          <w:b/>
          <w:color w:val="000000"/>
          <w:sz w:val="24"/>
        </w:rPr>
        <w:t>Call Premium Deficit</w:t>
      </w:r>
      <w:r>
        <w:rPr>
          <w:color w:val="000000"/>
        </w:rPr>
        <w:t>”</w:t>
      </w:r>
      <w:r>
        <w:rPr>
          <w:rFonts w:ascii="Times New Roman;serif" w:hAnsi="Times New Roman;serif"/>
          <w:b w:val="false"/>
          <w:color w:val="000000"/>
          <w:sz w:val="24"/>
        </w:rPr>
        <w:t xml:space="preserve">) (it being understood that any satisfaction and discharge shall be subject to the condition subsequent that such Call Premium Deficit is in fact paid);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Trustee shall have no liability whatsoever in the event that such Call Premium Deficit is not in fact paid after any satisfaction and discharge of this Indenture and that </w:t>
      </w:r>
    </w:p>
    <w:p>
      <w:pPr>
        <w:pStyle w:val="TextBody"/>
        <w:bidi w:val="0"/>
        <w:spacing w:before="0" w:after="0"/>
        <w:jc w:val="both"/>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Call Premium Deficit will be set forth in an Officer’s Certificate delivered to the Trustee simultaneously with the deposit of such Call Premium Deficit that confirms that such Call Premium Deficit will be applied toward such redemption;</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the Issuer has paid or caused to be paid all other sums payable by it under this Indenture;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the Issuer has delivered irrevocable instructions to the Trustee under this Indenture to apply the deposited money toward the payment of the Notes at maturity or on the date of redemption, as the case may be.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addition, the Issuer must deliver an Officer’s Certificate and an Opinion of Counsel to the Trustee stating that all conditions precedent to satisfaction and discharge have been complied with. Upon the satisfaction and discharge of this Indenture, all Liens on the Collateral securing the Notes and all Guarantees then in effect will be automatically released (without the need for any action by any party), and the Trustee and Collateral Agent shall execute acknowledgements thereof upon the reasonable request of the Issuer.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After the Notes are no longer outstanding, the Issuer’s and the Guarantors’ obligations in </w:t>
      </w:r>
      <w:r>
        <w:rPr>
          <w:rFonts w:ascii="Times New Roman;serif" w:hAnsi="Times New Roman;serif"/>
          <w:b w:val="false"/>
          <w:color w:val="000000"/>
          <w:sz w:val="24"/>
          <w:u w:val="single"/>
        </w:rPr>
        <w:t>Section 9.06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11.05</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11.07</w:t>
      </w:r>
      <w:r>
        <w:rPr>
          <w:color w:val="000000"/>
        </w:rPr>
        <w:t xml:space="preserve"> </w:t>
      </w:r>
      <w:r>
        <w:rPr>
          <w:rFonts w:ascii="Times New Roman;serif" w:hAnsi="Times New Roman;serif"/>
          <w:b w:val="false"/>
          <w:color w:val="000000"/>
          <w:sz w:val="24"/>
        </w:rPr>
        <w:t xml:space="preserve">shall survive any discharge pursuant to this </w:t>
      </w:r>
      <w:r>
        <w:rPr>
          <w:rFonts w:ascii="Times New Roman;serif" w:hAnsi="Times New Roman;serif"/>
          <w:b w:val="false"/>
          <w:color w:val="000000"/>
          <w:sz w:val="24"/>
          <w:u w:val="single"/>
        </w:rPr>
        <w:t>Section 11.08</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After such delivery or irrevocable deposit and receipt of the Officer’s Certificate and Opinion of Counsel, the Trustee, upon written request, shall acknowledge in writing the discharge of the Issuer’s obligations under the Notes and this Indenture except for those surviving obligations specified above.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XII</w:t>
        <w:br/>
        <w:t>AMENDMENT, SUPPLEMENT AND WAIVER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12.01    </w:t>
      </w:r>
      <w:r>
        <w:rPr>
          <w:rFonts w:ascii="Times New Roman;serif" w:hAnsi="Times New Roman;serif"/>
          <w:b w:val="false"/>
          <w:color w:val="000000"/>
          <w:sz w:val="24"/>
          <w:u w:val="single"/>
        </w:rPr>
        <w:t>Without Consent of Holders of the Notes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Notwithstanding </w:t>
      </w:r>
      <w:r>
        <w:rPr>
          <w:rFonts w:ascii="Times New Roman;serif" w:hAnsi="Times New Roman;serif"/>
          <w:b w:val="false"/>
          <w:color w:val="000000"/>
          <w:sz w:val="24"/>
          <w:u w:val="single"/>
        </w:rPr>
        <w:t>Section 12.02</w:t>
      </w:r>
      <w:r>
        <w:rPr>
          <w:rFonts w:ascii="Times New Roman;serif" w:hAnsi="Times New Roman;serif"/>
          <w:b w:val="false"/>
          <w:color w:val="000000"/>
          <w:sz w:val="24"/>
        </w:rPr>
        <w:t>, without the consent of any Holders, the Issuer, the Trustee and the Collateral Agent and the Calculation Agent, as applicable, at any time and from time to time, may amend or supplement this Indenture, the Guarantees, the Notes or any Security Document or Intercreditor Agreement issued hereunder for any of the following purposes: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to cure any ambiguity, omission, mistake, defect or inconsistency;</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to provide for uncertificated Notes in addition to or in place of certificated Notes;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(iii)    [reserved];</w:t>
      </w:r>
    </w:p>
    <w:p>
      <w:pPr>
        <w:pStyle w:val="TextBody"/>
        <w:bidi w:val="0"/>
        <w:spacing w:before="0" w:after="0"/>
        <w:jc w:val="both"/>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155</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to add any Guarantee or Guarantor or to effect the release of any Guarantor from any of its obligations under its Guarantee or the provisions of this Indenture (to the extent in accordance with this Indenture);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    to make any change that would provide any additional rights or benefits to the Holders or that does not materially adversely affect the rights of any Holder;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    to add covenants or Events of Default for the benefit of the Holders or to surrender any right or power conferred upon the Issuer or any Guarantor;</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    to make any change in order to maintain the transferability of the Notes pursuant to Rule 144A or Regulations S or to institutional accredited investors;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(viii)    to make any change to this Indenture relating to the transfer and legending of Notes as permitted by this Indenture;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(ix)    to evidence and provide for the acceptance of appointment by a successor Trustee, a successor Collateral Agent or a successor Calculation Agent ;</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    to provide for the issuance of (A) Additional Notes and related Guarantees (and the grant of security for such Additional Notes and Guarantees) in accordance with this Indenture and the ABL/Note Intercreditor Agreement and (B) Notes issued as part of a PIK Election in accordance with the terms of this Indenture and/or the Notes Documents;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    to make, complete or confirm any grant of Collateral permitted or required by this Indenture or any of the Security Documents or any release, termination or discharge of Collateral that becomes effective as set forth in this Indenture or any of the Security Documents;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(xii)    to grant any Lien for the benefit of the holders of any future Pari Passu Notes Lien Indebtedness, Pari Passu ABL Lien Indebtedness or Junior Secured Indebtedness in accordance with and as permitted by the terms of this Indenture and the Intercreditor Agreement (and, with respect to Junior Secured Indebtedness, any Other Intercreditor Agreement);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(xiii)    to add additional secured parties to the ABL/Note Intercreditor Agreement to the extent Liens securing obligations held by such parties are permitted under this Indenture;</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(xiv)    to mortgage, pledge, hypothecate or grant a security interest in favor of the Collateral Agent for the benefit of the Trustee and the Holders of the Notes as additional security for the payment and performance of the Issuer’s and any Guarantor’s obligations under this Indenture, in any property, or assets, including any of which are required to be mortgaged, pledged or hypothecated, or in which a security interest is required to be granted to the Trustee or the Collateral Agent in accordance with the terms of this Indenture or otherwise; or</w:t>
      </w: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156</w:t>
                      </w:r>
                    </w:p>
                  </w:txbxContent>
                </v:textbox>
                <w10:wrap type="none"/>
              </v:rect>
            </w:pict>
          </mc:Fallback>
        </mc:AlternateConten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(xv)    to provide for the succession of any parties to the Security Documents (and other amendments that are administrative or ministerial in nature) and the Intercreditor Agreement in connection with an amendment, renewal, extension, substitution, refinancing, restructuring, replacement, supplementing or other modification from time to time of any agreement in accordance with the terms of this Indenture, the Intercreditor Agreement and the relevant Security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The Holders of the Notes shall be deemed to have consented for purposes of the Security Documents and the ABL/Note Intercreditor Agreement to any of the following amendments, waivers and other modifications to the Security Documents and the ABL/Note Intercreditor Agreement:</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    (A) to add other parties (or any authorized agent thereof or trustee therefor) holding Pari Passu Notes Lien Indebtedness that are incurred in compliance with the ABL Credit Agreement and the Notes Documents and (B) to establish that the Liens on any Collateral securing such Pari Passu Notes Lien Indebtedness shall rank equally with the Liens on such Collateral securing the obligations under this Indenture, the Notes and the Guarantees;</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(ii)    (A) to add other parties (or any authorized agent thereof or trustee therefor) holding Pari Passu ABL Lien Indebtedness that is incurred in compliance with the ABL Credit Agreement and the Notes Documents, (B) to establish that the Liens on any Collateral securing such Pari Passu ABL Lien Indebtedness shall rank equally with the Liens on such Collateral securing the ABL Obligations and senior to the Liens on such ABL Priority Collateral securing any obligations under this Indenture, the Notes and the Guarantees, all on the terms provided for in the Intercreditor Agreement in effect immediately prior to such amendment, (C) to establish that the Liens on any Notes Priority Collateral securing such Pari Passu ABL Lien Indebtedness shall be junior and subordinated to the Liens on such Notes Priority Collateral securing any obligations under this Indenture, the Notes and the Guarantees, all on the terms provided for in the Intercreditor Agreement in effect immediately prior to such amendment;</w:t>
      </w:r>
    </w:p>
    <w:p>
      <w:pPr>
        <w:pStyle w:val="TextBody"/>
        <w:bidi w:val="0"/>
        <w:spacing w:lineRule="auto" w:line="288" w:before="0" w:after="240"/>
        <w:ind w:left="0" w:right="0" w:firstLine="2160"/>
        <w:jc w:val="both"/>
        <w:rPr/>
      </w:pPr>
      <w:r>
        <w:rPr>
          <w:rFonts w:ascii="Times New Roman;serif" w:hAnsi="Times New Roman;serif"/>
          <w:b w:val="false"/>
          <w:color w:val="000000"/>
          <w:sz w:val="24"/>
        </w:rPr>
        <w:t xml:space="preserve">(iii)    to establish that the Liens on any ABL Priority Collateral securing any Indebtedness replacing the ABL Credit Agreement permitted to be incurred under </w:t>
      </w:r>
      <w:r>
        <w:rPr>
          <w:rFonts w:ascii="Times New Roman;serif" w:hAnsi="Times New Roman;serif"/>
          <w:b w:val="false"/>
          <w:color w:val="000000"/>
          <w:sz w:val="24"/>
          <w:u w:val="single"/>
        </w:rPr>
        <w:t>Section 6.01(c)</w:t>
      </w:r>
      <w:r>
        <w:rPr>
          <w:color w:val="000000"/>
        </w:rPr>
        <w:t xml:space="preserve"> </w:t>
      </w:r>
      <w:r>
        <w:rPr>
          <w:rFonts w:ascii="Times New Roman;serif" w:hAnsi="Times New Roman;serif"/>
          <w:b w:val="false"/>
          <w:color w:val="000000"/>
          <w:sz w:val="24"/>
        </w:rPr>
        <w:t>shall be senior to the Liens on such ABL Priority Collateral securing any obligations under this Indenture, the Notes and the Guarantees, and that any obligations under this Indenture, the Notes and the Guarantees shall continue to be secured on a first-priority basis by the Notes Priority Collateral and on a second-priority basis on the ABL Priority Collateral; and</w:t>
      </w:r>
    </w:p>
    <w:p>
      <w:pPr>
        <w:pStyle w:val="TextBody"/>
        <w:bidi w:val="0"/>
        <w:spacing w:lineRule="auto" w:line="288"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(iv)    upon any cancellation or termination of the ABL Credit Agreement without a replacement thereof, to establish that the ABL Priority Collateral shall become Notes Priority Collateral.</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Any such additional party added pursuant to </w:t>
      </w:r>
      <w:r>
        <w:rPr>
          <w:rFonts w:ascii="Times New Roman;serif" w:hAnsi="Times New Roman;serif"/>
          <w:b w:val="false"/>
          <w:color w:val="000000"/>
          <w:sz w:val="24"/>
          <w:u w:val="single"/>
        </w:rPr>
        <w:t>Section 5.12(b)(ii)</w:t>
      </w:r>
      <w:r>
        <w:rPr>
          <w:rFonts w:ascii="Times New Roman;serif" w:hAnsi="Times New Roman;serif"/>
          <w:b w:val="false"/>
          <w:color w:val="000000"/>
          <w:sz w:val="24"/>
        </w:rPr>
        <w:t xml:space="preserve">, the ABL Collateral Agent, the Trustee and the Collateral Agent shall be entitled to rely upon an Officer’s Certificate certifying that such Pari Passu Notes Lien Indebtedness or Pari Passu ABL Lien Indebtedness, as the case may be, was issued or borrowed in compliance with the ABL Credit </w:t>
      </w:r>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and the Notes Documents, and no Opinion of Counsel shall be required in connection therewith.</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The Holders of the Notes shall be deemed to have consented for purposes of this Indenture, the Security Documents and the Intercreditor Agreement to the execution and delivery by the Trustee and Collateral Agent of an Other Intercreditor Agreement to the extent it is approved by the ABL Collateral Agent or, if the ABL Credit Agreement has been replaced, any other agent for the holders of ABL Obligations.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After an amendment under this Indenture, the Security Documents or the Intercreditor Agreement becomes effective, the Issuer shall deliver to Holders of the Notes a notice briefly describing such amendment. However, the failure to give such notice to all Holders, or any defect therein, will not impair or affect the validity of the amendment. Disclosure of any such amendment in a filing made with the SEC shall constitute delivery to Holders of the Notes of such notice.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12.02    </w:t>
      </w:r>
      <w:r>
        <w:rPr>
          <w:rFonts w:ascii="Times New Roman;serif" w:hAnsi="Times New Roman;serif"/>
          <w:b w:val="false"/>
          <w:color w:val="000000"/>
          <w:sz w:val="24"/>
          <w:u w:val="single"/>
        </w:rPr>
        <w:t>With Consent of Holders of Notes</w:t>
      </w:r>
      <w:r>
        <w:rPr>
          <w:rFonts w:ascii="Times New Roman;serif" w:hAnsi="Times New Roman;serif"/>
          <w:b w:val="false"/>
          <w:color w:val="000000"/>
          <w:sz w:val="24"/>
        </w:rPr>
        <w:t xml:space="preserve">. Except as provided below in this </w:t>
      </w:r>
      <w:r>
        <w:rPr>
          <w:rFonts w:ascii="Times New Roman;serif" w:hAnsi="Times New Roman;serif"/>
          <w:b w:val="false"/>
          <w:color w:val="000000"/>
          <w:sz w:val="24"/>
          <w:u w:val="single"/>
        </w:rPr>
        <w:t>Section 12.02</w:t>
      </w:r>
      <w:r>
        <w:rPr>
          <w:rFonts w:ascii="Times New Roman;serif" w:hAnsi="Times New Roman;serif"/>
          <w:b w:val="false"/>
          <w:color w:val="000000"/>
          <w:sz w:val="24"/>
        </w:rPr>
        <w:t>, with the consent of the Controlling Parties (including, without limitation, consents obtained in connection with a purchase of, or tender offer or exchange offer for, the Notes), the Issuer, the Guarantors, the Trustee and the Collateral Agent may amend or supplement this Indenture, the Guarantees, the Notes or the Security Documents or any Intercreditor Agreement (subject to compliance with the ABL/Note Intercreditor Agreement), subject to Section 8</w:t>
      </w:r>
      <w:r>
        <w:rPr>
          <w:rFonts w:ascii="Times New Roman;serif" w:hAnsi="Times New Roman;serif"/>
          <w:b w:val="false"/>
          <w:color w:val="000000"/>
          <w:sz w:val="24"/>
          <w:u w:val="single"/>
        </w:rPr>
        <w:t>.06</w:t>
      </w:r>
      <w:r>
        <w:rPr>
          <w:rFonts w:ascii="Times New Roman;serif" w:hAnsi="Times New Roman;serif"/>
          <w:b w:val="false"/>
          <w:color w:val="000000"/>
          <w:sz w:val="24"/>
        </w:rPr>
        <w:t xml:space="preserve">, waive any existing Default or Event of Default or compliance with any provision of this Indenture, the Notes, the Guarantees or the Security Documents (subject to compliance with the Intercreditor Agreement);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no such amendment, supplement or waiver shall, without the consent of the Holder of each outstanding Note affected thereby (including, without limitation, consents obtained in connection with a purchase of, or tender offer or exchange offer for,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reduce, or change the maturity of, the principal of any Note;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reduce the rate of or extend the time for payment of interest on any Note;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(c)    reduce any premium payable upon redemption of the Notes or change the date on which any Notes are subject to redemption (other than the notice provisions) or waive any payment with respect to the redemption of the Notes;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solely for the avoidance of doubt, and without any other implication, any purchase or repurchase of Notes (including pursuant to </w:t>
      </w:r>
      <w:r>
        <w:rPr>
          <w:rFonts w:ascii="Times New Roman;serif" w:hAnsi="Times New Roman;serif"/>
          <w:b w:val="false"/>
          <w:color w:val="000000"/>
          <w:sz w:val="24"/>
          <w:u w:val="single"/>
        </w:rPr>
        <w:t>Section 3.08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3.09</w:t>
      </w:r>
      <w:r>
        <w:rPr>
          <w:rFonts w:ascii="Times New Roman;serif" w:hAnsi="Times New Roman;serif"/>
          <w:b w:val="false"/>
          <w:color w:val="000000"/>
          <w:sz w:val="24"/>
        </w:rPr>
        <w:t>) shall not be deemed a redemption of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make any Note payable in money or currency other than that stated in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(e)    modify or change any provision of this Indenture or the related definitions to affect the ranking of the Notes or any Guarantee in a manner that adversely affects the Holders;</w:t>
      </w:r>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158</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(f)    reduce the percentage of Holders necessary to consent to an amendment or waiver to this Indenture or the Notes;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    waive a Default or Event of Default in the payment of principal of or premium or interest, if any, on any Notes (except a rescission of acceleration of the Notes by the Holders thereof as provided in this Indenture and a waiver of the payment default with respect to the Notes that resulted from such acceleration);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(h)    modify the contractual rights of Holders to receive payments of principal of, or premium or interest, if any, on the Notes on or after the due date therefor or to institute suit for the enforcement of any payment on the Notes;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solely for the avoidance of doubt, and without any other implication, this provision is not impacted by changes or amendments to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    release any Guarantor from any of its obligations under its Guarantee or this Indenture, except as permitted by this Indenture; or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(j)    make any change in these amendment and waiver provisions.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addition, without the consent of Holders of 100% of the principal amount of the Notes then outstanding (including, without limitation, consents obtained in connection with a purchase of, or tender offer or exchange offer for, the Notes), no amendment, supplement or waiver may amend any of the Security Documents or this Indenture if such amendment, supplement or waiver has the effect of (x) releasing all or substantially all of the Collateral from the Liens of this Indenture or any Security Document or (y) subordinating the Liens of this Indenture or any Security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It shall not be necessary for the consent of the Holders under this </w:t>
      </w:r>
      <w:r>
        <w:rPr>
          <w:rFonts w:ascii="Times New Roman;serif" w:hAnsi="Times New Roman;serif"/>
          <w:b w:val="false"/>
          <w:color w:val="000000"/>
          <w:sz w:val="24"/>
          <w:u w:val="single"/>
        </w:rPr>
        <w:t>Section 12.02</w:t>
      </w:r>
      <w:r>
        <w:rPr>
          <w:color w:val="000000"/>
        </w:rPr>
        <w:t xml:space="preserve"> </w:t>
      </w:r>
      <w:r>
        <w:rPr>
          <w:rFonts w:ascii="Times New Roman;serif" w:hAnsi="Times New Roman;serif"/>
          <w:b w:val="false"/>
          <w:color w:val="000000"/>
          <w:sz w:val="24"/>
        </w:rPr>
        <w:t>to approve the particular form of any proposed amendment or waiver, but it shall be sufficient if such consent approves the substance thereof.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12.03    </w:t>
      </w:r>
      <w:r>
        <w:rPr>
          <w:rFonts w:ascii="Times New Roman;serif" w:hAnsi="Times New Roman;serif"/>
          <w:b w:val="false"/>
          <w:color w:val="000000"/>
          <w:sz w:val="24"/>
          <w:u w:val="single"/>
        </w:rPr>
        <w:t>Revocation and Effect of Consents</w:t>
      </w:r>
      <w:r>
        <w:rPr>
          <w:rFonts w:ascii="Times New Roman;serif" w:hAnsi="Times New Roman;serif"/>
          <w:b w:val="false"/>
          <w:color w:val="000000"/>
          <w:sz w:val="24"/>
        </w:rPr>
        <w:t>. Until an amendment, supplement or waiver becomes effective, a consent to it by a Holder of a Note is a continuing consent by the Holder and every subsequent Holder of that Note or portion of the Note that evidences the same debt as the consenting Holder’s Note, even if notation of the consent is not made on the Note. However, any such Holder or subsequent Holder may revoke the consent as to its Note if the Trustee receives written notice of revocation before the date the waiver, supplement or amendment becomes effective. When an amendment, supplement or waiver becomes effective in accordance with its terms, this Indenture shall be modified in accordance therewith, and such amendment, supplement or waiver shall form a part of this Indenture for all purposes, and it thereafter binds every Holder. The Issuer may, but shall not be obligated to, fix a record date for determining which Holders consent to such amendment, supplement or waiver.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12.04    </w:t>
      </w:r>
      <w:r>
        <w:rPr>
          <w:rFonts w:ascii="Times New Roman;serif" w:hAnsi="Times New Roman;serif"/>
          <w:b w:val="false"/>
          <w:color w:val="000000"/>
          <w:sz w:val="24"/>
          <w:u w:val="single"/>
        </w:rPr>
        <w:t>Notation on or Exchange of Notes</w:t>
      </w:r>
      <w:r>
        <w:rPr>
          <w:rFonts w:ascii="Times New Roman;serif" w:hAnsi="Times New Roman;serif"/>
          <w:b w:val="false"/>
          <w:color w:val="000000"/>
          <w:sz w:val="24"/>
        </w:rPr>
        <w:t xml:space="preserve">. The Trustee may place an appropriate notation about an amendment, supplement or waiver on any Note thereafter authenticated. The Issuer in exchange for all Notes may issue and the Trustee shall authenticate </w:t>
      </w:r>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159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new Notes that reflect the amendment, supplement or waiver. Failure to make the appropriate notation or issue a new Note shall not affect the validity and effect of such amendment, supplement or waiver.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12.05    </w:t>
      </w:r>
      <w:r>
        <w:rPr>
          <w:rFonts w:ascii="Times New Roman;serif" w:hAnsi="Times New Roman;serif"/>
          <w:b w:val="false"/>
          <w:color w:val="000000"/>
          <w:sz w:val="24"/>
          <w:u w:val="single"/>
        </w:rPr>
        <w:t>Trustee to Sign Amendments, Etc</w:t>
      </w:r>
      <w:r>
        <w:rPr>
          <w:rFonts w:ascii="Times New Roman;serif" w:hAnsi="Times New Roman;serif"/>
          <w:b w:val="false"/>
          <w:color w:val="000000"/>
          <w:sz w:val="24"/>
        </w:rPr>
        <w:t>. The Trustee, the Collateral Agent and the Calculation Agent, as applicable, shall sign any amended or supplemental indenture or other amendment authorized pursuant to this Article XII if the amendment or supplement does not adversely affect the rights, duties, liabilities or immunities of the Trustee, Collateral Agent or the Calculation Agent.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12.06    </w:t>
      </w:r>
      <w:r>
        <w:rPr>
          <w:rFonts w:ascii="Times New Roman;serif" w:hAnsi="Times New Roman;serif"/>
          <w:b w:val="false"/>
          <w:color w:val="000000"/>
          <w:sz w:val="24"/>
          <w:u w:val="single"/>
        </w:rPr>
        <w:t>Officer’s Certificate and Opinion of Counsel</w:t>
      </w:r>
      <w:r>
        <w:rPr>
          <w:rFonts w:ascii="Times New Roman;serif" w:hAnsi="Times New Roman;serif"/>
          <w:b w:val="false"/>
          <w:color w:val="000000"/>
          <w:sz w:val="24"/>
        </w:rPr>
        <w:t>. In connection with any amendment, supplement, or waiver, in signing or refusing to sign any such amendment, supplement or waiver the Trustee and the Collateral Agent or the Calculation Agent (as applicable) shall be entitled to receive (and, subject to Section 9.01, shall be fully protected in relying upon) an Officer’s Certificate and an Opinion of Counsel, each stating that all conditions precedent to such amendment, supplement or waiver have been satisfied, that such amendment, supplement or waiver is authorized or permitted by this Indenture and the Security Documents, as applicable, and, with respect to such Opinion of Counsel, that such amendment, supplement or waiver is the legal, valid and binding obligation of the parties thereto, enforceable against it in accordance with its terms. Notwithstanding the foregoing, no Opinion of Counsel or board resolution shall be required in connection with the addition of a Guarantor under this Indenture upon execution and delivery by such Guarantor and the Trustee of a supplemental indenture to this Indenture, the form of which is attached as </w:t>
      </w:r>
      <w:r>
        <w:rPr>
          <w:rFonts w:ascii="Times New Roman;serif" w:hAnsi="Times New Roman;serif"/>
          <w:b w:val="false"/>
          <w:color w:val="000000"/>
          <w:sz w:val="24"/>
          <w:u w:val="single"/>
        </w:rPr>
        <w:t>Exhibit F</w:t>
      </w:r>
      <w:r>
        <w:rPr>
          <w:color w:val="000000"/>
        </w:rPr>
        <w:t> </w:t>
      </w:r>
      <w:r>
        <w:rPr>
          <w:rFonts w:ascii="Times New Roman;serif" w:hAnsi="Times New Roman;serif"/>
          <w:b w:val="false"/>
          <w:color w:val="000000"/>
          <w:sz w:val="24"/>
        </w:rPr>
        <w:t>hereto.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 XIII</w:t>
        <w:br/>
        <w:t>MISCELLANEOUS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13.01    </w:t>
      </w:r>
      <w:r>
        <w:rPr>
          <w:rFonts w:ascii="Times New Roman;serif" w:hAnsi="Times New Roman;serif"/>
          <w:b w:val="false"/>
          <w:color w:val="000000"/>
          <w:sz w:val="24"/>
          <w:u w:val="single"/>
        </w:rPr>
        <w:t>Concerning the Trust Indenture Act</w:t>
      </w:r>
      <w:r>
        <w:rPr>
          <w:rFonts w:ascii="Times New Roman;serif" w:hAnsi="Times New Roman;serif"/>
          <w:b w:val="false"/>
          <w:color w:val="000000"/>
          <w:sz w:val="24"/>
        </w:rPr>
        <w:t>. The Trust Indenture Act of 1939, as amended, shall not be applicable to, and shall not govern, this Indenture, the Notes or the Guarantees.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13.02    </w:t>
      </w:r>
      <w:r>
        <w:rPr>
          <w:rFonts w:ascii="Times New Roman;serif" w:hAnsi="Times New Roman;serif"/>
          <w:b w:val="false"/>
          <w:color w:val="000000"/>
          <w:sz w:val="24"/>
          <w:u w:val="single"/>
        </w:rPr>
        <w:t>Notices</w:t>
      </w:r>
      <w:r>
        <w:rPr>
          <w:rFonts w:ascii="Times New Roman;serif" w:hAnsi="Times New Roman;serif"/>
          <w:b w:val="false"/>
          <w:color w:val="000000"/>
          <w:sz w:val="24"/>
        </w:rPr>
        <w:t>. Any notice, request, direction, instruction or communication by the Issuer, any Guarantor, the Trustee or the Collateral Agent to the others is duly given if in writing and delivered in person or mailed by first class mail (registered or certified, return receipt requested), telecopier or overnight air courier guaranteeing next day delivery, to the addresses set forth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If to the Issuer or any Guarantor:</w:t>
        <w:br/>
        <w:br/>
        <w:t>KLX Energy Services Holdings, Inc.</w:t>
        <w:br/>
        <w:t>3040 Post Oak Blvd, Suite 1500</w:t>
        <w:br/>
        <w:t>Houston, Texas 77056</w:t>
        <w:br/>
        <w:t>Attention: Max Bouthillette, General Counsel</w:t>
        <w:br/>
        <w:t>Email: [*]</w:t>
      </w:r>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160</w:t>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With a copy (which shall not constitute notice) to:</w:t>
        <w:br/>
        <w:br/>
        <w:t>Vinson &amp; Elkins LLP</w:t>
        <w:br/>
        <w:t>First Avenue Plaza</w:t>
        <w:br/>
        <w:t>44 Cook Street</w:t>
        <w:br/>
        <w:t>Suite 320</w:t>
        <w:br/>
        <w:t>Denver, CO 80206</w:t>
        <w:br/>
        <w:t>Attention: Sarah Morgan</w:t>
        <w:br/>
        <w:t>Email: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Vinson &amp; Elkins LLP</w:t>
        <w:br/>
        <w:t>2001 Ross Avenue</w:t>
        <w:br/>
        <w:t>Suite 3900</w:t>
        <w:br/>
        <w:t>Dallas, Texas 75201</w:t>
        <w:br/>
        <w:t>Attention: Katherine Frank</w:t>
        <w:br/>
        <w:t>Email: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Vinson &amp; Elkins LLP</w:t>
        <w:br/>
        <w:t>1114 6th Ave, 32nd Floor</w:t>
        <w:br/>
        <w:t>New York, New York 10036</w:t>
        <w:br/>
        <w:t>Attention: Ben Heriaud</w:t>
        <w:br/>
        <w:t>Email: [*]</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If to the Trustee, the Collateral Agent or the Calculation Agent:</w:t>
        <w:br/>
        <w:br/>
        <w:t>U.S. Bank Trust Company, National Association</w:t>
        <w:br/>
        <w:t>333 Commerce Street, Suite 900</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4"/>
        </w:rPr>
        <w:t>Nashville, Tennessee 37201</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Wally Jones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parties hereto, by written notice to the others, may designate additional or different addresses for subsequent notices or communications.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All notices and communications (other than those sent to Holders and the Trustee, the Collateral Agent and the Calculation Agent) shall be deemed to have been duly given: at the time delivered by hand, if personally delivered; five (5) Business Days after being deposited in the mail, postage prepaid, if mailed; when receipt acknowledged, if telecopied; and the next Business Day after timely delivery to the courier, if sent by overnight air courier promising next Business Day delivery.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Any notice or communication to a Holder and the Trustee, the Collateral Agent or the Calculation Agent shall be mailed by first class mail or by overnight air courier promising next Business Day delivery to its address shown on the register kept by the Registrar. Notwithstanding the foregoing, as long as the Notes are Global Notes, notices to be given to the Holders shall be given to the Depositary, in accordance with its applicable policies as in effect from time to time. Failure to mail a notice or communication to a Holder or any defect in it shall </w:t>
      </w:r>
    </w:p>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affect its sufficiency with respect to other Holders. Any notice mailed or delivered to a Holder in the aforesaid manner shall be conclusively deemed to have been received by such Holder, whether or not such Holder actually receives such notice.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the Trustee shall not have any liability for any losses, liability, costs or expenses incurred or sustained by any party as a result of such reliance upon or compliance with such instructions, directions, reports, notices or other communications or information. Each other party agrees to assume all risks arising out of the use of electronic methods to submit instructions, directions, reports, notices or other communications or indemnifications to the Trustee, including without limitation the risk of the Trustee acting on unauthorized instructions, notices, reports or other communications or information, and the risks of interception and misuse by third parties.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a notice or communication is delivered in the manner provided above within the time prescribed, it is duly given, whether or not the addressee receives it, except in the case of notices or communications given to the Trustee, the Collateral Agent or the Calculation Agent which shall be effective only upon actual receipt.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If the Issuer delivers a notice or communication to Holders, it shall mail a copy to the Trustee and the Collateral Agent at the same time.</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case, by reason of the suspension of or irregularities in regular mail service or by reason of any other cause, it shall be impractical to mail notice of any event to Holders of Notes when such notice is required to be given pursuant to any provision of this Indenture, then any manner of giving such notice as shall be reasonably satisfactory to the Trustee shall be deemed to be sufficient giving of such notice for every purpose hereunder.</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request, demand, authorization, direction, notice, consent or waiver required or permitted under this Indenture shall be in the English language, except that any published notice may be in an official language of the country of publication.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Waivers of notice by Holders shall be filed with the Trustee, but such filing shall not be a condition precedent to the validity of any action taken in reliance upon such waiver.</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13.03    </w:t>
      </w:r>
      <w:r>
        <w:rPr>
          <w:rFonts w:ascii="Times New Roman;serif" w:hAnsi="Times New Roman;serif"/>
          <w:b w:val="false"/>
          <w:color w:val="000000"/>
          <w:sz w:val="24"/>
          <w:u w:val="single"/>
        </w:rPr>
        <w:t>Certificate and Opinion as to Conditions Precedent</w:t>
      </w:r>
      <w:r>
        <w:rPr>
          <w:rFonts w:ascii="Times New Roman;serif" w:hAnsi="Times New Roman;serif"/>
          <w:b w:val="false"/>
          <w:color w:val="000000"/>
          <w:sz w:val="24"/>
        </w:rPr>
        <w:t>. Upon any request or application by the Issuer to the Trustee to take any action under this Indenture (other than, with respect to paragraph (b) below, in connection with the issuance of the Initial Notes), the Issuer shall furnish to the Trustee upon request:</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    an Officer’s Certificate (which shall include the statements set forth in </w:t>
      </w:r>
      <w:r>
        <w:rPr>
          <w:rFonts w:ascii="Times New Roman;serif" w:hAnsi="Times New Roman;serif"/>
          <w:b w:val="false"/>
          <w:color w:val="000000"/>
          <w:sz w:val="24"/>
          <w:u w:val="single"/>
        </w:rPr>
        <w:t>Section 13.04</w:t>
      </w:r>
      <w:r>
        <w:rPr>
          <w:rFonts w:ascii="Times New Roman;serif" w:hAnsi="Times New Roman;serif"/>
          <w:b w:val="false"/>
          <w:color w:val="000000"/>
          <w:sz w:val="24"/>
        </w:rPr>
        <w:t>) stating that, in the opinion of the signer, all conditions precedent and covenants, if any, provided for in this Indenture relating to the proposed action have been satisfied; and</w:t>
      </w: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an Opinion of Counsel (which shall include the statements set forth in </w:t>
      </w:r>
      <w:r>
        <w:rPr>
          <w:rFonts w:ascii="Times New Roman;serif" w:hAnsi="Times New Roman;serif"/>
          <w:b w:val="false"/>
          <w:color w:val="000000"/>
          <w:sz w:val="24"/>
          <w:u w:val="single"/>
        </w:rPr>
        <w:t>Section 13.04</w:t>
      </w:r>
      <w:r>
        <w:rPr>
          <w:rFonts w:ascii="Times New Roman;serif" w:hAnsi="Times New Roman;serif"/>
          <w:b w:val="false"/>
          <w:color w:val="000000"/>
          <w:sz w:val="24"/>
        </w:rPr>
        <w:t>) stating that, in the opinion of such counsel, all such conditions precedent and covenants have been satisfied.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case of any application or request as to which the furnishing of other specified documents is specifically required by any provision of this Indenture relating to such particular application or request, no additional Officer’s Certificate or Opinion of Counsel need be furnished.</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13.04    </w:t>
      </w:r>
      <w:r>
        <w:rPr>
          <w:rFonts w:ascii="Times New Roman;serif" w:hAnsi="Times New Roman;serif"/>
          <w:b w:val="false"/>
          <w:color w:val="000000"/>
          <w:sz w:val="24"/>
          <w:u w:val="single"/>
        </w:rPr>
        <w:t>Statements Required in Certificate or Opinion</w:t>
      </w:r>
      <w:r>
        <w:rPr>
          <w:rFonts w:ascii="Times New Roman;serif" w:hAnsi="Times New Roman;serif"/>
          <w:b w:val="false"/>
          <w:color w:val="000000"/>
          <w:sz w:val="24"/>
        </w:rPr>
        <w:t>. Each certificate or opinion with respect to compliance with a condition or covenant provided for in this Indenture (other than any certificate required by Section 5.03(c) or Section 10.06 hereof) shall include substantially:</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    a statement that the Person making such certificate or opinion has read and understands such covenant or condition;</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(b)    a brief statement as to the nature and scope of the examination or investigation upon which the statements or opinions contained in such certificate or opinion are based;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(c)    a statement that, in the opinion of such Person, he or she has made such examination or investigation as is necessary to enable him to express an informed opinion as to whether or not such covenant or condition has been satisfied; and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(d)    a statement as to whether or not, in the opinion of such Person, such condition or covenant has been satisfied.</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Person may certify or give an opinion with respect to some matters and one or more other Persons as to other matters, and any one Person may certify or give an opinion as to such matters in one or several documents.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Any certificate or opinion of an Officer of the Issuer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163</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Where any Person is required to make, give or execute two or more applications, requests, consents, certificates, statements, opinions or other instruments under this Indenture, they may, but need not, be consolidated and form one instrument.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13.05    </w:t>
      </w:r>
      <w:r>
        <w:rPr>
          <w:rFonts w:ascii="Times New Roman;serif" w:hAnsi="Times New Roman;serif"/>
          <w:b w:val="false"/>
          <w:color w:val="000000"/>
          <w:sz w:val="24"/>
          <w:u w:val="single"/>
        </w:rPr>
        <w:t>Rules by Trustee and Agents</w:t>
      </w:r>
      <w:r>
        <w:rPr>
          <w:rFonts w:ascii="Times New Roman;serif" w:hAnsi="Times New Roman;serif"/>
          <w:b w:val="false"/>
          <w:color w:val="000000"/>
          <w:sz w:val="24"/>
        </w:rPr>
        <w:t>. The Trustee may make reasonable rules for action by or at a meeting of Holders. Each of the Agents may make reasonable rules and set reasonable requirements for its functions.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13.06    </w:t>
      </w:r>
      <w:r>
        <w:rPr>
          <w:rFonts w:ascii="Times New Roman;serif" w:hAnsi="Times New Roman;serif"/>
          <w:b w:val="false"/>
          <w:color w:val="000000"/>
          <w:sz w:val="24"/>
          <w:u w:val="single"/>
        </w:rPr>
        <w:t>No Personal Liability of Directors, Officers, Employees and Stockholders</w:t>
      </w:r>
      <w:r>
        <w:rPr>
          <w:rFonts w:ascii="Times New Roman;serif" w:hAnsi="Times New Roman;serif"/>
          <w:b w:val="false"/>
          <w:color w:val="000000"/>
          <w:sz w:val="24"/>
        </w:rPr>
        <w:t>. No director, officer, employee, incorporator, partner, member or stockholder of the Issuer or any Guarantor, as such, will have any liability for any indebtedness, obligations or liabilities of the Issuer under the Notes or this Indenture, of any Guarantor under its Guarantee or of the Issuer or any Guarantor under the Intercreditor Agreement or the Security Documents or for any claim based on, in respect of, or by reason of, such obligations or their creation. Each Holder by accepting a Note waives and releases all such liability. The waiver and release are part of the consideration for issuance of the Notes and the Guarantees.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13.07    </w:t>
      </w:r>
      <w:r>
        <w:rPr>
          <w:rFonts w:ascii="Times New Roman;serif" w:hAnsi="Times New Roman;serif"/>
          <w:b w:val="false"/>
          <w:color w:val="000000"/>
          <w:sz w:val="24"/>
          <w:u w:val="single"/>
        </w:rPr>
        <w:t>Governing Law; Consent to Jurisdiction; Waiver of Jury Trial</w:t>
      </w:r>
      <w:r>
        <w:rPr>
          <w:rFonts w:ascii="Times New Roman;serif" w:hAnsi="Times New Roman;serif"/>
          <w:b w:val="false"/>
          <w:color w:val="000000"/>
          <w:sz w:val="24"/>
        </w:rPr>
        <w:t xml:space="preserve">. THE LAW OF THE STATE OF NEW YORK SHALL GOVERN AND BE USED TO CONSTRUE THIS INDENTURE, THE NOTES AND THE GUARANTEES. Each of the parties to this Indenture each hereby irrevocably submits to the non-exclusive jurisdiction of any New York State or federal court sitting in the Borough of Manhattan in The City of New York in any action or proceeding arising out of or relating to the Notes, the Guarantees, this Indenture or the Security Documents, and all such parties hereby irrevocably agree that all claims in respect of such action or proceeding may be heard and determined in such New York State or federal court and hereby irrevocably waive, to the fullest extent that they may legally do so, the defense of an inconvenient forum to the maintenance of such action or proceeding. EACH PARTY HERETO HEREBY (AND EACH HOLDER, BY THEIR ACCEPTANCE OF THE NOTES THEREBY) WAIVES, TO THE FULLEST EXTENT PERMITTED BY APPLICABLE REQUIREMENTS OF LAW, ANY RIGHT IT MAY HAVE TO A TRIAL BY JURY IN ANY LEGAL PROCEEDING DIRECTLY OR INDIRECTLY ARISING OUT OF OR RELATING TO THIS INDENTURE, ANY OTHER LOAN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INDENTURE BY, AMONG OTHER THINGS, THE MUTUAL WAIVERS AND CERTIFICATIONS IN THIS </w:t>
      </w:r>
      <w:r>
        <w:rPr>
          <w:rFonts w:ascii="Times New Roman;serif" w:hAnsi="Times New Roman;serif"/>
          <w:b w:val="false"/>
          <w:color w:val="000000"/>
          <w:sz w:val="24"/>
          <w:u w:val="single"/>
        </w:rPr>
        <w:t>SECTION 13.07.</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13.08    </w:t>
      </w:r>
      <w:r>
        <w:rPr>
          <w:rFonts w:ascii="Times New Roman;serif" w:hAnsi="Times New Roman;serif"/>
          <w:b w:val="false"/>
          <w:color w:val="000000"/>
          <w:sz w:val="24"/>
          <w:u w:val="single"/>
        </w:rPr>
        <w:t>No Adverse Interpretation of Other Agreements</w:t>
      </w:r>
      <w:r>
        <w:rPr>
          <w:rFonts w:ascii="Times New Roman;serif" w:hAnsi="Times New Roman;serif"/>
          <w:b w:val="false"/>
          <w:color w:val="000000"/>
          <w:sz w:val="24"/>
        </w:rPr>
        <w:t>. This Indenture may not be used to interpret any other indenture, loan agreement or debt agreement of the Issuer or any of its Subsidiaries or of any other Person. Any such indenture, loan agreement or debt agreement may not be used to interpret this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13.09    </w:t>
      </w:r>
      <w:r>
        <w:rPr>
          <w:rFonts w:ascii="Times New Roman;serif" w:hAnsi="Times New Roman;serif"/>
          <w:b w:val="false"/>
          <w:color w:val="000000"/>
          <w:sz w:val="24"/>
          <w:u w:val="single"/>
        </w:rPr>
        <w:t>Successors</w:t>
      </w:r>
      <w:r>
        <w:rPr>
          <w:rFonts w:ascii="Times New Roman;serif" w:hAnsi="Times New Roman;serif"/>
          <w:b w:val="false"/>
          <w:color w:val="000000"/>
          <w:sz w:val="24"/>
        </w:rPr>
        <w:t>. All agreements of the Issuer and the Guarantors in this Indenture and the Notes and the Guarantees, as applicable, shall bind their respective successors and assigns. All agreements of the Trustee and the Collateral Agent in this Indenture shall bind their respective successors and assigns.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13.10    </w:t>
      </w:r>
      <w:r>
        <w:rPr>
          <w:rFonts w:ascii="Times New Roman;serif" w:hAnsi="Times New Roman;serif"/>
          <w:b w:val="false"/>
          <w:color w:val="000000"/>
          <w:sz w:val="24"/>
          <w:u w:val="single"/>
        </w:rPr>
        <w:t>Severability</w:t>
      </w:r>
      <w:r>
        <w:rPr>
          <w:rFonts w:ascii="Times New Roman;serif" w:hAnsi="Times New Roman;serif"/>
          <w:b w:val="false"/>
          <w:color w:val="000000"/>
          <w:sz w:val="24"/>
        </w:rPr>
        <w:t>. In case any provision in this Indenture or in the Notes shall be invalid, illegal or unenforceable, the validity, legality and enforceability of the remaining provisions shall not in any way be affected or impaired thereby.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13.11    </w:t>
      </w:r>
      <w:r>
        <w:rPr>
          <w:rFonts w:ascii="Times New Roman;serif" w:hAnsi="Times New Roman;serif"/>
          <w:b w:val="false"/>
          <w:color w:val="000000"/>
          <w:sz w:val="24"/>
          <w:u w:val="single"/>
        </w:rPr>
        <w:t>Execution in Counterparts; Electronic Signature</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    This Indenture may be executed in two or more counterparts, which when so executed shall constitute one and the same agreement. </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(b)    The words “execute,” “execution,” “signed,” “signature,” and words of like import in or related to any document to be signed in connection with this Indenture and the transactions contemplated hereby shall be deemed to include electronic signatures, the electronic matching of assignment terms and contract formations on electronic platforms approved by the Trustee, or the keeping of records in electronic form, each of which shall be of the same legal effect, validity or enforceability as a manually executed signature or the use of a paper-based recordkeeping system, as the case may be, to the extent and as provided for in any applicable Requirement of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i/>
          <w:color w:val="000000"/>
          <w:sz w:val="24"/>
        </w:rPr>
        <w:t>provided</w:t>
      </w:r>
      <w:r>
        <w:rPr>
          <w:rFonts w:ascii="Times New Roman;serif" w:hAnsi="Times New Roman;serif"/>
          <w:b w:val="false"/>
          <w:color w:val="000000"/>
          <w:sz w:val="24"/>
        </w:rPr>
        <w:t>, that, notwithstanding anything contained herein to the contrary, the Trustee is under no obligation to agree to accept electronic signatures in any form or in any format unless expressly agreed to by the Trustee pursuant to procedures approved by it.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13.12    </w:t>
      </w:r>
      <w:r>
        <w:rPr>
          <w:rFonts w:ascii="Times New Roman;serif" w:hAnsi="Times New Roman;serif"/>
          <w:b w:val="false"/>
          <w:color w:val="000000"/>
          <w:sz w:val="24"/>
          <w:u w:val="single"/>
        </w:rPr>
        <w:t>Table of Contents, Headings, Etc</w:t>
      </w:r>
      <w:r>
        <w:rPr>
          <w:rFonts w:ascii="Times New Roman;serif" w:hAnsi="Times New Roman;serif"/>
          <w:b w:val="false"/>
          <w:color w:val="000000"/>
          <w:sz w:val="24"/>
        </w:rPr>
        <w:t>. The Table of Contents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13.13    </w:t>
      </w:r>
      <w:r>
        <w:rPr>
          <w:rFonts w:ascii="Times New Roman;serif" w:hAnsi="Times New Roman;serif"/>
          <w:b w:val="false"/>
          <w:color w:val="000000"/>
          <w:sz w:val="24"/>
          <w:u w:val="single"/>
        </w:rPr>
        <w:t>Force Majeure</w:t>
      </w:r>
      <w:r>
        <w:rPr>
          <w:rFonts w:ascii="Times New Roman;serif" w:hAnsi="Times New Roman;serif"/>
          <w:b w:val="false"/>
          <w:color w:val="000000"/>
          <w:sz w:val="24"/>
        </w:rPr>
        <w:t>. In no event shall the Trustee, the Collateral Agent or any other Agent be responsible or liable for any failure or delay in the performance of its obligations hereunder arising out of or caused by, directly or indirectly, forces beyond its control, including, without limitation, fire, riots, strikes, or stoppages for any reason, embargoes, governmental actions, accidents, acts of war or terrorism, civil or military disturbances, nuclear or natural catastrophes or acts of God, and interruptions, loss or malfunctions of utilities, communications or computer (software and hardware) services, it being understood that the Trustee, the Collateral Agent and each of the Agents shall use reasonable efforts which are consistent with accepted practices in the U.S. banking industry to resume performance as soon as practicable under the circumstances.</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13.14    </w:t>
      </w:r>
      <w:r>
        <w:rPr>
          <w:rFonts w:ascii="Times New Roman;serif" w:hAnsi="Times New Roman;serif"/>
          <w:b w:val="false"/>
          <w:color w:val="000000"/>
          <w:sz w:val="24"/>
          <w:u w:val="single"/>
        </w:rPr>
        <w:t>Legal Holidays</w:t>
      </w:r>
      <w:r>
        <w:rPr>
          <w:rFonts w:ascii="Times New Roman;serif" w:hAnsi="Times New Roman;serif"/>
          <w:b w:val="false"/>
          <w:color w:val="000000"/>
          <w:sz w:val="24"/>
        </w:rPr>
        <w:t xml:space="preserve">. If any scheduled payment date with respect to the payment of principal, premium, if any, or interest on the Notes, including, without limitation, any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Payment Date, redemption date, stated maturity or maturity date, falls on a day that is not a Business Day, then notwithstanding any other provision of this Indenture or of the Notes, the payment to be made on such payment date will be made on the next succeeding Business Day with the same force and effect as if made on such payment date, and no additional interest will accrue solely as a result of such delayed payment.</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13.15    </w:t>
      </w:r>
      <w:r>
        <w:rPr>
          <w:rFonts w:ascii="Times New Roman;serif" w:hAnsi="Times New Roman;serif"/>
          <w:b w:val="false"/>
          <w:color w:val="000000"/>
          <w:sz w:val="24"/>
          <w:u w:val="single"/>
        </w:rPr>
        <w:t>Benefit of the Indenture</w:t>
      </w:r>
      <w:r>
        <w:rPr>
          <w:rFonts w:ascii="Times New Roman;serif" w:hAnsi="Times New Roman;serif"/>
          <w:b w:val="false"/>
          <w:color w:val="000000"/>
          <w:sz w:val="24"/>
        </w:rPr>
        <w:t>. Nothing in this Indenture or in the Notes, express or implied, shall give to any Person, other than the parties hereto, any Authenticating Agent, any Paying Agent, any Registrar and their successors hereunder and the Holders of Notes, any benefit or any legal or equitable right, remedy or claim under this Indenture.</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13.16    </w:t>
      </w:r>
      <w:r>
        <w:rPr>
          <w:rFonts w:ascii="Times New Roman;serif" w:hAnsi="Times New Roman;serif"/>
          <w:b w:val="false"/>
          <w:color w:val="000000"/>
          <w:sz w:val="24"/>
          <w:u w:val="single"/>
        </w:rPr>
        <w:t>Controlling Party</w:t>
      </w:r>
      <w:r>
        <w:rPr>
          <w:rFonts w:ascii="Times New Roman;serif" w:hAnsi="Times New Roman;serif"/>
          <w:b w:val="false"/>
          <w:color w:val="000000"/>
          <w:sz w:val="24"/>
        </w:rPr>
        <w:t xml:space="preserve">. Notwithstanding or anything else in this Indenture (including, without limitation, </w:t>
      </w:r>
      <w:r>
        <w:rPr>
          <w:rFonts w:ascii="Times New Roman;serif" w:hAnsi="Times New Roman;serif"/>
          <w:b w:val="false"/>
          <w:color w:val="000000"/>
          <w:sz w:val="24"/>
          <w:u w:val="single"/>
        </w:rPr>
        <w:t>Section 13.02</w:t>
      </w:r>
      <w:r>
        <w:rPr>
          <w:color w:val="000000"/>
        </w:rPr>
        <w:t xml:space="preserve"> </w:t>
      </w:r>
      <w:r>
        <w:rPr>
          <w:rFonts w:ascii="Times New Roman;serif" w:hAnsi="Times New Roman;serif"/>
          <w:b w:val="false"/>
          <w:color w:val="000000"/>
          <w:sz w:val="24"/>
        </w:rPr>
        <w:t>hereof) or any Security Document or Intercreditor Agreement to the contrary, prior to the Disposition Date, any written instrument executed by Specified Holders certifying that the Controlling Party has consented to or approved any amendment, waiver, supplement, consent or approval under this Indenture or any Security Document or Intercreditor Agreement and which provides for the consent, approval, waiver, instruction or direction respect of any matter under this Indenture or any Security Document or Intercreditor Agreement shall constitute binding and conclusive evidence for all purposes under this Indenture, the Security Documents and any Intercreditor Agreement of the consent, approval, waiver, instruction or direction of the Controlling Party, upon which the Trustee and Collateral Agent and the Issuer and the Guarantors, will be entitled to conclusively rely without further investigation. For avoidance of doubt, if any such written instrument is delivered to the Issuer, the Trustee and/or the Collateral Agent, no evidence of consent, approval, waiver, instruction or direction obtained from other Holders, beneficial owners, DTC, any DTC participant or otherwise pursuant to DTC’s applicable procedures will be required in order for such consent, approval, waiver, instruction or direction to be effective for all purposes hereunder and under the Security Documents or any Intercreditor Agreement. The Issuer, Trustee and Collateral Agent shall be entitled to conclusively rely that the Disposition Date has not occurred unless and until they have received written notice thereof from a Specified Holder that the Disposition Date has occurred. For avoidance of doubt, prior to the Disposition Date, the Specified Holders act as the representative for all Holders, and the Trustee, the Collateral Agent and the Issuer shall treat any instrument provided by the Specified Holders as an instrument from all Holders and all Holders shall be bound thereby.</w:t>
      </w:r>
    </w:p>
    <w:p>
      <w:pPr>
        <w:pStyle w:val="TextBody"/>
        <w:bidi w:val="0"/>
        <w:spacing w:lineRule="auto" w:line="288" w:before="0" w:after="240"/>
        <w:ind w:left="0" w:right="0" w:firstLine="1440"/>
        <w:jc w:val="both"/>
        <w:rPr/>
      </w:pPr>
      <w:r>
        <w:rPr>
          <w:rFonts w:ascii="Times New Roman;serif" w:hAnsi="Times New Roman;serif"/>
          <w:b w:val="false"/>
          <w:color w:val="000000"/>
          <w:sz w:val="24"/>
        </w:rPr>
        <w:t>Section 13.17    </w:t>
      </w:r>
      <w:r>
        <w:rPr>
          <w:rFonts w:ascii="Times New Roman;serif" w:hAnsi="Times New Roman;serif"/>
          <w:b w:val="false"/>
          <w:color w:val="000000"/>
          <w:sz w:val="24"/>
          <w:u w:val="single"/>
        </w:rPr>
        <w:t>Amendment and Restatement</w:t>
      </w:r>
      <w:r>
        <w:rPr>
          <w:rFonts w:ascii="Times New Roman;serif" w:hAnsi="Times New Roman;serif"/>
          <w:b w:val="false"/>
          <w:color w:val="000000"/>
          <w:sz w:val="24"/>
        </w:rPr>
        <w:t xml:space="preserve">. It is the intention of the Note Parties, the Trustee, the Collateral Agent and the Holders, and such parties hereby agree, from and after the Restatement Effective Date, that (a) this Indenture amends, restates, supersedes and replaces the Prior Notes Indenture in its entirety; provided that each of the “Notes” and “Obligations” (as such terms are defined in the Prior Notes) outstanding under the Prior Notes on the Restatement Effective Date shall, for purposes of this Indenture, be included as Notes and Obligations hereunder, (b) such amendment and restatement shall operate to renew, amend and modify certain of the rights and obligations of the parties under the Prior Notes Indenture as provided herein, but shall not act as a novation thereof or a novation of any Notes or other obligations outstanding thereunder, all of which Notes and other obligations shall be deemed to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 Notes and obligations outstanding under the corresponding provisions described in this Indenture without any further action by any Person, and (c) the Liens securing any outstanding Obligations or Notes under the Prior Notes Indenture shall not be extinguished, but are hereby ratified, affirmed and confirmed and shall be carried forward and shall secure the Obligations as renewed, amended, restated, and modified hereby and by any Note Documents delivered pursuant hereto. Unless specifically amended or restated hereby or by any other Note Document, each of the “Note Documents” under and as defined in the Prior Notes Indenture and the Exhibits and the Schedules thereto shall continue in full force and effect and, from and after the Restatement Effective Date, and any and all references to the Prior Notes Indenture contained therein shall be deemed to refer to this Indenture.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[THIS SPACE INTENTIONALLY LEFT BLANK; SIGNATURE PAGES FOLLOW]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167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hereto have caused this Indenture to be duly executed by their respective authorized officers as of the day and year first above written.</w:t>
      </w:r>
    </w:p>
    <w:p>
      <w:pPr>
        <w:pStyle w:val="TextBody"/>
        <w:bidi w:val="0"/>
        <w:spacing w:lineRule="auto" w:line="288" w:before="0" w:after="480"/>
        <w:jc w:val="left"/>
        <w:rPr/>
      </w:pPr>
      <w:r>
        <w:rPr>
          <w:rFonts w:ascii="Times New Roman;serif" w:hAnsi="Times New Roman;serif"/>
          <w:b/>
          <w:color w:val="000000"/>
          <w:sz w:val="24"/>
        </w:rPr>
        <w:t>KLX ENERGY SERVICES HOLDINGS, INC.</w:t>
      </w:r>
      <w:r>
        <w:rPr>
          <w:rFonts w:ascii="Times New Roman;serif" w:hAnsi="Times New Roman;serif"/>
          <w:b w:val="false"/>
          <w:color w:val="000000"/>
          <w:sz w:val="24"/>
        </w:rPr>
        <w:t>, as the Issuer</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Executive Vice President, General Counsel and Chief Compliance Officer</w:t>
      </w:r>
    </w:p>
    <w:p>
      <w:pPr>
        <w:pStyle w:val="TextBody"/>
        <w:bidi w:val="0"/>
        <w:spacing w:lineRule="auto" w:line="288" w:before="0" w:after="480"/>
        <w:jc w:val="left"/>
        <w:rPr/>
      </w:pPr>
      <w:r>
        <w:rPr>
          <w:rFonts w:ascii="Times New Roman;serif" w:hAnsi="Times New Roman;serif"/>
          <w:b/>
          <w:color w:val="000000"/>
          <w:sz w:val="24"/>
        </w:rPr>
        <w:t>KRYPTON HOLDCO, LLC</w:t>
      </w:r>
      <w:r>
        <w:rPr>
          <w:rFonts w:ascii="Times New Roman;serif" w:hAnsi="Times New Roman;serif"/>
          <w:b w:val="false"/>
          <w:color w:val="000000"/>
          <w:sz w:val="24"/>
        </w:rPr>
        <w:t>, as a Guarantor</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Vice President and Secretary</w:t>
      </w:r>
    </w:p>
    <w:p>
      <w:pPr>
        <w:pStyle w:val="TextBody"/>
        <w:bidi w:val="0"/>
        <w:spacing w:lineRule="auto" w:line="288" w:before="0" w:after="480"/>
        <w:jc w:val="left"/>
        <w:rPr/>
      </w:pPr>
      <w:r>
        <w:rPr>
          <w:rFonts w:ascii="Times New Roman;serif" w:hAnsi="Times New Roman;serif"/>
          <w:b/>
          <w:color w:val="000000"/>
          <w:sz w:val="24"/>
        </w:rPr>
        <w:t>KRYPTON INTERMEDIATE, LLC</w:t>
      </w:r>
      <w:r>
        <w:rPr>
          <w:rFonts w:ascii="Times New Roman;serif" w:hAnsi="Times New Roman;serif"/>
          <w:b w:val="false"/>
          <w:color w:val="000000"/>
          <w:sz w:val="24"/>
        </w:rPr>
        <w:t>,</w:t>
        <w:br/>
        <w:t>as a Guarantor</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Vice President and Secretary</w:t>
      </w:r>
    </w:p>
    <w:p>
      <w:pPr>
        <w:pStyle w:val="TextBody"/>
        <w:bidi w:val="0"/>
        <w:spacing w:lineRule="auto" w:line="288" w:before="0" w:after="480"/>
        <w:jc w:val="left"/>
        <w:rPr/>
      </w:pPr>
      <w:r>
        <w:rPr>
          <w:rFonts w:ascii="Times New Roman;serif" w:hAnsi="Times New Roman;serif"/>
          <w:b/>
          <w:color w:val="000000"/>
          <w:sz w:val="24"/>
        </w:rPr>
        <w:t>KLX ENERGY SERVICES, INC.</w:t>
      </w:r>
      <w:r>
        <w:rPr>
          <w:rFonts w:ascii="Times New Roman;serif" w:hAnsi="Times New Roman;serif"/>
          <w:b w:val="false"/>
          <w:color w:val="000000"/>
          <w:sz w:val="24"/>
        </w:rPr>
        <w:t>, as a Guarantor</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Vice President and Secretary</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KLX ENERGY SERVICES LLC</w:t>
      </w:r>
      <w:r>
        <w:rPr>
          <w:rFonts w:ascii="Times New Roman;serif" w:hAnsi="Times New Roman;serif"/>
          <w:b w:val="false"/>
          <w:color w:val="000000"/>
          <w:sz w:val="24"/>
        </w:rPr>
        <w:t>, as a Guarantor</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Vice President and Secretary</w:t>
      </w:r>
    </w:p>
    <w:p>
      <w:pPr>
        <w:pStyle w:val="TextBody"/>
        <w:bidi w:val="0"/>
        <w:spacing w:lineRule="auto" w:line="288" w:before="0" w:after="480"/>
        <w:jc w:val="left"/>
        <w:rPr/>
      </w:pPr>
      <w:r>
        <w:rPr>
          <w:rFonts w:ascii="Times New Roman;serif" w:hAnsi="Times New Roman;serif"/>
          <w:b/>
          <w:color w:val="000000"/>
          <w:sz w:val="24"/>
        </w:rPr>
        <w:t>KLX DIRECTIONAL DRILLING, LLC</w:t>
      </w:r>
      <w:r>
        <w:rPr>
          <w:rFonts w:ascii="Times New Roman;serif" w:hAnsi="Times New Roman;serif"/>
          <w:b w:val="false"/>
          <w:color w:val="000000"/>
          <w:sz w:val="24"/>
        </w:rPr>
        <w:t>,</w:t>
      </w:r>
      <w:r>
        <w:rPr>
          <w:rFonts w:ascii="Times New Roman;serif" w:hAnsi="Times New Roman;serif"/>
          <w:b/>
          <w:color w:val="000000"/>
          <w:sz w:val="24"/>
        </w:rPr>
        <w:br/>
      </w:r>
      <w:r>
        <w:rPr>
          <w:rFonts w:ascii="Times New Roman;serif" w:hAnsi="Times New Roman;serif"/>
          <w:b w:val="false"/>
          <w:color w:val="000000"/>
          <w:sz w:val="24"/>
        </w:rPr>
        <w:t>as a Guarantor</w:t>
      </w:r>
    </w:p>
    <w:p>
      <w:pPr>
        <w:pStyle w:val="TextBody"/>
        <w:bidi w:val="0"/>
        <w:spacing w:lineRule="auto" w:line="288" w:before="0" w:after="48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Vice President and Secretary</w:t>
      </w:r>
    </w:p>
    <w:p>
      <w:pPr>
        <w:pStyle w:val="TextBody"/>
        <w:bidi w:val="0"/>
        <w:spacing w:lineRule="auto" w:line="288" w:before="0" w:after="480"/>
        <w:jc w:val="left"/>
        <w:rPr/>
      </w:pPr>
      <w:r>
        <w:rPr>
          <w:rFonts w:ascii="Times New Roman;serif" w:hAnsi="Times New Roman;serif"/>
          <w:b/>
          <w:color w:val="000000"/>
          <w:sz w:val="24"/>
        </w:rPr>
        <w:t>CENTERLINE TRUCKING, LLC</w:t>
      </w:r>
      <w:r>
        <w:rPr>
          <w:rFonts w:ascii="Times New Roman;serif" w:hAnsi="Times New Roman;serif"/>
          <w:b w:val="false"/>
          <w:color w:val="000000"/>
          <w:sz w:val="24"/>
        </w:rPr>
        <w:t>,</w:t>
      </w:r>
      <w:r>
        <w:rPr>
          <w:rFonts w:ascii="Times New Roman;serif" w:hAnsi="Times New Roman;serif"/>
          <w:b/>
          <w:color w:val="000000"/>
          <w:sz w:val="24"/>
        </w:rPr>
        <w:br/>
      </w:r>
      <w:r>
        <w:rPr>
          <w:rFonts w:ascii="Times New Roman;serif" w:hAnsi="Times New Roman;serif"/>
          <w:b w:val="false"/>
          <w:color w:val="000000"/>
          <w:sz w:val="24"/>
        </w:rPr>
        <w:t>as a Guarantor</w:t>
      </w:r>
    </w:p>
    <w:p>
      <w:pPr>
        <w:pStyle w:val="TextBody"/>
        <w:bidi w:val="0"/>
        <w:spacing w:lineRule="auto" w:line="288" w:before="0" w:after="24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Max Bouthillette                                            </w:t>
        <w:br/>
      </w:r>
      <w:r>
        <w:rPr>
          <w:rFonts w:ascii="Times New Roman;serif" w:hAnsi="Times New Roman;serif"/>
          <w:b w:val="false"/>
          <w:color w:val="000000"/>
          <w:sz w:val="24"/>
        </w:rPr>
        <w:t>Name:    Max Bouthillette</w:t>
        <w:br/>
        <w:t>Title:    Vice President and Secretary</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Indenture]</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U.S. BANK TRUST COMPANY, NATIONAL ASSOCIATION,</w:t>
      </w:r>
      <w:r>
        <w:rPr>
          <w:color w:val="000000"/>
        </w:rPr>
        <w:t xml:space="preserve"> </w:t>
      </w:r>
      <w:r>
        <w:rPr>
          <w:rFonts w:ascii="Times New Roman;serif" w:hAnsi="Times New Roman;serif"/>
          <w:b w:val="false"/>
          <w:color w:val="000000"/>
          <w:sz w:val="24"/>
        </w:rPr>
        <w:t>as Trustee, Registrar, Calculation Agent, Paying Agent and Collateral Agent</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Wally Jones                                                 </w:t>
        <w:br/>
      </w:r>
      <w:r>
        <w:rPr>
          <w:rFonts w:ascii="Times New Roman;serif" w:hAnsi="Times New Roman;serif"/>
          <w:b w:val="false"/>
          <w:color w:val="000000"/>
          <w:sz w:val="24"/>
        </w:rPr>
        <w:t>Name:    Wally Jones</w:t>
        <w:br/>
        <w:t>Title:    Vice President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to Indenture]</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APPENDIX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PROVISIONS RELATING TO INITIAL NOTES, PIK NOTES AND</w:t>
        <w:br/>
        <w:t>ADDITIONAL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1.1    </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but not defined in this Appendix A have the meanings given to them in the Indenture. The following capitalized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Applicable Procedures</w:t>
      </w:r>
      <w:r>
        <w:rPr>
          <w:color w:val="000000"/>
        </w:rPr>
        <w:t xml:space="preserve">” </w:t>
      </w:r>
      <w:r>
        <w:rPr>
          <w:rFonts w:ascii="Times New Roman;serif" w:hAnsi="Times New Roman;serif"/>
          <w:b w:val="false"/>
          <w:color w:val="000000"/>
          <w:sz w:val="24"/>
        </w:rPr>
        <w:t>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Clearstream</w:t>
      </w:r>
      <w:r>
        <w:rPr>
          <w:color w:val="000000"/>
        </w:rPr>
        <w:t xml:space="preserve">” </w:t>
      </w:r>
      <w:r>
        <w:rPr>
          <w:rFonts w:ascii="Times New Roman;serif" w:hAnsi="Times New Roman;serif"/>
          <w:b w:val="false"/>
          <w:color w:val="000000"/>
          <w:sz w:val="24"/>
        </w:rPr>
        <w:t>means Clearstream Banking, Societe Anonyme, or any successor securities clearing agency.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Distribution Compliance Period</w:t>
      </w:r>
      <w:r>
        <w:rPr>
          <w:rFonts w:ascii="Times New Roman;serif" w:hAnsi="Times New Roman;serif"/>
          <w:b w:val="false"/>
          <w:color w:val="000000"/>
          <w:sz w:val="24"/>
        </w:rPr>
        <w:t>,” with respect to any Note, means the period of 40 consecutive days beginning on and including the later of (a) the day on which such Note is first offered to persons other than distributors (as defined in Regulation S) in reliance on Regulation S, notice of which day shall be promptly given by the Issuer to the Trustee, and (b) the date of issuance with respect to such Note or any predecessor of such Note.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Euroclear</w:t>
      </w:r>
      <w:r>
        <w:rPr>
          <w:color w:val="000000"/>
        </w:rPr>
        <w:t xml:space="preserve">” </w:t>
      </w:r>
      <w:r>
        <w:rPr>
          <w:rFonts w:ascii="Times New Roman;serif" w:hAnsi="Times New Roman;serif"/>
          <w:b w:val="false"/>
          <w:color w:val="000000"/>
          <w:sz w:val="24"/>
        </w:rPr>
        <w:t>means Euroclear Bank S.A./N.Y., as operator of Euroclear Clearance System or any successor securities clearing agency.</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IAI</w:t>
      </w:r>
      <w:r>
        <w:rPr>
          <w:color w:val="000000"/>
        </w:rPr>
        <w:t xml:space="preserve">” </w:t>
      </w:r>
      <w:r>
        <w:rPr>
          <w:rFonts w:ascii="Times New Roman;serif" w:hAnsi="Times New Roman;serif"/>
          <w:b w:val="false"/>
          <w:color w:val="000000"/>
          <w:sz w:val="24"/>
        </w:rPr>
        <w:t>means an institution that is an “accredited investor” as described in Rule 501(a)(1), (2), (3) or (7) under the Securities Act and is not a QIB.</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QIB</w:t>
      </w:r>
      <w:r>
        <w:rPr>
          <w:color w:val="000000"/>
        </w:rPr>
        <w:t xml:space="preserve">” </w:t>
      </w:r>
      <w:r>
        <w:rPr>
          <w:rFonts w:ascii="Times New Roman;serif" w:hAnsi="Times New Roman;serif"/>
          <w:b w:val="false"/>
          <w:color w:val="000000"/>
          <w:sz w:val="24"/>
        </w:rPr>
        <w:t>means a “qualified institutional buyer” as defined in Rule 144A.</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Regulation S</w:t>
      </w:r>
      <w:r>
        <w:rPr>
          <w:color w:val="000000"/>
        </w:rPr>
        <w:t xml:space="preserve">” </w:t>
      </w:r>
      <w:r>
        <w:rPr>
          <w:rFonts w:ascii="Times New Roman;serif" w:hAnsi="Times New Roman;serif"/>
          <w:b w:val="false"/>
          <w:color w:val="000000"/>
          <w:sz w:val="24"/>
        </w:rPr>
        <w:t>means Regulation S promulgated under the Securities Act (including any successor provision thereto), as it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144</w:t>
      </w:r>
      <w:r>
        <w:rPr>
          <w:color w:val="000000"/>
        </w:rPr>
        <w:t xml:space="preserve">” </w:t>
      </w:r>
      <w:r>
        <w:rPr>
          <w:rFonts w:ascii="Times New Roman;serif" w:hAnsi="Times New Roman;serif"/>
          <w:b w:val="false"/>
          <w:color w:val="000000"/>
          <w:sz w:val="24"/>
        </w:rPr>
        <w:t>means Rule 144 promulgated under the Securities Act (including any successor provision thereto), as it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Rule 144A</w:t>
      </w:r>
      <w:r>
        <w:rPr>
          <w:color w:val="000000"/>
        </w:rPr>
        <w:t xml:space="preserve">” </w:t>
      </w:r>
      <w:r>
        <w:rPr>
          <w:rFonts w:ascii="Times New Roman;serif" w:hAnsi="Times New Roman;serif"/>
          <w:b w:val="false"/>
          <w:color w:val="000000"/>
          <w:sz w:val="24"/>
        </w:rPr>
        <w:t>means Rule 144A promulgated under the Securities Act (including any successor provision thereto), as it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Transfer Restricted Notes</w:t>
      </w:r>
      <w:r>
        <w:rPr>
          <w:color w:val="000000"/>
        </w:rPr>
        <w:t xml:space="preserve">” </w:t>
      </w:r>
      <w:r>
        <w:rPr>
          <w:rFonts w:ascii="Times New Roman;serif" w:hAnsi="Times New Roman;serif"/>
          <w:b w:val="false"/>
          <w:color w:val="000000"/>
          <w:sz w:val="24"/>
        </w:rPr>
        <w:t>means Notes that bear or are required to bear the Restricted Notes Legend.</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Government Obligations</w:t>
      </w:r>
      <w:r>
        <w:rPr>
          <w:color w:val="000000"/>
        </w:rPr>
        <w:t xml:space="preserve">” </w:t>
      </w:r>
      <w:r>
        <w:rPr>
          <w:rFonts w:ascii="Times New Roman;serif" w:hAnsi="Times New Roman;serif"/>
          <w:b w:val="false"/>
          <w:color w:val="000000"/>
          <w:sz w:val="24"/>
        </w:rPr>
        <w:t xml:space="preserve">means direct non-callable obligations of, or guaranteed by the United States for the payment of which guarantee or obligations the full faith and credit of the United States is pledged. </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U.S. person</w:t>
      </w:r>
      <w:r>
        <w:rPr>
          <w:color w:val="000000"/>
        </w:rPr>
        <w:t xml:space="preserve">” </w:t>
      </w:r>
      <w:r>
        <w:rPr>
          <w:rFonts w:ascii="Times New Roman;serif" w:hAnsi="Times New Roman;serif"/>
          <w:b w:val="false"/>
          <w:color w:val="000000"/>
          <w:sz w:val="24"/>
        </w:rPr>
        <w:t>means a “U.S. person” as defined in Regulation S.</w:t>
      </w:r>
    </w:p>
    <w:p>
      <w:pPr>
        <w:pStyle w:val="TextBody"/>
        <w:bidi w:val="0"/>
        <w:spacing w:lineRule="auto" w:line="288" w:before="0" w:after="240"/>
        <w:ind w:left="0" w:right="0" w:firstLine="720"/>
        <w:jc w:val="both"/>
        <w:rPr/>
      </w:pPr>
      <w:r>
        <w:rPr>
          <w:color w:val="000000"/>
        </w:rPr>
        <w:t>“</w:t>
      </w:r>
      <w:r>
        <w:rPr>
          <w:rFonts w:ascii="Times New Roman;serif" w:hAnsi="Times New Roman;serif"/>
          <w:b/>
          <w:color w:val="000000"/>
          <w:sz w:val="24"/>
        </w:rPr>
        <w:t>Unrestricted Global Note</w:t>
      </w:r>
      <w:r>
        <w:rPr>
          <w:color w:val="000000"/>
        </w:rPr>
        <w:t xml:space="preserve">” </w:t>
      </w:r>
      <w:r>
        <w:rPr>
          <w:rFonts w:ascii="Times New Roman;serif" w:hAnsi="Times New Roman;serif"/>
          <w:b w:val="false"/>
          <w:color w:val="000000"/>
          <w:sz w:val="24"/>
        </w:rPr>
        <w:t>means any Note in global form that does not bear or is not required to bear the Restricted Notes Legend.</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w:t>
      </w:r>
    </w:p>
    <w:tbl>
      <w:tblPr>
        <w:tblW w:w="4889" w:type="dxa"/>
        <w:jc w:val="left"/>
        <w:tblInd w:w="0" w:type="dxa"/>
        <w:tblLayout w:type="fixed"/>
        <w:tblCellMar>
          <w:top w:w="28" w:type="dxa"/>
          <w:left w:w="28" w:type="dxa"/>
          <w:bottom w:w="28" w:type="dxa"/>
          <w:right w:w="28" w:type="dxa"/>
        </w:tblCellMar>
      </w:tblPr>
      <w:tblGrid>
        <w:gridCol w:w="1051"/>
        <w:gridCol w:w="926"/>
        <w:gridCol w:w="933"/>
        <w:gridCol w:w="579"/>
        <w:gridCol w:w="579"/>
        <w:gridCol w:w="821"/>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Term</w:t>
            </w:r>
          </w:p>
        </w:tc>
        <w:tc>
          <w:tcPr>
            <w:tcW w:w="197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4"/>
                <w:u w:val="single"/>
              </w:rPr>
              <w:t>Defined in Section</w:t>
            </w:r>
            <w:r>
              <w:rPr>
                <w:rFonts w:ascii="Times New Roman;serif" w:hAnsi="Times New Roman;serif"/>
                <w:b w:val="false"/>
                <w:color w:val="000000"/>
                <w:sz w:val="24"/>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Agent Member</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2.1(c)</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Definitive Notes Legend</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2.2(e)</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ERISA Legend</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2.2(e)</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Global Note</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2.1(b)</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Global Notes Legend</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2.2(e)</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IAI Global Note</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2.1(b)</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OID Legend</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2.2(e)</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Regulation S Global Note</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2.1(b)</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Regulation S Notes</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2.1(a)</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Restricted Notes Legend</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2.2(e)</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Rule 144A Global Note</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2.1(b)</w:t>
            </w:r>
          </w:p>
        </w:tc>
      </w:tr>
      <w:tr>
        <w:trPr/>
        <w:tc>
          <w:tcPr>
            <w:tcW w:w="2910"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color w:val="000000"/>
              </w:rPr>
              <w:t>“</w:t>
            </w:r>
            <w:r>
              <w:rPr>
                <w:rFonts w:ascii="Times New Roman;serif" w:hAnsi="Times New Roman;serif"/>
                <w:b/>
                <w:color w:val="000000"/>
                <w:sz w:val="24"/>
              </w:rPr>
              <w:t>Rule 144A Notes</w:t>
            </w:r>
            <w:r>
              <w:rPr>
                <w:color w:val="000000"/>
              </w:rPr>
              <w:t>”</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2.1(a)</w:t>
            </w:r>
          </w:p>
        </w:tc>
      </w:tr>
    </w:tbl>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2.1    </w:t>
      </w:r>
      <w:r>
        <w:rPr>
          <w:rFonts w:ascii="Times New Roman;serif" w:hAnsi="Times New Roman;serif"/>
          <w:b w:val="false"/>
          <w:color w:val="000000"/>
          <w:sz w:val="24"/>
          <w:u w:val="single"/>
        </w:rPr>
        <w:t>Form and Dating</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Initial Notes were issued on the Closing Date in the form of one or more Global Notes, which were deposited on behalf of the purchasers of the Notes represented thereby with the Custodian, and registered in the name of the Depositary or a nominee of the Depositary, duly executed by the Issuer and authenticated by the Trustee as provided herein. The Initial Notes issued on the Closing Date were offered and sold by the Issuer to (1) QIBs and IAIs (“</w:t>
      </w:r>
      <w:r>
        <w:rPr>
          <w:rFonts w:ascii="Times New Roman;serif" w:hAnsi="Times New Roman;serif"/>
          <w:b/>
          <w:color w:val="000000"/>
          <w:sz w:val="24"/>
        </w:rPr>
        <w:t>Rule 144A Notes</w:t>
      </w:r>
      <w:r>
        <w:rPr>
          <w:color w:val="000000"/>
        </w:rPr>
        <w:t>”</w:t>
      </w:r>
      <w:r>
        <w:rPr>
          <w:rFonts w:ascii="Times New Roman;serif" w:hAnsi="Times New Roman;serif"/>
          <w:b w:val="false"/>
          <w:color w:val="000000"/>
          <w:sz w:val="24"/>
        </w:rPr>
        <w:t>) and (2) Persons other than U.S. persons in reliance on Regulation S (“</w:t>
      </w:r>
      <w:r>
        <w:rPr>
          <w:rFonts w:ascii="Times New Roman;serif" w:hAnsi="Times New Roman;serif"/>
          <w:b/>
          <w:color w:val="000000"/>
          <w:sz w:val="24"/>
        </w:rPr>
        <w:t>Regulation S Notes</w:t>
      </w:r>
      <w:r>
        <w:rPr>
          <w:color w:val="000000"/>
        </w:rPr>
        <w:t>”</w:t>
      </w:r>
      <w:r>
        <w:rPr>
          <w:rFonts w:ascii="Times New Roman;serif" w:hAnsi="Times New Roman;serif"/>
          <w:b w:val="false"/>
          <w:color w:val="000000"/>
          <w:sz w:val="24"/>
        </w:rPr>
        <w:t>). From and after the Restatement Effective Date, Additional Notes may also be considered to be Rule 144A Notes or Regulation S Notes,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Global Notes</w:t>
      </w:r>
      <w:r>
        <w:rPr>
          <w:rFonts w:ascii="Times New Roman;serif" w:hAnsi="Times New Roman;serif"/>
          <w:b w:val="false"/>
          <w:color w:val="000000"/>
          <w:sz w:val="24"/>
        </w:rPr>
        <w:t>. Rule 144A Notes shall be issued initially in the form of one or more permanent Global Notes in definitive, fully registered form, numbered 144A-001 upward (collectively, the “</w:t>
      </w:r>
      <w:r>
        <w:rPr>
          <w:rFonts w:ascii="Times New Roman;serif" w:hAnsi="Times New Roman;serif"/>
          <w:b/>
          <w:color w:val="000000"/>
          <w:sz w:val="24"/>
        </w:rPr>
        <w:t>Rule 144A Global Note</w:t>
      </w:r>
      <w:r>
        <w:rPr>
          <w:color w:val="000000"/>
        </w:rPr>
        <w:t>”</w:t>
      </w:r>
      <w:r>
        <w:rPr>
          <w:rFonts w:ascii="Times New Roman;serif" w:hAnsi="Times New Roman;serif"/>
          <w:b w:val="false"/>
          <w:color w:val="000000"/>
          <w:sz w:val="24"/>
        </w:rPr>
        <w:t>) and Regulation S Notes shall be issued initially in the form of one or more Global Notes, numbered S-001 upward (collectively, the “</w:t>
      </w:r>
      <w:r>
        <w:rPr>
          <w:rFonts w:ascii="Times New Roman;serif" w:hAnsi="Times New Roman;serif"/>
          <w:b/>
          <w:color w:val="000000"/>
          <w:sz w:val="24"/>
        </w:rPr>
        <w:t>Regulation S Global Note</w:t>
      </w:r>
      <w:r>
        <w:rPr>
          <w:color w:val="000000"/>
        </w:rPr>
        <w:t>”</w:t>
      </w:r>
      <w:r>
        <w:rPr>
          <w:rFonts w:ascii="Times New Roman;serif" w:hAnsi="Times New Roman;serif"/>
          <w:b w:val="false"/>
          <w:color w:val="000000"/>
          <w:sz w:val="24"/>
        </w:rPr>
        <w:t xml:space="preserve">), in each case (and including the Initial Notes and any PIK Notes issued prior to the Restatement Effective Date) without interest coupons and bearing the Global Notes Legend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and the Restricted Notes Legend, which shall be deposited on behalf of the purchasers of the Notes represented thereby with the Custodian, and registered in the name of the Depositary or a nominee of the Depositary, duly executed by the Issuer and authenticated by the Trustee (or an Authenticating Agent appointed by the Trustee in accordance with the Indenture) as provided in the Indenture. One or more Global Notes in definitive, fully registered form without interest coupons and bearing the Global Notes Legend and the Restricted Notes Legend, numbered IAI-001 upward (collectively, the “</w:t>
      </w:r>
      <w:r>
        <w:rPr>
          <w:rFonts w:ascii="Times New Roman;serif" w:hAnsi="Times New Roman;serif"/>
          <w:b/>
          <w:color w:val="000000"/>
          <w:sz w:val="24"/>
        </w:rPr>
        <w:t>IAI Global Note</w:t>
      </w:r>
      <w:r>
        <w:rPr>
          <w:color w:val="000000"/>
        </w:rPr>
        <w:t>”</w:t>
      </w:r>
      <w:r>
        <w:rPr>
          <w:rFonts w:ascii="Times New Roman;serif" w:hAnsi="Times New Roman;serif"/>
          <w:b w:val="false"/>
          <w:color w:val="000000"/>
          <w:sz w:val="24"/>
        </w:rPr>
        <w:t>) were also issued on the Closing Date, deposited with the Custodian, and registered in the name of the Depositary or a nominee of the Depositary, duly executed by the Issuer and authenticated by the Trustee (or an Authenticating Agent appointed by the Trustee in accordance with the Indenture) as provided in the Indenture to accommodate transfers of beneficial interests in the Notes to IAIs subsequent to the initial distribution. The Rule 144A Global Note, the IAI Global Note, the Regulation S Global Note and any Unrestricted Global Note are each referred to herein as a “</w:t>
      </w:r>
      <w:r>
        <w:rPr>
          <w:rFonts w:ascii="Times New Roman;serif" w:hAnsi="Times New Roman;serif"/>
          <w:b/>
          <w:color w:val="000000"/>
          <w:sz w:val="24"/>
        </w:rPr>
        <w:t>Global Note</w:t>
      </w:r>
      <w:r>
        <w:rPr>
          <w:color w:val="000000"/>
        </w:rPr>
        <w:t xml:space="preserve">” </w:t>
      </w:r>
      <w:r>
        <w:rPr>
          <w:rFonts w:ascii="Times New Roman;serif" w:hAnsi="Times New Roman;serif"/>
          <w:b w:val="false"/>
          <w:color w:val="000000"/>
          <w:sz w:val="24"/>
        </w:rPr>
        <w:t>and are collectively referred to herein as “</w:t>
      </w:r>
      <w:r>
        <w:rPr>
          <w:rFonts w:ascii="Times New Roman;serif" w:hAnsi="Times New Roman;serif"/>
          <w:b/>
          <w:color w:val="000000"/>
          <w:sz w:val="24"/>
        </w:rPr>
        <w:t>Global Notes</w:t>
      </w:r>
      <w:r>
        <w:rPr>
          <w:rFonts w:ascii="Times New Roman;serif" w:hAnsi="Times New Roman;serif"/>
          <w:b w:val="false"/>
          <w:color w:val="000000"/>
          <w:sz w:val="24"/>
        </w:rPr>
        <w:t>.”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of the Indenture and Section 2.2(c) of this Appendix A.</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Book-Entry Provisions</w:t>
      </w:r>
      <w:r>
        <w:rPr>
          <w:rFonts w:ascii="Times New Roman;serif" w:hAnsi="Times New Roman;serif"/>
          <w:b w:val="false"/>
          <w:color w:val="000000"/>
          <w:sz w:val="24"/>
        </w:rPr>
        <w:t>. This Section 2.1(c) shall apply only to a Global Note deposited with or on behalf of the Depositary.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shall execute and the Trustee shall, in accordance with this Section 2.1(c) and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of the Indenture and pursuant to an order of the Issuer signed by one Officer of the Issuer,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pStyle w:val="TextBody"/>
        <w:bidi w:val="0"/>
        <w:spacing w:lineRule="auto" w:line="288" w:before="0" w:after="240"/>
        <w:ind w:left="0" w:right="0" w:firstLine="720"/>
        <w:jc w:val="both"/>
        <w:rPr/>
      </w:pPr>
      <w:r>
        <w:rPr>
          <w:rFonts w:ascii="Times New Roman;serif" w:hAnsi="Times New Roman;serif"/>
          <w:b w:val="false"/>
          <w:color w:val="000000"/>
          <w:sz w:val="24"/>
        </w:rPr>
        <w:t>Members of, or participants and current holders in, the Depositary, Euroclear and Clearstream (“</w:t>
      </w:r>
      <w:r>
        <w:rPr>
          <w:rFonts w:ascii="Times New Roman;serif" w:hAnsi="Times New Roman;serif"/>
          <w:b/>
          <w:color w:val="000000"/>
          <w:sz w:val="24"/>
        </w:rPr>
        <w:t>Agent Members</w:t>
      </w:r>
      <w:r>
        <w:rPr>
          <w:color w:val="000000"/>
        </w:rPr>
        <w:t>”</w:t>
      </w:r>
      <w:r>
        <w:rPr>
          <w:rFonts w:ascii="Times New Roman;serif" w:hAnsi="Times New Roman;serif"/>
          <w:b w:val="false"/>
          <w:color w:val="000000"/>
          <w:sz w:val="24"/>
        </w:rPr>
        <w:t xml:space="preserve">) shall have no rights under the Indenture with respect to any Global Note held on their behalf by the Depositary or by the Trustee as Custodian or any other custodian of the Depositary or under such Global Note, and the Depositary or its nominee may be treated by the Issuer, the Trustee and any agent of the Issuer, the Guarantors or the Trustee as the absolute owner of such Global Note for all purposes whatsoever. Subject to any provisions contained in the Indenture, the registered Holder of a Global Note may grant proxies and otherwise authorize any Person, including Agent Members, to take any action that a Holder is entitled to take under the Indenture or the Notes. Notwithstanding the foregoing, nothing herein shall prevent the Issuer, the Guarantors, the Trustee or any agent of the Issuer, the Guarantors or the Trustee from giving effect to any written certification, proxy or other authorization furnished </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by the Depositary or impair, as between the Depositary and its Agent Members, the operation of customary practices of such Depositary governing the exercise of the rights of a holder of a beneficial interest in any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Definitive Notes</w:t>
      </w:r>
      <w:r>
        <w:rPr>
          <w:rFonts w:ascii="Times New Roman;serif" w:hAnsi="Times New Roman;serif"/>
          <w:b w:val="false"/>
          <w:color w:val="000000"/>
          <w:sz w:val="24"/>
        </w:rPr>
        <w:t>. Except as provided in Section 2.2 or Section 2.3 of this Appendix A, owners of beneficial interests in Global Notes shall not be entitled to receive physical delivery of Definitive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2.2    </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4"/>
          <w:u w:val="single"/>
        </w:rPr>
        <w:t>Transfer and Exchange of Definitive Notes for Definitive Notes</w:t>
      </w:r>
      <w:r>
        <w:rPr>
          <w:rFonts w:ascii="Times New Roman;serif" w:hAnsi="Times New Roman;serif"/>
          <w:b w:val="false"/>
          <w:color w:val="000000"/>
          <w:sz w:val="24"/>
        </w:rPr>
        <w:t>. When Definitive Notes are presented to the Registrar with a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register the transfer of such Definitive Notes;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to exchange such Definitive Notes for an equal principal amount of Definitive Notes of other authorized denominations,</w:t>
      </w:r>
    </w:p>
    <w:p>
      <w:pPr>
        <w:pStyle w:val="TextBody"/>
        <w:bidi w:val="0"/>
        <w:spacing w:lineRule="auto" w:line="288" w:before="0" w:after="240"/>
        <w:jc w:val="both"/>
        <w:rPr/>
      </w:pPr>
      <w:r>
        <w:rPr>
          <w:rFonts w:ascii="Times New Roman;serif" w:hAnsi="Times New Roman;serif"/>
          <w:b w:val="false"/>
          <w:color w:val="000000"/>
          <w:sz w:val="24"/>
        </w:rPr>
        <w:t xml:space="preserve">the Registrar shall register the transfer or make the exchange as requested if its reasonable requirements for such transaction are met; </w:t>
      </w:r>
      <w:r>
        <w:rPr>
          <w:rFonts w:ascii="Times New Roman;serif" w:hAnsi="Times New Roman;serif"/>
          <w:b w:val="false"/>
          <w:i/>
          <w:color w:val="000000"/>
          <w:sz w:val="24"/>
        </w:rPr>
        <w:t>provided</w:t>
      </w:r>
      <w:r>
        <w:rPr>
          <w:rFonts w:ascii="Times New Roman;serif" w:hAnsi="Times New Roman;serif"/>
          <w:b w:val="false"/>
          <w:color w:val="000000"/>
          <w:sz w:val="24"/>
        </w:rPr>
        <w:t>,</w:t>
      </w:r>
      <w:r>
        <w:rPr>
          <w:color w:val="000000"/>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Definitive Notes surrendered for transfer or exchange: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shall be duly endorsed or accompanied by a written instrument of transfer in form reasonably satisfactory to the Issuer and the Registrar, duly executed by the Holder thereof or his attorney duly authorized in writing;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(2)    in the case of Transfer Restricted Notes, must be transferred or exchanged pursuant to an effective registration statement under the Securities Act or pursuant to Section 2.2(b) of this Appendix A or otherwise in accordance with the Restricted Notes Legend, and be accompanied by a certification from the transferor in the form provided on the reverse side of the Form of Note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for exchange or registration of transfers and, as applicable, delivery of such legal opinions, certifications and other information as may be requested pursuant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4"/>
          <w:u w:val="single"/>
        </w:rPr>
        <w:t>Restrictions on Transfer of a Definitive Note for a Beneficial Interest in a Global Note</w:t>
      </w:r>
      <w:r>
        <w:rPr>
          <w:rFonts w:ascii="Times New Roman;serif" w:hAnsi="Times New Roman;serif"/>
          <w:b w:val="false"/>
          <w:color w:val="000000"/>
          <w:sz w:val="24"/>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Issuer and the Registrar, together with: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    a certification from the transferor in the form provided on the reverse side of the Form of Note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for exchange or registration of transfers and, as applicable, delivery of such legal opinions, certifications and other information as may be requested pursuant thereto;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written instructions directing the Trustee to make, or to direct the Custodian to make, an adjustment on its books and records with respect to such Global Note to reflect an </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increase in the aggregate principal amount of the Notes represented by the Global Note, such instructions to contain information regarding the Depositary account to be credited with such increase,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the applicable Global Note is not then outstanding, the Issuer shall issue and the Trustee shall authenticate, upon an Authentication Order, a new applicable Global Note in the appropriate principal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4"/>
          <w:u w:val="single"/>
        </w:rPr>
        <w:t>Transfer and Exchange of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transfer and exchange of Global Notes or beneficial interests therein shall be effected through the Depositary, in accordance with the Indenture (including applicable restrictions on transfer set forth in Section 2.2(d) of this Appendix A, if any) and the procedures of the Depositary therefor. A transferor of a beneficial interest in a Global Note shall deliver to the Registrar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the Global Note from which such interest is being transferred.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Notwithstanding any other provisions of this Appendix A (other than the provisions set forth in Section 2.3 of this Appendix A), a Global Note may not be transferred except as a whole and not in part if the transfer is by the Depositary to a nominee of the Depositary or by a nominee of the Depositary to the Depositary or another nominee of the Depositary or by the Depositary or any such nominee to a successor Depositary or a nominee of such successor Depositary.</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4"/>
          <w:u w:val="single"/>
        </w:rPr>
        <w:t>Restrictions on Transfer of Global Notes; Voluntary Exchange of Interests in Transfer Restricted Global Notes for Interests in Unrestricted Global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Transfers by an owner of a beneficial interest in a Rule 144A Global Note or an IAI Global Note to a transferee who takes delivery of such interest through another Transfer </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Restricted Global Note shall be made in accordance with the Applicable Procedures and the Restricted Notes Legend and only upon receipt by the Trustee of a certification from the transferor in the form provided on the reverse side of the Form of Note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for exchange or registration of transfers and, as applicable, delivery of such legal opinions, certifications and other information as may be requested pursuant thereto. In addition, in the case of a transfer of a beneficial interest in either a Regulation S Global Note or a Rule 144A Global Note for an interest in an IAI Global Note, the transferee must furnish a signed letter substantially in the form of Exhibit B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During the Distribution Compliance Period, beneficial ownership interests in the Regulation S Global Note may only be sold, pledged or transferred through Euroclear or Clearstream in accordance with the Applicable Procedures, the Restricted Notes Legend on such Regulation S Global Note and any applicable securities laws of any state of the U.S. Prior to the expiration of the Distribution Compliance Period, transfers by an owner of a beneficial interest in the Regulation S Global Note to a transferee who takes delivery of such interest through a Rule 144A Global Note or an IAI Global Note shall be made only in accordance with the Applicable Procedures and the Restricted Notes Legend and upon receipt by the Trustee of a written certification from the transferor of the beneficial interest in the form provided on the reverse side of the Form of Note in Exhibit A for exchange or registration of transfers. Such written certification shall no longer be required after the expiration of the Distribution Compliance Period. Upon the expiration of the Distribution Compliance Period, beneficial ownership interests in the Regulation S Global Note shall be transferable in accordance with applicable law and the other terms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    Upon the expiration of the Distribution Compliance Period, beneficial interests in the Regulation S Global Note may be exchanged for beneficial interests in an Unrestricted Global Note upon certification in the form provided on the reverse side of the Form of Note in Exhibit A for an exchange from a Regulation S Global Note to an Unrestricted Global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Beneficial interests in a Transfer Restricted Note that is a Rule 144A Global Note or an IAI Global Note may be exchanged for beneficial interests in an Unrestricted Global Note if the Holder certifies in writing to the Registrar that its request for such exchange is in respect of a transfer made in reliance on Rule 144 (such certification to be in the form set forth on the reverse side of the Form of Note in Exhibit A) and/or upon delivery of such legal opinions, certifications and other information as the Issuer or the Trustee may reasonably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    If no Unrestricted Global Note is outstanding at the time of a transfer contemplated by the preceding clauses (iii) and (iv), the Issuer shall issue and the Trustee shall authenticate, upon an Authentication Order, a new Unrestricted Global Note in the appropriate principal amount.</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4"/>
          <w:u w:val="single"/>
        </w:rPr>
        <w:t>Legends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    Except as permitted by Section 2.2(d) and this Section 2.2(e) of this Appendix A, each Note certificate evidencing the Global Notes and the Definitive Notes (and all Notes issued in exchange therefor or in substitution thereof) shall bear a legend in substantially the following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form (each defined term in the legend being defined as such for purposes of the legend only) (“</w:t>
      </w:r>
      <w:r>
        <w:rPr>
          <w:rFonts w:ascii="Times New Roman;serif" w:hAnsi="Times New Roman;serif"/>
          <w:b/>
          <w:color w:val="000000"/>
          <w:sz w:val="24"/>
        </w:rPr>
        <w:t>Restricted Notes Legend</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THIS SECURITY HAS NOT BEEN REGISTERED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TO OFFER, SELL OR OTHERWISE TRANSFER SUCH SECURITY, PRIOR TO THE DATE (THE “</w:t>
      </w:r>
      <w:r>
        <w:rPr>
          <w:rFonts w:ascii="Times New Roman;serif" w:hAnsi="Times New Roman;serif"/>
          <w:b/>
          <w:color w:val="000000"/>
          <w:sz w:val="24"/>
        </w:rPr>
        <w:t>RESALE RESTRICTION TERMINATION DATE</w:t>
      </w:r>
      <w:r>
        <w:rPr>
          <w:color w:val="000000"/>
        </w:rPr>
        <w:t>”</w:t>
      </w:r>
      <w:r>
        <w:rPr>
          <w:rFonts w:ascii="Times New Roman;serif" w:hAnsi="Times New Roman;serif"/>
          <w:b w:val="false"/>
          <w:color w:val="000000"/>
          <w:sz w:val="24"/>
        </w:rPr>
        <w:t>) THAT IS [</w:t>
      </w:r>
      <w:r>
        <w:rPr>
          <w:rFonts w:ascii="Times New Roman;serif" w:hAnsi="Times New Roman;serif"/>
          <w:b w:val="false"/>
          <w:i/>
          <w:color w:val="000000"/>
          <w:sz w:val="24"/>
        </w:rPr>
        <w:t>IN THE CASE OF RULE 144A NOTES AND IAI NOTES</w:t>
      </w:r>
      <w:r>
        <w:rPr>
          <w:rFonts w:ascii="Times New Roman;serif" w:hAnsi="Times New Roman;serif"/>
          <w:b w:val="false"/>
          <w:color w:val="000000"/>
          <w:sz w:val="24"/>
        </w:rPr>
        <w:t>: SIX MONTHS AFTER THE LATER OF THE ORIGINAL ISSUE DATE HEREOF, THE ORIGINAL ISSUE DATE OF THE ISSUANCE OF ANY ADDITIONAL NOTES AND THE LAST DATE ON WHICH THE ISSUER OR ANY AFFILIATE OF THE ISSUER WAS THE OWNER OF THIS SECURITY (OR ANY PREDECESSOR OF SUCH SECURITY)] [</w:t>
      </w:r>
      <w:r>
        <w:rPr>
          <w:rFonts w:ascii="Times New Roman;serif" w:hAnsi="Times New Roman;serif"/>
          <w:b w:val="false"/>
          <w:i/>
          <w:color w:val="000000"/>
          <w:sz w:val="24"/>
        </w:rPr>
        <w:t>IN THE CASE OF REGULATION S NOTES:</w:t>
      </w:r>
      <w:r>
        <w:rPr>
          <w:color w:val="000000"/>
        </w:rPr>
        <w:t xml:space="preserve"> </w:t>
      </w:r>
      <w:r>
        <w:rPr>
          <w:rFonts w:ascii="Times New Roman;serif" w:hAnsi="Times New Roman;serif"/>
          <w:b w:val="false"/>
          <w:color w:val="000000"/>
          <w:sz w:val="24"/>
        </w:rPr>
        <w:t>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ISSUER OR ANY SUBSIDIARY THEREOF, (B) PURSUANT TO A REGISTRATION STATEMENT THAT HAS BEEN DECLARED EFFECTIVE UNDER THE SECURITIES ACT, (C) FOR SO LONG AS THE SECURITIES ARE ELIGIBLE FOR RESALE PURSUANT TO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w:t>
      </w:r>
      <w:r>
        <w:rPr>
          <w:rFonts w:ascii="Times New Roman;serif" w:hAnsi="Times New Roman;serif"/>
          <w:b/>
          <w:color w:val="000000"/>
          <w:sz w:val="24"/>
        </w:rPr>
        <w:t>ACCREDITED INVESTOR</w:t>
      </w:r>
      <w:r>
        <w:rPr>
          <w:color w:val="000000"/>
        </w:rPr>
        <w:t xml:space="preserve">” </w:t>
      </w:r>
      <w:r>
        <w:rPr>
          <w:rFonts w:ascii="Times New Roman;serif" w:hAnsi="Times New Roman;serif"/>
          <w:b w:val="false"/>
          <w:color w:val="000000"/>
          <w:sz w:val="24"/>
        </w:rPr>
        <w:t xml:space="preserve">WITHIN THE MEANING OF RULE 501(a)(1), (2), (3) OR (7) UNDER THE SECURITIES ACT THAT IS NOT A QUALIFIED INSTITUTIONAL BUYER AND THAT IS PURCHASING FOR ITS OWN ACCOUNT OR FOR THE ACCOUNT OF ANOTHER INSTITUTIONAL ACCREDITED INVESTOR OR (F) PURSUANT TO ANOTHER AVAILABLE EXEMPTION FROM THE REGISTRATION REQUIREMENTS OF THE SECURITIES ACT, SUBJECT TO THE ISSUER’S AND THE TRUSTEE’S RIGHT PRIOR TO ANY SUCH OFFER, SALE OR TRANSFER PURSUANT TO CLAUSES (D), (E) OR (F) TO REQUIRE THE DELIVERY OF AN OPINION OF COUNSEL, CERTIFICATION AND/ OR OTHER INFORMATION SATISFACTORY TO EACH OF THEM. THIS LEGEND WILL BE REMOVED UPON THE REQUEST OF THE HOLDER AFTER THE RESALE RESTRICTION TERMINATION </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DATE. [</w:t>
      </w:r>
      <w:r>
        <w:rPr>
          <w:rFonts w:ascii="Times New Roman;serif" w:hAnsi="Times New Roman;serif"/>
          <w:b w:val="false"/>
          <w:i/>
          <w:color w:val="000000"/>
          <w:sz w:val="24"/>
        </w:rPr>
        <w:t>IN THE CASE OF REGULATION S NOTES</w:t>
      </w:r>
      <w:r>
        <w:rPr>
          <w:rFonts w:ascii="Times New Roman;serif" w:hAnsi="Times New Roman;serif"/>
          <w:b w:val="false"/>
          <w:color w:val="000000"/>
          <w:sz w:val="24"/>
        </w:rPr>
        <w:t>: BY ITS ACQUISITION HEREOF, THE HOLDER HEREOF REPRESENTS THAT TT IS NOT A U.S. PERSON NOR IS TT PURCHASING FOR THE ACCOUNT OF A U.S. PERSON AND IS ACQUIRING THIS SECURITY IN AN OFFSHORE TRANSACTION IN ACCORDANCE WITH REGULATION S UNDER THE SECURITIES ACT.]</w:t>
      </w:r>
    </w:p>
    <w:p>
      <w:pPr>
        <w:pStyle w:val="TextBody"/>
        <w:bidi w:val="0"/>
        <w:spacing w:lineRule="auto" w:line="288" w:before="0" w:after="240"/>
        <w:jc w:val="both"/>
        <w:rPr/>
      </w:pPr>
      <w:r>
        <w:rPr>
          <w:rFonts w:ascii="Times New Roman;serif" w:hAnsi="Times New Roman;serif"/>
          <w:b w:val="false"/>
          <w:color w:val="000000"/>
          <w:sz w:val="24"/>
        </w:rPr>
        <w:t>Each Definitive Note shall bear the following additional legend (“</w:t>
      </w:r>
      <w:r>
        <w:rPr>
          <w:rFonts w:ascii="Times New Roman;serif" w:hAnsi="Times New Roman;serif"/>
          <w:b/>
          <w:color w:val="000000"/>
          <w:sz w:val="24"/>
        </w:rPr>
        <w:t>Definitive Notes Legend</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CONNECTION WITH ANY TRANSFER, THE HOLDER WILL DELIVER TO THE REGISTRAR AND TRANSFER AGENT SUCH CERTIFICATES AND OTHER INFORMATION AS SUCH REGISTRAR AND TRANSFER AGENT MAY REASONABLY REQUIRE TO CONFIRM THAT THE TRANSFER COMPLIES WITH THE FOREGOING RESTRICTIONS.</w:t>
      </w:r>
    </w:p>
    <w:p>
      <w:pPr>
        <w:pStyle w:val="TextBody"/>
        <w:bidi w:val="0"/>
        <w:spacing w:lineRule="auto" w:line="288" w:before="0" w:after="240"/>
        <w:jc w:val="both"/>
        <w:rPr/>
      </w:pPr>
      <w:r>
        <w:rPr>
          <w:rFonts w:ascii="Times New Roman;serif" w:hAnsi="Times New Roman;serif"/>
          <w:b w:val="false"/>
          <w:color w:val="000000"/>
          <w:sz w:val="24"/>
        </w:rPr>
        <w:t>Each Global Note shall bear the following additional legend (“</w:t>
      </w:r>
      <w:r>
        <w:rPr>
          <w:rFonts w:ascii="Times New Roman;serif" w:hAnsi="Times New Roman;serif"/>
          <w:b/>
          <w:color w:val="000000"/>
          <w:sz w:val="24"/>
        </w:rPr>
        <w:t>Global Notes Legend</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UNLESS TIES CERTIFICATE IS PRESENTED BY AN AUTHORIZED REPRESENTATIVE OF THE DEPOSITORY TRUST COMPANY, A NEW YORK CORPORATION (“</w:t>
      </w:r>
      <w:r>
        <w:rPr>
          <w:rFonts w:ascii="Times New Roman;serif" w:hAnsi="Times New Roman;serif"/>
          <w:b/>
          <w:color w:val="000000"/>
          <w:sz w:val="24"/>
        </w:rPr>
        <w:t>DTC</w:t>
      </w:r>
      <w:r>
        <w:rPr>
          <w:color w:val="000000"/>
        </w:rPr>
        <w:t>”</w:t>
      </w:r>
      <w:r>
        <w:rPr>
          <w:rFonts w:ascii="Times New Roman;serif" w:hAnsi="Times New Roman;serif"/>
          <w:b w:val="false"/>
          <w:color w:val="000000"/>
          <w:sz w:val="24"/>
        </w:rPr>
        <w:t>),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pStyle w:val="TextBody"/>
        <w:bidi w:val="0"/>
        <w:spacing w:lineRule="auto" w:line="288" w:before="0" w:after="240"/>
        <w:jc w:val="both"/>
        <w:rPr/>
      </w:pPr>
      <w:r>
        <w:rPr>
          <w:rFonts w:ascii="Times New Roman;serif" w:hAnsi="Times New Roman;serif"/>
          <w:b w:val="false"/>
          <w:color w:val="000000"/>
          <w:sz w:val="24"/>
        </w:rPr>
        <w:t>Each Note shall bear the following additional legend (“</w:t>
      </w:r>
      <w:r>
        <w:rPr>
          <w:rFonts w:ascii="Times New Roman;serif" w:hAnsi="Times New Roman;serif"/>
          <w:b/>
          <w:color w:val="000000"/>
          <w:sz w:val="24"/>
        </w:rPr>
        <w:t>OID Legend</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NOTE IS BEING ISSUED WITH ORIGINAL ISSUE DISCOUNT FOR UNITED STATES FEDERAL INCOME TAX PURPOSES. FOR INFORMATION REGARDING THE ISSUE PRICE, THE TOTAL AMOUNT OF ORIGINAL ISSUE DISCOUNT, THE ISSUE DATE, AND THE YIELD TO MATURITY OF THE NOTE, PLEASE CONTACT KEEFER LEHNER, CHIEF FINANCIAL OFFICER, ADDRESS: 3040 POST OAK BLVD, SUITE 1500, HOUSTON, TEXAS 77056, EMAIL: [*].</w:t>
      </w:r>
    </w:p>
    <w:p>
      <w:pPr>
        <w:pStyle w:val="TextBody"/>
        <w:bidi w:val="0"/>
        <w:spacing w:lineRule="auto" w:line="288" w:before="0" w:after="240"/>
        <w:jc w:val="both"/>
        <w:rPr/>
      </w:pPr>
      <w:r>
        <w:rPr>
          <w:rFonts w:ascii="Times New Roman;serif" w:hAnsi="Times New Roman;serif"/>
          <w:b w:val="false"/>
          <w:color w:val="000000"/>
          <w:sz w:val="24"/>
        </w:rPr>
        <w:t>Each Note shall bear the following additional legend (“</w:t>
      </w:r>
      <w:r>
        <w:rPr>
          <w:rFonts w:ascii="Times New Roman;serif" w:hAnsi="Times New Roman;serif"/>
          <w:b/>
          <w:color w:val="000000"/>
          <w:sz w:val="24"/>
        </w:rPr>
        <w:t>ERISA Legend</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ITS ACQUISITION OF THIS SECURITY OR ANY INTEREST HEREIN, THE HOLDER THEREOF WILL BE DEEMED TO HAVE REPRESENTED AND </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WARRANTED THAT EITHER (1) NO PORTION OF THE ASSETS USED BY SUCH HOLDER TO ACQUIRE OR HOLD THIS SECURITY CONSTITUTES THE ASSETS OF (A) AN EMPLOYEE BENEFIT PLAN THAT IS SUBJECT TO TITLE I OF THE U.S. EMPLOYEE RETIREMENT INCOME SECURITY ACT OF 1974, AS AMENDED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(B) A PLAN, INDIVIDUAL RETIREMENT ACCOUNT OR OTHER ARRANGEMENT THAT IS SUBJECT TO SECTION 4975 OF THE U.S. INTERNAL REVENUE CODE OF 1986, AS AMENDED (THE “</w:t>
      </w:r>
      <w:r>
        <w:rPr>
          <w:rFonts w:ascii="Times New Roman;serif" w:hAnsi="Times New Roman;serif"/>
          <w:b/>
          <w:color w:val="000000"/>
          <w:sz w:val="24"/>
        </w:rPr>
        <w:t>CODE</w:t>
      </w:r>
      <w:r>
        <w:rPr>
          <w:color w:val="000000"/>
        </w:rPr>
        <w:t>”</w:t>
      </w:r>
      <w:r>
        <w:rPr>
          <w:rFonts w:ascii="Times New Roman;serif" w:hAnsi="Times New Roman;serif"/>
          <w:b w:val="false"/>
          <w:color w:val="000000"/>
          <w:sz w:val="24"/>
        </w:rPr>
        <w:t>) OR PROVISIONS UNDER ANY OTHER U.S. OR NON-U.S. FEDERAL, STATE, LOCAL OR OTHER LAWS OR REGULATIONS THAT ARE SIMILAR TO SUCH PROVISIONS OF ERISA OR THE CODE (“</w:t>
      </w:r>
      <w:r>
        <w:rPr>
          <w:rFonts w:ascii="Times New Roman;serif" w:hAnsi="Times New Roman;serif"/>
          <w:b/>
          <w:color w:val="000000"/>
          <w:sz w:val="24"/>
        </w:rPr>
        <w:t>SIMILAR LAWS</w:t>
      </w:r>
      <w:r>
        <w:rPr>
          <w:color w:val="000000"/>
        </w:rPr>
        <w:t>”</w:t>
      </w:r>
      <w:r>
        <w:rPr>
          <w:rFonts w:ascii="Times New Roman;serif" w:hAnsi="Times New Roman;serif"/>
          <w:b w:val="false"/>
          <w:color w:val="000000"/>
          <w:sz w:val="24"/>
        </w:rPr>
        <w:t>), OR (C) AN ENTITY WHOSE UNDERLYING ASSETS ARE CONSIDERED TO INCLUDE “</w:t>
      </w:r>
      <w:r>
        <w:rPr>
          <w:rFonts w:ascii="Times New Roman;serif" w:hAnsi="Times New Roman;serif"/>
          <w:b/>
          <w:color w:val="000000"/>
          <w:sz w:val="24"/>
        </w:rPr>
        <w:t>PLAN ASSETS</w:t>
      </w:r>
      <w:r>
        <w:rPr>
          <w:color w:val="000000"/>
        </w:rPr>
        <w:t xml:space="preserve">” </w:t>
      </w:r>
      <w:r>
        <w:rPr>
          <w:rFonts w:ascii="Times New Roman;serif" w:hAnsi="Times New Roman;serif"/>
          <w:b w:val="false"/>
          <w:color w:val="000000"/>
          <w:sz w:val="24"/>
        </w:rPr>
        <w:t>OF ANY SUCH PLAN, ACCOUNT OR ARRANGEMENT DESCRIBED IN CLAUSE (A) OR (B), PURSUANT TO ERISA OR OTHERWISE, OR (2) THE ACQUISITION AND HOLDING OF THIS SECURITY (OR ANY INTEREST THEREIN) WILL NOT CONSTITUTE A NON-EXEMPT PROHIBITED TRANSACTION UNDER SECTION 406 OF ERISA OR SECTION 4975 OF THE CODE OR A SIMILAR VIOLATION UNDER ANY APPLICABLE SIMILAR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Upon any sale or transfer of a Transfer Restricted Note that is a Definitive Note, the Registrar shall permit the Holder thereof to exchange such Transfer Restricted Note for a Definitive Note that does not bear the Restricted Notes Legend and the Definitive Notes Legend and rescind any restriction on the transfer of such Transfer Restricted Note if the Holder certifies in writing to the Registrar that its request for such exchange is in respect of a transfer made in reliance on Rule 144 (such certification to be in the form set forth on the reverse side of the Form of Note in Exhibit A) and provides such legal opinions, certifications and other information as the Issuer or the Trustee may reasonably request.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    Any Additional Notes sold in a registered offering shall not be required to bear the Restricted Notes Legend.</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4"/>
          <w:u w:val="single"/>
        </w:rPr>
        <w:t>Cancellation or Adjustment of Global Note</w:t>
      </w:r>
      <w:r>
        <w:rPr>
          <w:rFonts w:ascii="Times New Roman;serif" w:hAnsi="Times New Roman;serif"/>
          <w:b w:val="false"/>
          <w:color w:val="000000"/>
          <w:sz w:val="24"/>
        </w:rPr>
        <w:t>. At such time as all beneficial interests in a Global Note have either been exchanged for Definitive Notes, transferred in exchange for an interest in another Global Note, redeemed, repurchased or canceled, such Global Note shall be returned by the Depositary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Registrar (if it is then the Custodian for such Global Note) with respect to such Global Note, by the Registrar or the Custodian, to reflect such reduction.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4"/>
          <w:u w:val="single"/>
        </w:rPr>
        <w:t>Obligations with Respect to Transfers and Exchanges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To permit registrations of transfers and exchanges, the Issuer shall execute and the Trustee shall authenticate, Definitive Notes and Global Notes at the Registrar’s request.</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A-9</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    No service charge shall be imposed in connection with any registration of transfer or exchange of the Notes (other than pursuant to Section 2.07 of the Indenture), but the Issuer may require payment of a sum sufficient to cover any documentary, stamp, similar issue or transfer tax or similar governmental charge payable in connection therewith (other than any such documentary, stamp, similar issue or transfer tax or similar governmental charge payable upon exchange or transfer pursuant to Sections 2.10, 3.06, 3.08, 3.09 6.05, and 12.04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    Prior to the due presentation for registration of transfer of any Note, the Issuer, the Trustee, the Paying Agent or the Registrar may deem and treat the person in whose name a Note is registered as the absolute owner of such Note for the purpose of receiving payment of principal, premium, if any, and interest on such Note and for all other purposes whatsoever, whether or not such Note is overdue, and none of the Issuer, the Trustee, the Paying Agent or the Registrar shall be affected by notice to the contrary.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(viii)    All Notes issued upon any transfer or exchange pursuant to the terms of the Indenture shall evidence the same debt and shall be entitled to the same benefits under the Indenture as the Notes surrendered upon such transfer or exchange.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    In order to effect any transfer or exchange of an interest in any Transfer Restricted Note for an interest in a Note that does not bear the Restricted Notes Legend and has not been registered under the Securities Act, if the Registrar so requests or if the Applicable Procedures so require, an Opinion of Counsel, in form reasonably acceptable to the Registrar to the effect that no registration under the Securities Act is required in respect of such exchange or transfer or the re-sale of such interest by the beneficial holder thereof, shall be required to be delivered to the Registrar and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4"/>
          <w:u w:val="single"/>
        </w:rPr>
        <w:t>No Obligation of the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    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Section 2.3    </w:t>
      </w:r>
      <w:r>
        <w:rPr>
          <w:rFonts w:ascii="Times New Roman;serif" w:hAnsi="Times New Roman;serif"/>
          <w:b w:val="false"/>
          <w:color w:val="000000"/>
          <w:sz w:val="24"/>
          <w:u w:val="single"/>
        </w:rPr>
        <w:t>Definitive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 Global Note deposited with the Depositary or with the Trustee as Custodian pursuant to Section 2.1 may be transferred to the beneficial owners thereof in the form of Definitive Notes in an aggregate principal amount equal to the principal amount of such Global Note, in exchange for such Global Note, only if such transfer complies with Section 2.2 of this Appendix A and (i) the Depositary notifies the Issuer that it is unwilling or unable to continue as a Depositary for such Global Note or at any time the Depositary ceases to be a “clearing agency” registered under the Exchange Act and, in each case, a successor depositary is not appointed by the Issuer within 90 days of such notice or after the Issuer becomes aware of such cessation, or (ii) an Event of Default has occurred and is continuing and the Registrar has received a request from the Depositary. In addition, any Affiliate of the Issuer or any Guarantor that is a beneficial owner of all or part of a Global Note may have such Affiliate’s beneficial interest transferred to such Affiliate in the form of a Definitive Note by providing a written request to the Issuer and the Trustee and such Opinions of Counsel, certificates or other information as may be required by the Indenture or the Issuer or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Any Global Note that is transferable to the beneficial owners thereof pursuant to this Section 2.3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2.3 shall be executed, authenticated and delivered only in denominations of $1.00 and integral multiples of $1.00 in excess thereof and registered in such names as the Depositary shall direct. Any Definitive Note delivered in exchange for an interest in a Global Note that is a Transfer Restricted Note shall, except as otherwise provided by Section 2.2(e) of this Appendix A, bear the Restricted Notes Legend.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registered Holder of a Global Note may grant proxies and otherwise authorize any Person, including Agent Members and Persons that may hold interests through Agent Members, to take any action which a Holder is entitled to take under the Indenture or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In the event of the occurrence of any of the events specified in Section 2.3(a) of this Appendix A, the Issuer shall promptly make available to the Trustee a reasonable supply of Definitive Notes in fully registered form without interest coupons.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Appendix A-11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NOTE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FACE OF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the Restricted Notes Legend, if applicable, pursuant to the provisions of the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the Global Notes Legend, if applicable, pursuant to the provisions of the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the Definitive Notes Legend, if applicable, pursuant to the provisions of the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the OID Legend, if applicable, pursuant to the provisions of the Indenture.]</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[Insert the ERISA Legend, if applicable, pursuant to the provisions of the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w:t>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CUSIP [          ]</w:t>
      </w:r>
    </w:p>
    <w:p>
      <w:pPr>
        <w:pStyle w:val="TextBody"/>
        <w:bidi w:val="0"/>
        <w:spacing w:lineRule="auto" w:line="288" w:before="0" w:after="240"/>
        <w:jc w:val="right"/>
        <w:rPr/>
      </w:pPr>
      <w:r>
        <w:rPr>
          <w:rFonts w:ascii="Times New Roman;serif" w:hAnsi="Times New Roman;serif"/>
          <w:b w:val="false"/>
          <w:color w:val="000000"/>
          <w:sz w:val="24"/>
        </w:rPr>
        <w:t>ISIN [          ]</w:t>
      </w:r>
      <w:r>
        <w:rPr>
          <w:rFonts w:ascii="Times New Roman;serif" w:hAnsi="Times New Roman;serif"/>
          <w:b w:val="false"/>
          <w:color w:val="000000"/>
          <w:sz w:val="16"/>
        </w:rPr>
        <w:t>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[RULE 144A] [REGULATION S][IAI][GLOBAL] NOTE</w:t>
        <w:br/>
        <w:t>Senior Secured Floating Rate Cash / PIK Notes due 2030</w:t>
      </w:r>
    </w:p>
    <w:p>
      <w:pPr>
        <w:pStyle w:val="TextBody"/>
        <w:bidi w:val="0"/>
        <w:spacing w:lineRule="auto" w:line="288" w:before="0" w:after="240"/>
        <w:ind w:left="0" w:right="0" w:firstLine="720"/>
        <w:jc w:val="both"/>
        <w:rPr/>
      </w:pPr>
      <w:r>
        <w:rPr>
          <w:rFonts w:ascii="Times New Roman;serif" w:hAnsi="Times New Roman;serif"/>
          <w:b w:val="false"/>
          <w:color w:val="000000"/>
          <w:sz w:val="24"/>
        </w:rPr>
        <w:t>No. [144A-__] [S-_] [IAI-__][U-__]                [Initially]</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w:t>
      </w:r>
      <w:r>
        <w:rPr>
          <w:color w:val="000000"/>
          <w:u w:val="single"/>
        </w:rPr>
        <w:t>          </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KLX ENERGY SERVICES HOLDINGS, INC.</w:t>
      </w:r>
    </w:p>
    <w:p>
      <w:pPr>
        <w:pStyle w:val="TextBody"/>
        <w:bidi w:val="0"/>
        <w:spacing w:lineRule="auto" w:line="556" w:before="0" w:after="0"/>
        <w:ind w:left="0" w:right="0" w:firstLine="720"/>
        <w:jc w:val="both"/>
        <w:rPr/>
      </w:pPr>
      <w:r>
        <w:rPr>
          <w:rFonts w:ascii="Times New Roman;serif" w:hAnsi="Times New Roman;serif"/>
          <w:b w:val="false"/>
          <w:color w:val="000000"/>
          <w:sz w:val="24"/>
        </w:rPr>
        <w:t>promises to pay to [CEDE &amp; CO.]</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w:t>
      </w:r>
      <w:r>
        <w:rPr>
          <w:color w:val="000000"/>
          <w:u w:val="single"/>
        </w:rPr>
        <w:t>          </w:t>
      </w:r>
      <w:r>
        <w:rPr>
          <w:rFonts w:ascii="Times New Roman;serif" w:hAnsi="Times New Roman;serif"/>
          <w:b w:val="false"/>
          <w:color w:val="000000"/>
          <w:sz w:val="24"/>
        </w:rPr>
        <w:t>]or registered assigns the principal sum [set forth on the Schedule of Exchanges of Interests in the Global Note attached hereto]</w:t>
      </w:r>
      <w:r>
        <w:rPr>
          <w:rFonts w:ascii="Times New Roman;serif" w:hAnsi="Times New Roman;serif"/>
          <w:b w:val="false"/>
          <w:color w:val="000000"/>
          <w:sz w:val="16"/>
        </w:rPr>
        <w:t>4</w:t>
      </w:r>
      <w:r>
        <w:rPr>
          <w:color w:val="000000"/>
        </w:rPr>
        <w:t xml:space="preserve"> </w:t>
      </w:r>
      <w:r>
        <w:rPr>
          <w:rFonts w:ascii="Times New Roman;serif" w:hAnsi="Times New Roman;serif"/>
          <w:b w:val="false"/>
          <w:color w:val="000000"/>
          <w:sz w:val="24"/>
        </w:rPr>
        <w:t>[$</w:t>
      </w:r>
      <w:r>
        <w:rPr>
          <w:color w:val="000000"/>
          <w:u w:val="single"/>
        </w:rPr>
        <w:t>          </w:t>
      </w:r>
      <w:r>
        <w:rPr>
          <w:color w:val="000000"/>
        </w:rPr>
        <w:t xml:space="preserve"> </w:t>
      </w:r>
      <w:r>
        <w:rPr>
          <w:rFonts w:ascii="Times New Roman;serif" w:hAnsi="Times New Roman;serif"/>
          <w:b w:val="false"/>
          <w:color w:val="000000"/>
          <w:sz w:val="24"/>
        </w:rPr>
        <w:t>(</w:t>
      </w:r>
      <w:r>
        <w:rPr>
          <w:color w:val="000000"/>
          <w:u w:val="single"/>
        </w:rPr>
        <w:t>          </w:t>
      </w:r>
      <w:r>
        <w:rPr>
          <w:rFonts w:ascii="Times New Roman;serif" w:hAnsi="Times New Roman;serif"/>
          <w:b w:val="false"/>
          <w:color w:val="000000"/>
          <w:sz w:val="24"/>
        </w:rPr>
        <w:t>Dollars)]</w:t>
      </w:r>
      <w:r>
        <w:rPr>
          <w:rFonts w:ascii="Times New Roman;serif" w:hAnsi="Times New Roman;serif"/>
          <w:b w:val="false"/>
          <w:color w:val="000000"/>
          <w:sz w:val="16"/>
        </w:rPr>
        <w:t>5</w:t>
      </w:r>
      <w:r>
        <w:rPr>
          <w:color w:val="000000"/>
        </w:rPr>
        <w:t xml:space="preserve"> </w:t>
      </w:r>
      <w:r>
        <w:rPr>
          <w:rFonts w:ascii="Times New Roman;serif" w:hAnsi="Times New Roman;serif"/>
          <w:b w:val="false"/>
          <w:color w:val="000000"/>
          <w:sz w:val="24"/>
        </w:rPr>
        <w:t xml:space="preserve">on [__], 2030. </w:t>
      </w:r>
    </w:p>
    <w:p>
      <w:pPr>
        <w:pStyle w:val="TextBody"/>
        <w:bidi w:val="0"/>
        <w:spacing w:lineRule="auto" w:line="556"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[Interest Payment Dates: [__] </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Record Dates: The business day prior to the Interest Payment Date</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Rule 144A Note CUSIP: [__________]</w:t>
      </w:r>
    </w:p>
    <w:p>
      <w:pPr>
        <w:pStyle w:val="TextBody"/>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Rule 144A Note ISIN: [__________]</w:t>
      </w:r>
    </w:p>
    <w:p>
      <w:pPr>
        <w:pStyle w:val="TextBody"/>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Regulation S Note CUSIP: [__________]</w:t>
      </w:r>
    </w:p>
    <w:p>
      <w:pPr>
        <w:pStyle w:val="TextBody"/>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Regulation S Note ISIN: [__________]</w:t>
      </w:r>
    </w:p>
    <w:p>
      <w:pPr>
        <w:pStyle w:val="TextBody"/>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IAI Note CUSIP: [__________]</w:t>
      </w:r>
    </w:p>
    <w:p>
      <w:pPr>
        <w:pStyle w:val="TextBody"/>
        <w:bidi w:val="0"/>
        <w:spacing w:lineRule="auto" w:line="288" w:before="0" w:after="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IAI Note ISIN: [__________]</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 in Global Notes.</w:t>
      </w:r>
    </w:p>
    <w:p>
      <w:pPr>
        <w:pStyle w:val="TextBody"/>
        <w:bidi w:val="0"/>
        <w:spacing w:lineRule="auto" w:line="288" w:before="0" w:after="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 in Global Notes</w:t>
      </w:r>
    </w:p>
    <w:p>
      <w:pPr>
        <w:pStyle w:val="TextBody"/>
        <w:bidi w:val="0"/>
        <w:spacing w:lineRule="auto" w:line="288" w:before="0" w:after="0"/>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 in Global Notes</w:t>
      </w:r>
    </w:p>
    <w:p>
      <w:pPr>
        <w:pStyle w:val="TextBody"/>
        <w:bidi w:val="0"/>
        <w:spacing w:lineRule="auto" w:line="288"/>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Include in Definitive Notes</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HEREOF, the Issuer has rinsed this instrument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KLX ENERGY SERVICES HOLDINGS,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CERTIFICATE OF AUTHENTICATION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Authorized Signatory</w:t>
      </w:r>
    </w:p>
    <w:p>
      <w:pPr>
        <w:pStyle w:val="TextBody"/>
        <w:bidi w:val="0"/>
        <w:spacing w:before="0" w:after="0"/>
        <w:jc w:val="both"/>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Dated:</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A-4</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[Reverse Side of Note]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Senior Secured Floating Rate Cash / PIK Notes due 2030</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Capitalized terms used herein shall have the meanings assigned to them in the Indenture referred to below unless otherwise indicated. </w:t>
      </w:r>
    </w:p>
    <w:p>
      <w:pPr>
        <w:pStyle w:val="TextBody"/>
        <w:bidi w:val="0"/>
        <w:spacing w:lineRule="auto" w:line="288" w:before="0" w:after="240"/>
        <w:ind w:left="0" w:right="0" w:firstLine="720"/>
        <w:jc w:val="both"/>
        <w:rPr/>
      </w:pPr>
      <w:r>
        <w:rPr>
          <w:rFonts w:ascii="Times New Roman;serif" w:hAnsi="Times New Roman;serif"/>
          <w:b w:val="false"/>
          <w:color w:val="000000"/>
          <w:sz w:val="24"/>
        </w:rPr>
        <w:t>1.    INTEREST. KLX Energy Services Holdings, Inc.,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xml:space="preserve">), promises to pay interest on the principal amount of this Note, at any time this Note is an ABR Note, at the Alternate Base Rate and at any time this Note is a SOFR Note, at the applicable Term SOFR for the Interest Period in effect for such Note, plus, in each case (i) the Applicable Margin for Cash Elections and (ii) the Applicable Margin plus 1.00% for PIK Elections until but excluding maturity. At least five (5) Business Days prior to the expiration of the then current Interest Period (with respect to SOFR Notes), or before an Interest Payment Date (with respect to ABR Notes), the Issuer shall deliver an Interest Election Request to the Trustee, the Calculation Agent and the Paying Agent in accordance with Section 2.13(a) of the Indenture electing to convert of continue such Note with such Interest Period duration as the Issuer may specify effective as of the upcoming Interest Payment Date. Interest on the Notes shall accrue from the most recent date to which interest has been paid or, if no interest has been paid, from and including [__], 2026;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the first Interest Payment Date shall be [__], 2026. The Issuer shall pay interest (including post-petition interest in any proceeding under any Debtor Relief Law) on overdue principal and premium, if any, from time to time on demand at the interest rate on the Notes to the extent lawful; it shall pay interest (including post-petition interest in any proceeding under any Debtor Relief Law) on overdue installments of interest (without regard to any applicable grace periods) from time to time on demand at the interest rate on the Notes to the extent lawful. Interest shall be computed on the basis of a year of three hundred sixty (360) days, except that interest computed by reference to the Base Rate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of the definition of “Alternate Base Rate” shall be computed on the basis of a year of three hundred sixty-five (365) days (or three hundred sixty-six (366) days in a leap year), and in each case shall be payable for the actual number of days elapsed (including the first day but excluding the last day).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PIK Interest on the Notes, for applicable interest payment periods, will be payable (x) with respect to Notes represented by one or more Global Notes registered in the name of, or held by, DTC or its nominee on the relevant record date, by increasing the principal amount of the outstanding Global Notes by an amount equal to the amount of PIK Interest for the applicable interest period (rounded up to the nearest whole Dollar) and (y) with respect to Notes represented by certificated notes, by issuing Notes in certificated form in an aggregate principal amount equal to the amount of PIK Interest for the applicable period (rounded up to the nearest whole Dollar), and the Trustee will, at the request of the Issuer, authenticate and deliver such Notes in certificated form for original issuance to the Holders on the relevant record date, as shown by the Note Register. Following an increase in the principal amount of the outstanding Global Notes as a result of a PIK Election, the Global Notes will bear interest on such increased principal amount from and after the date of the Interest Payment Date related to such PIK Election. Any Notes issued in certificated form will be dated as of the applicable Interest Payment Date and will bear </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interest from and after such date. All PIK Notes issued pursuant to a PIK Election will mature on the Maturity Date and will be governed by, and subject to the terms, provisions and conditions of, the Indenture and shall have the same rights and benefits as the Notes issued on the Closing Date. Any certificated Notes will be issued with the description “PIK” on the face of such Notes, and references to the “principal amount” of the Notes shall include any increase in the principal amount of the outstanding Notes as a result of any PIK Election. The calculation of PIK Interest will be made by the Calculation Agent, and such calculation and the correctness thereof shall not be a duty or obligation of the Trustee. PIK Interest on the Notes will be paid in denominations of $1.00 and integral multiples of $1.00 in excess thereof (rounded up to the nearest whole dollar).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METHOD OF PAYMENT. The Issuer shall pay interest in arrears on the applicable Interest Payment Date, even if such Notes are canceled after such record date and on or before such Interest Payment Date, except as provided in Section 2.13 of the Indenture with respect to defaulted interest. Principal, premium, if any, and interest on the Notes shall be payable at the office or agency of the Issuer maintained for such purpose or, at the option of the Issuer, payment of interest and premium, if any, may be made by check mailed to the Holders at their respective addresses set forth in the Note Register; provided that payment by wire transfer of immediately available funds shall be required with respect to principal, premium, if any, and interest on all Global Notes and all other Notes the Holders of which shall have provided wire transfer instructions to the Issuer or the Paying Agent at least five (5) Business Days prior to the applicable payment date. Such payment shall be in such coin or currency of the United States as at the time of payment is legal tender for payment of public and private debts.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PAYING AGENT AND REGISTRAR. Initially, U.S. Bank Trust Company, National Association will act as the Trustee under the Indenture and as Paying Agent and Registrar. The Issuer may change any Paying Agent or Registrar without notice to the Holders. The Issuer or any of its Restricted Subsidiaries may act in any such capacity.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4.    INDENTURE. The Issuer issued the Notes under an Amended and Restated Indenture, dated as of September 29, 2026 (as amended or supplemented from time to time,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among KLX Energy Services Holdings, Inc., the Guarantors named therein, the Trustee, and U.S. Bank Trust Company, National Association, as Collateral Agent. This Note is one of a duly authorized issue of notes of the Issuer designated as its Senior Secured Floating Rate Cash / PIK Notes due 2030. The Issuer shall be entitled to issue Additional Notes pursuant to Sections 2.01, 6.01 and 6.02 of the Indenture. The Notes and any Additional Notes issued under the Indenture shall be treated as a single class of securities under the Indenture. The terms of the Notes include those stated in the Indenture. The Notes are subject to all such terms, and Holders are referred to the Indenture for a statement of such terms. Any term used in this Note that is defined in the Indenture shall have the meaning assigned to it in the Indenture. To the extent any provision of this Note conflicts with the express provisions of the Indenture, the provisions of the Indenture shall govern and be controlling.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5.    SECURITY. The Notes and the Guarantees will be secured by first-priority Liens and security interests on the Notes Priority Collateral and by second-priority Liens and security interests on the ABL Priority Collateral subject to the terms and conditions set forth in the </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the Security Documents and the Intercreditor Agreements. The Collateral Agent will hold the Collateral in trust for the benefit of the Trustee and the Holders, in each case pursuant to the Security Documents. Each Holder by accepting this Note consents and agrees to the terms of the Security Documents as the same may be in effect or may be amended from time to time in accordance with their terms and the Indenture and authorizes and directs the Collateral Agent to enter into the Security Documents and to perform its obligations and exercise its rights thereunder in accordance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6.    REDEMPTION AND REPURCHASE. The Notes are subject to optional redemption, and may be the subject of a Net Cash Proceeds Offer pursuant to Section 3.08 of the Indenture or a Change of Control Offer pursuant to Section 3.09 of the Indenture, as further described in the Indenture. Beginning September 30, 2026, the Issuer is required to make mandatory quarterly redemptions with respect to the Notes pursuant to Section 3.12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7.    DENOMINATIONS, TRANSFER, EXCHANGE. The Notes are in registered form without coupons in denominations of $1.00 and integral multiples of $1.00 in excess thereof. The transfer of Notes may be registered and Notes may be exchanged as provided in the Indenture. The Registrar, the Trustee and the Issuer may require a Holder, among other things, to furnish appropriate endorsements and transfer documents, and Holders shall be required to pay any taxes and fees required by law or permitted by the Indenture. The Issuer need not exchange or register the transfer of any Note or portion of a Note selected for redemption or tendered for repurchase in connection with a Change of Control Offer or a Net Cash Proceeds Offer, except for the unredeemed portion of any Note being redeemed or repurchased in part.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    PERSONS DEEMED OWNERS. The registered Holder of a Note may be treated as its owner for all purposes.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9.    AMENDMENT, SUPPLEMENT AND WAIVER. The Indenture, the Guarantees, the Notes, the Security Documents or the Intercreditor Agreements may be amended or supplemented as provided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    DEFAULTS AND REMEDIES. The Events of Default relating to the Notes are defined in Section 8.01 of the Indenture. Upon the occurrence of an Event of Default, the rights and obligations of the Issuer, the Guarantors, the Trustee and the Holders shall be as set forth in the applicable provisions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11.    AUTHENTICATION. This Note shall not be entitled to any benefit under the Indenture or be valid or obligatory for any purpose until authenticated by the manual signature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12.    GOVERNING LAW. THIS NOTE WILL BE GOVERNED BY, AND CONSTRUED IN ACCORDANCE WITH, THE LAWS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13.    CUSIP AND ISIN NUMBERS. Pursuant to a recommendation promulgated by the Committee on Uniform Security Identification Procedures, the Issuer has caused CUSIP and </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furnish to any Holder upon written request and without charge a copy of the Indenture. Requests may be made to the Issuer at the following address:</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c/o [KLX Energy Services Holdings, Inc.</w:t>
        <w:br/>
        <w:t>3040 Post Oak Blvd, Suite 1500</w:t>
        <w:br/>
        <w:t>Houston, Texas 77056</w:t>
        <w:br/>
        <w:t>Attention: Max Bouthillette, General Counsel</w:t>
        <w:br/>
        <w:t>Email: [*]]</w:t>
      </w:r>
    </w:p>
    <w:p>
      <w:pPr>
        <w:pStyle w:val="TextBody"/>
        <w:bidi w:val="0"/>
        <w:spacing w:before="0" w:after="16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A-8</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 or (we) assign and transfer this Note to: </w:t>
      </w:r>
      <w:r>
        <w:rPr>
          <w:color w:val="000000"/>
          <w:u w:val="single"/>
        </w:rPr>
        <w:t>    </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(Insert assignee’s legal name)</w: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(Insert assignee’s soc. sec. or tax I.D. no.)</w: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0"/>
        <w:jc w:val="both"/>
        <w:rPr>
          <w:color w:val="000000"/>
          <w:u w:val="single"/>
        </w:rPr>
      </w:pPr>
      <w:r>
        <w:rPr>
          <w:color w:val="000000"/>
          <w:u w:val="single"/>
        </w:rPr>
        <w: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(Print or type assignee’s name, address and zip code)</w:t>
      </w:r>
    </w:p>
    <w:p>
      <w:pPr>
        <w:pStyle w:val="TextBody"/>
        <w:bidi w:val="0"/>
        <w:spacing w:lineRule="auto" w:line="288" w:before="0" w:after="0"/>
        <w:jc w:val="both"/>
        <w:rPr/>
      </w:pPr>
      <w:r>
        <w:rPr>
          <w:rFonts w:ascii="Times New Roman;serif" w:hAnsi="Times New Roman;serif"/>
          <w:b w:val="false"/>
          <w:color w:val="000000"/>
          <w:sz w:val="24"/>
        </w:rPr>
        <w:t xml:space="preserve">and irrevocably appoint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transfer this Note on the books of the Issuer. The agent may substitute another to act for him.</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Your Signature: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Signature Guarantee*:     </w:t>
      </w:r>
    </w:p>
    <w:p>
      <w:pPr>
        <w:pStyle w:val="TextBody"/>
        <w:bidi w:val="0"/>
        <w:spacing w:before="0" w:after="0"/>
        <w:jc w:val="both"/>
        <w:rPr/>
      </w:pPr>
      <w:r>
        <w:rPr/>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A-9</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CERTIFICATE TO BE DELIVERED UPON EXCHANGE OR </w:t>
        <w:br/>
        <w:t>REGISTRATION OF TRANSFERS OF TRANSFER RESTRICTED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certificate relates to $</w:t>
      </w:r>
      <w:r>
        <w:rPr>
          <w:color w:val="000000"/>
          <w:u w:val="single"/>
        </w:rPr>
        <w:t>          </w:t>
      </w:r>
      <w:r>
        <w:rPr>
          <w:color w:val="000000"/>
        </w:rPr>
        <w:t xml:space="preserve"> </w:t>
      </w:r>
      <w:r>
        <w:rPr>
          <w:rFonts w:ascii="Times New Roman;serif" w:hAnsi="Times New Roman;serif"/>
          <w:b w:val="false"/>
          <w:color w:val="000000"/>
          <w:sz w:val="24"/>
        </w:rPr>
        <w:t xml:space="preserve">principal amount of Notes held in (check applicable space) </w:t>
      </w:r>
      <w:r>
        <w:rPr>
          <w:color w:val="000000"/>
          <w:u w:val="single"/>
        </w:rPr>
        <w:t>          </w:t>
      </w:r>
      <w:r>
        <w:rPr>
          <w:color w:val="000000"/>
        </w:rPr>
        <w:t xml:space="preserve"> </w:t>
      </w:r>
      <w:r>
        <w:rPr>
          <w:rFonts w:ascii="Times New Roman;serif" w:hAnsi="Times New Roman;serif"/>
          <w:b w:val="false"/>
          <w:color w:val="000000"/>
          <w:sz w:val="24"/>
        </w:rPr>
        <w:t xml:space="preserve">book-entry or </w:t>
      </w:r>
      <w:r>
        <w:rPr>
          <w:color w:val="000000"/>
          <w:u w:val="single"/>
        </w:rPr>
        <w:t>          </w:t>
      </w:r>
      <w:r>
        <w:rPr>
          <w:color w:val="000000"/>
        </w:rPr>
        <w:t xml:space="preserve"> </w:t>
      </w:r>
      <w:r>
        <w:rPr>
          <w:rFonts w:ascii="Times New Roman;serif" w:hAnsi="Times New Roman;serif"/>
          <w:b w:val="false"/>
          <w:color w:val="000000"/>
          <w:sz w:val="24"/>
        </w:rPr>
        <w:t>definitive form by the undersigned.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(check one box below):</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4"/>
        </w:rPr>
        <w:t>has requested the Trustee by written order to deliver in exchange for its beneficial interest in a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4"/>
        </w:rPr>
        <w:t>has requested the Trustee by written order to exchange or register the transfer of a Note or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connection with any transfer of any of the Notes evidenced by this certificate, the undersigned confirms that such Notes are being transferred in accordance with its terms: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CHECK ONE BOX BELOW</w:t>
      </w:r>
    </w:p>
    <w:p>
      <w:pPr>
        <w:pStyle w:val="TextBody"/>
        <w:bidi w:val="0"/>
        <w:spacing w:lineRule="auto" w:line="288" w:before="0" w:after="240"/>
        <w:ind w:left="0" w:right="0" w:hanging="1440"/>
        <w:jc w:val="both"/>
        <w:rPr/>
      </w:pPr>
      <w:r>
        <w:rPr>
          <w:rFonts w:ascii="Times New Roman;serif" w:hAnsi="Times New Roman;serif"/>
          <w:b w:val="false"/>
          <w:color w:val="000000"/>
          <w:sz w:val="24"/>
        </w:rPr>
        <w:t>(1)    </w:t>
      </w:r>
      <w:r>
        <w:rPr>
          <w:color w:val="000000"/>
        </w:rPr>
        <w:t>    </w:t>
      </w:r>
      <w:r>
        <w:rPr>
          <w:rFonts w:ascii="Times New Roman;serif" w:hAnsi="Times New Roman;serif"/>
          <w:b w:val="false"/>
          <w:color w:val="000000"/>
          <w:sz w:val="24"/>
        </w:rPr>
        <w:t>to the Issuer or subsidiary thereof; or</w:t>
      </w:r>
    </w:p>
    <w:p>
      <w:pPr>
        <w:pStyle w:val="TextBody"/>
        <w:bidi w:val="0"/>
        <w:spacing w:lineRule="auto" w:line="288" w:before="0" w:after="240"/>
        <w:ind w:left="0" w:right="0" w:hanging="1440"/>
        <w:jc w:val="both"/>
        <w:rPr/>
      </w:pPr>
      <w:r>
        <w:rPr>
          <w:rFonts w:ascii="Times New Roman;serif" w:hAnsi="Times New Roman;serif"/>
          <w:b w:val="false"/>
          <w:color w:val="000000"/>
          <w:sz w:val="24"/>
        </w:rPr>
        <w:t>(2)    </w:t>
      </w:r>
      <w:r>
        <w:rPr>
          <w:color w:val="000000"/>
        </w:rPr>
        <w:t>    </w:t>
      </w:r>
      <w:r>
        <w:rPr>
          <w:rFonts w:ascii="Times New Roman;serif" w:hAnsi="Times New Roman;serif"/>
          <w:b w:val="false"/>
          <w:color w:val="000000"/>
          <w:sz w:val="24"/>
        </w:rPr>
        <w:t>to the Registrar for registration in the name of the Holder, without transfer; or</w:t>
      </w:r>
    </w:p>
    <w:p>
      <w:pPr>
        <w:pStyle w:val="TextBody"/>
        <w:bidi w:val="0"/>
        <w:spacing w:lineRule="auto" w:line="288" w:before="0" w:after="240"/>
        <w:ind w:left="0" w:right="0" w:hanging="1440"/>
        <w:jc w:val="both"/>
        <w:rPr/>
      </w:pPr>
      <w:r>
        <w:rPr>
          <w:rFonts w:ascii="Times New Roman;serif" w:hAnsi="Times New Roman;serif"/>
          <w:b w:val="false"/>
          <w:color w:val="000000"/>
          <w:sz w:val="24"/>
        </w:rPr>
        <w:t>(3)    </w:t>
      </w:r>
      <w:r>
        <w:rPr>
          <w:color w:val="000000"/>
        </w:rPr>
        <w:t>    </w:t>
      </w:r>
      <w:r>
        <w:rPr>
          <w:rFonts w:ascii="Times New Roman;serif" w:hAnsi="Times New Roman;serif"/>
          <w:b w:val="false"/>
          <w:color w:val="000000"/>
          <w:sz w:val="24"/>
        </w:rPr>
        <w:t>pursuant to an effective registration statement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or</w:t>
      </w:r>
    </w:p>
    <w:p>
      <w:pPr>
        <w:pStyle w:val="TextBody"/>
        <w:bidi w:val="0"/>
        <w:spacing w:lineRule="auto" w:line="288" w:before="0" w:after="240"/>
        <w:ind w:left="0" w:right="0" w:hanging="1440"/>
        <w:jc w:val="both"/>
        <w:rPr/>
      </w:pPr>
      <w:r>
        <w:rPr>
          <w:rFonts w:ascii="Times New Roman;serif" w:hAnsi="Times New Roman;serif"/>
          <w:b w:val="false"/>
          <w:color w:val="000000"/>
          <w:sz w:val="24"/>
        </w:rPr>
        <w:t>(4)    </w:t>
      </w:r>
      <w:r>
        <w:rPr>
          <w:color w:val="000000"/>
        </w:rPr>
        <w:t>    </w:t>
      </w:r>
      <w:r>
        <w:rPr>
          <w:rFonts w:ascii="Times New Roman;serif" w:hAnsi="Times New Roman;serif"/>
          <w:b w:val="false"/>
          <w:color w:val="000000"/>
          <w:sz w:val="24"/>
        </w:rPr>
        <w:t>to a Person that the undersigned reasonably believes is a “qualified institutional buyer” (as defined in Rule 144A under the Securities Act (“</w:t>
      </w:r>
      <w:r>
        <w:rPr>
          <w:rFonts w:ascii="Times New Roman;serif" w:hAnsi="Times New Roman;serif"/>
          <w:b/>
          <w:color w:val="000000"/>
          <w:sz w:val="24"/>
        </w:rPr>
        <w:t>Rule 144A</w:t>
      </w:r>
      <w:r>
        <w:rPr>
          <w:color w:val="000000"/>
        </w:rPr>
        <w:t>”</w:t>
      </w:r>
      <w:r>
        <w:rPr>
          <w:rFonts w:ascii="Times New Roman;serif" w:hAnsi="Times New Roman;serif"/>
          <w:b w:val="false"/>
          <w:color w:val="000000"/>
          <w:sz w:val="24"/>
        </w:rPr>
        <w:t>)) that purchases for its own account or for the account of a qualified institutional buyer and to whom notice is given that such transfer is being made in reliance on Rule 144A, in each case pursuant to and in compliance with Rule 144A; or</w:t>
      </w:r>
    </w:p>
    <w:p>
      <w:pPr>
        <w:pStyle w:val="TextBody"/>
        <w:bidi w:val="0"/>
        <w:spacing w:lineRule="auto" w:line="288" w:before="0" w:after="240"/>
        <w:ind w:left="0" w:right="0" w:hanging="1440"/>
        <w:jc w:val="both"/>
        <w:rPr/>
      </w:pPr>
      <w:r>
        <w:rPr>
          <w:rFonts w:ascii="Times New Roman;serif" w:hAnsi="Times New Roman;serif"/>
          <w:b w:val="false"/>
          <w:color w:val="000000"/>
          <w:sz w:val="24"/>
        </w:rPr>
        <w:t>(5)    </w:t>
      </w:r>
      <w:r>
        <w:rPr>
          <w:color w:val="000000"/>
        </w:rPr>
        <w:t>    </w:t>
      </w:r>
      <w:r>
        <w:rPr>
          <w:rFonts w:ascii="Times New Roman;serif" w:hAnsi="Times New Roman;serif"/>
          <w:b w:val="false"/>
          <w:color w:val="000000"/>
          <w:sz w:val="24"/>
        </w:rPr>
        <w:t>pursuant to offers and sales to non-U.S. persons that occur outside the United States within the meaning of Regulation S under the Securities Act (and if the transfer is being made prior to the expiration of the Distribution Compliance Period, the Notes shall be held immediately thereafter through Euroclear or Clearstream); or</w:t>
      </w:r>
    </w:p>
    <w:p>
      <w:pPr>
        <w:pStyle w:val="TextBody"/>
        <w:bidi w:val="0"/>
        <w:spacing w:lineRule="auto" w:line="288" w:before="0" w:after="240"/>
        <w:ind w:left="0" w:right="0" w:hanging="1440"/>
        <w:jc w:val="both"/>
        <w:rPr/>
      </w:pPr>
      <w:r>
        <w:rPr>
          <w:rFonts w:ascii="Times New Roman;serif" w:hAnsi="Times New Roman;serif"/>
          <w:b w:val="false"/>
          <w:color w:val="000000"/>
          <w:sz w:val="24"/>
        </w:rPr>
        <w:t>(6)    </w:t>
      </w:r>
      <w:r>
        <w:rPr>
          <w:color w:val="000000"/>
        </w:rPr>
        <w:t>    </w:t>
      </w:r>
      <w:r>
        <w:rPr>
          <w:rFonts w:ascii="Times New Roman;serif" w:hAnsi="Times New Roman;serif"/>
          <w:b w:val="false"/>
          <w:color w:val="000000"/>
          <w:sz w:val="24"/>
        </w:rPr>
        <w:t>to an institutional “accredited investor” (as defined in Rule 501(a)(1), (2), (3) or (7) under the Securities Act) that has furnished to the Trustee a signed letter containing certain representations and agreements; or</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A-10</w:t>
                      </w:r>
                    </w:p>
                  </w:txbxContent>
                </v:textbox>
                <w10:wrap type="none"/>
              </v:rect>
            </w:pict>
          </mc:Fallback>
        </mc:AlternateContent>
      </w:r>
    </w:p>
    <w:p>
      <w:pPr>
        <w:pStyle w:val="TextBody"/>
        <w:bidi w:val="0"/>
        <w:spacing w:lineRule="auto" w:line="288" w:before="0" w:after="240"/>
        <w:ind w:left="0" w:right="0" w:hanging="1440"/>
        <w:jc w:val="both"/>
        <w:rPr/>
      </w:pPr>
      <w:r>
        <w:rPr>
          <w:rFonts w:ascii="Times New Roman;serif" w:hAnsi="Times New Roman;serif"/>
          <w:b w:val="false"/>
          <w:color w:val="000000"/>
          <w:sz w:val="24"/>
        </w:rPr>
        <w:t>(7)    </w:t>
      </w:r>
      <w:r>
        <w:rPr>
          <w:color w:val="000000"/>
        </w:rPr>
        <w:t>    </w:t>
      </w:r>
      <w:r>
        <w:rPr>
          <w:rFonts w:ascii="Times New Roman;serif" w:hAnsi="Times New Roman;serif"/>
          <w:b w:val="false"/>
          <w:color w:val="000000"/>
          <w:sz w:val="24"/>
        </w:rPr>
        <w:t>pursuant to Rule 144 under the Securities Act; or</w:t>
      </w:r>
    </w:p>
    <w:p>
      <w:pPr>
        <w:pStyle w:val="TextBody"/>
        <w:bidi w:val="0"/>
        <w:spacing w:lineRule="auto" w:line="288" w:before="0" w:after="240"/>
        <w:ind w:left="0" w:right="0" w:hanging="1440"/>
        <w:jc w:val="both"/>
        <w:rPr/>
      </w:pPr>
      <w:r>
        <w:rPr>
          <w:rFonts w:ascii="Times New Roman;serif" w:hAnsi="Times New Roman;serif"/>
          <w:b w:val="false"/>
          <w:color w:val="000000"/>
          <w:sz w:val="24"/>
        </w:rPr>
        <w:t>(8)    </w:t>
      </w:r>
      <w:r>
        <w:rPr>
          <w:color w:val="000000"/>
        </w:rPr>
        <w:t>    </w:t>
      </w:r>
      <w:r>
        <w:rPr>
          <w:rFonts w:ascii="Times New Roman;serif" w:hAnsi="Times New Roman;serif"/>
          <w:b w:val="false"/>
          <w:color w:val="000000"/>
          <w:sz w:val="24"/>
        </w:rPr>
        <w:t>pursuant to another available exemption from registration under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Unless one of the boxes is checked, the Trustee will refuse to register any of the Notes evidenced by this certificate in the name of any Person other than the registered Holder thereof;</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if box (5), (6), (7) or (8) is checked, the Issuer or the Trustee may require, prior to registering any such transfer of the Notes, such legal opinions, certifications and other information as the Issuer or the Trustee has reasonably requested to confirm that such transfer is being made pursuant to an exemption from, or in a transaction not subject to, the registration requirements of, the Securities Act.</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br/>
        <w:t>Your Signature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Date:             </w:t>
      </w:r>
      <w:r>
        <w:rPr>
          <w:color w:val="000000"/>
          <w:u w:val="single"/>
        </w:rPr>
        <w:t>    </w:t>
      </w:r>
    </w:p>
    <w:p>
      <w:pPr>
        <w:pStyle w:val="TextBody"/>
        <w:bidi w:val="0"/>
        <w:spacing w:lineRule="auto" w:line="288" w:before="0" w:after="240"/>
        <w:ind w:left="0" w:right="0" w:firstLine="2880"/>
        <w:jc w:val="both"/>
        <w:rPr>
          <w:rFonts w:ascii="Times New Roman;serif" w:hAnsi="Times New Roman;serif"/>
          <w:b w:val="false"/>
          <w:color w:val="000000"/>
          <w:sz w:val="24"/>
        </w:rPr>
      </w:pPr>
      <w:r>
        <w:rPr>
          <w:rFonts w:ascii="Times New Roman;serif" w:hAnsi="Times New Roman;serif"/>
          <w:b w:val="false"/>
          <w:color w:val="000000"/>
          <w:sz w:val="24"/>
        </w:rPr>
        <w:t>Signature of Signature Guarantor</w:t>
      </w:r>
    </w:p>
    <w:p>
      <w:pPr>
        <w:pStyle w:val="TextBody"/>
        <w:bidi w:val="0"/>
        <w:spacing w:before="0" w:after="240"/>
        <w:ind w:left="0" w:right="0" w:firstLine="72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TO BE COMPLETED BY PURCHASER IF (4) ABOVE IS CHECKED.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represents and warrants that it is purchasing this Note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Date:             </w:t>
      </w:r>
      <w:r>
        <w:rPr>
          <w:color w:val="000000"/>
          <w:u w:val="single"/>
        </w:rPr>
        <w:t>    </w:t>
      </w:r>
    </w:p>
    <w:p>
      <w:pPr>
        <w:pStyle w:val="TextBody"/>
        <w:bidi w:val="0"/>
        <w:spacing w:lineRule="auto" w:line="288" w:before="0" w:after="0"/>
        <w:ind w:left="0" w:right="0" w:firstLine="3690"/>
        <w:jc w:val="both"/>
        <w:rPr>
          <w:color w:val="000000"/>
        </w:rPr>
      </w:pPr>
      <w:r>
        <w:rPr>
          <w:color w:val="000000"/>
        </w:rPr>
        <w:t>    </w:t>
      </w:r>
      <w:r>
        <w:rPr>
          <w:rFonts w:ascii="Times New Roman;serif" w:hAnsi="Times New Roman;serif"/>
          <w:b w:val="false"/>
          <w:color w:val="000000"/>
          <w:sz w:val="24"/>
        </w:rPr>
        <w:t>NOTICE: To be executed by an executive officer</w:t>
      </w:r>
    </w:p>
    <w:p>
      <w:pPr>
        <w:pStyle w:val="TextBody"/>
        <w:bidi w:val="0"/>
        <w:spacing w:lineRule="auto" w:line="288" w:before="0" w:after="0"/>
        <w:ind w:left="0" w:right="0" w:firstLine="3690"/>
        <w:jc w:val="both"/>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ind w:left="0" w:right="0" w:firstLine="3690"/>
        <w:jc w:val="both"/>
        <w:rPr>
          <w:color w:val="000000"/>
        </w:rPr>
      </w:pPr>
      <w:r>
        <w:rPr>
          <w:color w:val="000000"/>
        </w:rPr>
        <w:t>    </w:t>
      </w:r>
      <w:r>
        <w:rPr>
          <w:rFonts w:ascii="Times New Roman;serif" w:hAnsi="Times New Roman;serif"/>
          <w:b w:val="false"/>
          <w:color w:val="000000"/>
          <w:sz w:val="24"/>
        </w:rPr>
        <w:t>Title:</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Signature Guarantee*: </w:t>
      </w:r>
      <w:r>
        <w:rPr>
          <w:color w:val="000000"/>
          <w:u w:val="single"/>
        </w:rPr>
        <w:t>    </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TO BE COMPLETED IF THE HOLDER REQUIRES AN EXCHANGE FROM A REGULATION S GLOBAL NOTE TO AN UNRESTRICTED GLOBAL NOTE, PURSUANT TO SECTION 2.2(d)(iii) OF APPENDIX A TO THE INDENTURE</w:t>
      </w:r>
      <w:r>
        <w:rPr>
          <w:rFonts w:ascii="Times New Roman;serif" w:hAnsi="Times New Roman;serif"/>
          <w:b w:val="false"/>
          <w:color w:val="000000"/>
          <w:sz w:val="16"/>
        </w:rPr>
        <w:t>6</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represents and warrants that either: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4"/>
        </w:rPr>
        <w:t>the undersigned is not a dealer (as defined in the Securities Act) and is a non-U.S. person (within the meaning of Regulation S under the Securities Act);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4"/>
        </w:rPr>
        <w:t>(within the meaning of Regulation S under the Securities Act) who purchased interests in the Notes pursuant to an exemption from, or in a transaction not subject to, the registration requirements under the Securities Act; or</w:t>
      </w:r>
    </w:p>
    <w:p>
      <w:pPr>
        <w:pStyle w:val="TextBody"/>
        <w:bidi w:val="0"/>
        <w:spacing w:lineRule="auto" w:line="288" w:before="0" w:after="240"/>
        <w:ind w:left="0" w:right="0" w:hanging="720"/>
        <w:jc w:val="both"/>
        <w:rPr>
          <w:color w:val="000000"/>
        </w:rPr>
      </w:pPr>
      <w:r>
        <w:rPr>
          <w:color w:val="000000"/>
        </w:rPr>
        <w:t>    </w:t>
      </w:r>
      <w:r>
        <w:rPr>
          <w:rFonts w:ascii="Times New Roman;serif" w:hAnsi="Times New Roman;serif"/>
          <w:b w:val="false"/>
          <w:color w:val="000000"/>
          <w:sz w:val="24"/>
        </w:rPr>
        <w:t>the undersigned is a dealer (as defined in the Securities Act) and the interest of the undersigned in this Note does not constitute the whole or a part of an unsold allotment to or subscription by such dealer for the Notes.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Date:             </w:t>
      </w:r>
      <w:r>
        <w:rPr>
          <w:color w:val="000000"/>
          <w:u w:val="single"/>
        </w:rPr>
        <w:t>    </w:t>
      </w:r>
    </w:p>
    <w:p>
      <w:pPr>
        <w:pStyle w:val="TextBody"/>
        <w:bidi w:val="0"/>
        <w:spacing w:lineRule="auto" w:line="300" w:before="0" w:after="160"/>
        <w:jc w:val="left"/>
        <w:rPr>
          <w:color w:val="000000"/>
        </w:rPr>
      </w:pPr>
      <w:r>
        <w:rPr>
          <w:color w:val="000000"/>
        </w:rPr>
        <w:t>    </w:t>
      </w:r>
      <w:r>
        <w:rPr>
          <w:rFonts w:ascii="Times New Roman;serif" w:hAnsi="Times New Roman;serif"/>
          <w:b w:val="false"/>
          <w:color w:val="000000"/>
          <w:sz w:val="24"/>
        </w:rPr>
        <w:t>Your Signature</w:t>
      </w:r>
    </w:p>
    <w:p>
      <w:pPr>
        <w:pStyle w:val="TextBody"/>
        <w:bidi w:val="0"/>
        <w:spacing w:lineRule="auto" w:line="288"/>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Include only for Regulation S Global Notes.</w:t>
      </w:r>
    </w:p>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want to elect to have this Note purchased by the Issuer pursuant to Section 3.09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this Note purchased by the Issuer pursuant to Section 3.09 of the Indenture, state the amount you elect to have purchased:</w:t>
      </w:r>
    </w:p>
    <w:p>
      <w:pPr>
        <w:pStyle w:val="TextBody"/>
        <w:bidi w:val="0"/>
        <w:spacing w:lineRule="auto" w:line="288" w:before="0" w:after="240"/>
        <w:ind w:left="0" w:right="0" w:hanging="2160"/>
        <w:jc w:val="left"/>
        <w:rPr/>
      </w:pPr>
      <w:r>
        <w:rPr>
          <w:rFonts w:ascii="Times New Roman;serif" w:hAnsi="Times New Roman;serif"/>
          <w:b w:val="false"/>
          <w:color w:val="000000"/>
          <w:sz w:val="24"/>
        </w:rPr>
        <w:t>$</w:t>
      </w:r>
      <w:r>
        <w:rPr>
          <w:color w:val="000000"/>
          <w:u w:val="single"/>
        </w:rPr>
        <w:t>                    </w:t>
      </w:r>
      <w:r>
        <w:rPr>
          <w:color w:val="000000"/>
        </w:rPr>
        <w:t xml:space="preserve">     </w:t>
      </w:r>
      <w:r>
        <w:rPr>
          <w:rFonts w:ascii="Times New Roman;serif" w:hAnsi="Times New Roman;serif"/>
          <w:b w:val="false"/>
          <w:color w:val="000000"/>
          <w:sz w:val="24"/>
        </w:rPr>
        <w:t xml:space="preserve">(integral multiples of $1.00,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unpurchased portion must be in a minimum principal amount of $1.00)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Date:             </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Your Signature: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 xml:space="preserve">Tax Identification No.: </w:t>
      </w:r>
      <w:r>
        <w:rPr>
          <w:color w:val="000000"/>
          <w:u w:val="single"/>
        </w:rPr>
        <w:t>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Signature Guarantee*: </w:t>
      </w:r>
      <w:r>
        <w:rPr>
          <w:color w:val="000000"/>
          <w:u w:val="single"/>
        </w:rPr>
        <w:t>    </w:t>
      </w:r>
    </w:p>
    <w:p>
      <w:pPr>
        <w:pStyle w:val="TextBody"/>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INTERESTS IN THE GLOBAL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initial outstanding principal amount of this Global Note is $          . The following exchanges of a part of this Global Note for an interest in another Global Note or for a Definitive Note, or exchanges of a part of another Global Note or Definitive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386"/>
        <w:gridCol w:w="340"/>
        <w:gridCol w:w="342"/>
        <w:gridCol w:w="701"/>
        <w:gridCol w:w="701"/>
        <w:gridCol w:w="704"/>
        <w:gridCol w:w="698"/>
        <w:gridCol w:w="698"/>
        <w:gridCol w:w="701"/>
        <w:gridCol w:w="809"/>
        <w:gridCol w:w="809"/>
        <w:gridCol w:w="812"/>
        <w:gridCol w:w="729"/>
        <w:gridCol w:w="729"/>
        <w:gridCol w:w="1046"/>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 of Exchange</w:t>
            </w:r>
          </w:p>
        </w:tc>
        <w:tc>
          <w:tcPr>
            <w:tcW w:w="2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decrease in Principal Amount of this Global Note</w:t>
            </w:r>
          </w:p>
        </w:tc>
        <w:tc>
          <w:tcPr>
            <w:tcW w:w="20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increase in Principal Amount of this Global Note</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Amount of this Global Note following such decrease or increase</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Signature of authorized signatory of Trustee, Depositary or Custodian</w:t>
            </w:r>
          </w:p>
        </w:tc>
      </w:tr>
      <w:tr>
        <w:trPr/>
        <w:tc>
          <w:tcPr>
            <w:tcW w:w="1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schedule should be included only if the Note is issued in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7"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A-14</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TRANSFEREE LETTER OF REPRESENTATION FOR TRANSFERS TO IAI’S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KLX Energy Services Holdings, Inc.</w:t>
        <w:br/>
        <w:t>3040 Post Oak Blvd, Suite 1500</w:t>
        <w:br/>
        <w:t>Houston, Texas 77056</w:t>
        <w:br/>
        <w:t>Attention: Max Bouthillette, General Counsel</w:t>
        <w:br/>
        <w:t>Email: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certificate is delivered to request a transfer of $[</w:t>
      </w:r>
      <w:r>
        <w:rPr>
          <w:color w:val="000000"/>
          <w:u w:val="single"/>
        </w:rPr>
        <w:t>          </w:t>
      </w:r>
      <w:r>
        <w:rPr>
          <w:rFonts w:ascii="Times New Roman;serif" w:hAnsi="Times New Roman;serif"/>
          <w:b w:val="false"/>
          <w:color w:val="000000"/>
          <w:sz w:val="24"/>
        </w:rPr>
        <w:t>] principal amount of the Senior Secured Floating Rate Cash / PIK Notes due 2030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 of KLX Energy Services Holdings, Inc.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transfer, the Notes would be registered in the name of the new beneficial owner as follows:</w:t>
      </w:r>
    </w:p>
    <w:p>
      <w:pPr>
        <w:pStyle w:val="TextBody"/>
        <w:bidi w:val="0"/>
        <w:spacing w:lineRule="auto" w:line="288" w:before="0" w:after="240"/>
        <w:jc w:val="both"/>
        <w:rPr/>
      </w:pPr>
      <w:r>
        <w:rPr>
          <w:rFonts w:ascii="Times New Roman;serif" w:hAnsi="Times New Roman;serif"/>
          <w:b w:val="false"/>
          <w:color w:val="000000"/>
          <w:sz w:val="24"/>
        </w:rPr>
        <w:t xml:space="preserve">Name: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 xml:space="preserve">Address: </w:t>
      </w:r>
      <w:r>
        <w:rPr>
          <w:color w:val="000000"/>
          <w:u w:val="single"/>
        </w:rPr>
        <w:t>    </w:t>
      </w:r>
    </w:p>
    <w:p>
      <w:pPr>
        <w:pStyle w:val="TextBody"/>
        <w:bidi w:val="0"/>
        <w:spacing w:lineRule="auto" w:line="288" w:before="0" w:after="240"/>
        <w:jc w:val="both"/>
        <w:rPr/>
      </w:pPr>
      <w:r>
        <w:rPr>
          <w:rFonts w:ascii="Times New Roman;serif" w:hAnsi="Times New Roman;serif"/>
          <w:b w:val="false"/>
          <w:color w:val="000000"/>
          <w:sz w:val="24"/>
        </w:rPr>
        <w:t xml:space="preserve">Taxpayer ID Number: </w:t>
      </w:r>
      <w:r>
        <w:rPr>
          <w:color w:val="000000"/>
          <w:u w:val="single"/>
        </w:rPr>
        <w: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undersigned represents and warrants to you that:</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We are an institutional “accredited investor” (as defined in Rule 501(a)(1), (2), (3) or (7) under the Securities Act of 1933, as amended (the “</w:t>
      </w:r>
      <w:r>
        <w:rPr>
          <w:rFonts w:ascii="Times New Roman;serif" w:hAnsi="Times New Roman;serif"/>
          <w:b/>
          <w:color w:val="000000"/>
          <w:sz w:val="24"/>
        </w:rPr>
        <w:t>Securities Act</w:t>
      </w:r>
      <w:r>
        <w:rPr>
          <w:color w:val="000000"/>
        </w:rPr>
        <w:t>”</w:t>
      </w:r>
      <w:r>
        <w:rPr>
          <w:rFonts w:ascii="Times New Roman;serif" w:hAnsi="Times New Roman;serif"/>
          <w:b w:val="false"/>
          <w:color w:val="000000"/>
          <w:sz w:val="24"/>
        </w:rPr>
        <w:t>)), purchasing for our own account or for the account of such an institutional “accredited investor” at least $250,000 principal amount of the Notes, and we are acquiring the Notes, for investment purposes and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alter the later of the date of original issue and the last date on which the Issuer or any affiliate of the Issuer was the owner of such Notes (or any predecessor thereto) (the “</w:t>
      </w:r>
      <w:r>
        <w:rPr>
          <w:rFonts w:ascii="Times New Roman;serif" w:hAnsi="Times New Roman;serif"/>
          <w:b/>
          <w:color w:val="000000"/>
          <w:sz w:val="24"/>
        </w:rPr>
        <w:t>Resale Restriction Termination Date</w:t>
      </w:r>
      <w:r>
        <w:rPr>
          <w:color w:val="000000"/>
        </w:rPr>
        <w:t>”</w:t>
      </w:r>
      <w:r>
        <w:rPr>
          <w:rFonts w:ascii="Times New Roman;serif" w:hAnsi="Times New Roman;serif"/>
          <w:b w:val="false"/>
          <w:color w:val="000000"/>
          <w:sz w:val="24"/>
        </w:rPr>
        <w:t xml:space="preserve">) only in accordance with the Restricted Notes Legend (as such term is defined in the indenture under which the Notes were issued) on the Notes and any applicable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8"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laws of any state of the United States. The foregoing restrictions on resale will not apply subsequent to the Resale Restriction Termination Date. If any resale or other transfer of the Notes is proposed to be made pursuant to clause (e) of the Restricted Notes Legend prior to the Resale Restriction Termination Date, the transferor shall deliver a letter from the transferee substantially in the form of this letter to the Issuer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 and the Trustee reserve the right prior to the offer, sale or other transfer prior to the Resale Restriction Termination Date of the Notes with respect to applicable transfers described in the Restricted Notes Legend to require the delivery of an opinion of counsel, certifications and/or other information satisfactory to the Issuer and the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TRANSFEREE: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9"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B-2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COMPLIANCE CERTIFICATE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compliance certificate (this “</w:t>
      </w:r>
      <w:r>
        <w:rPr>
          <w:rFonts w:ascii="Times New Roman;serif" w:hAnsi="Times New Roman;serif"/>
          <w:b/>
          <w:color w:val="000000"/>
          <w:sz w:val="24"/>
        </w:rPr>
        <w:t>Certificate</w:t>
      </w:r>
      <w:r>
        <w:rPr>
          <w:color w:val="000000"/>
        </w:rPr>
        <w:t>”</w:t>
      </w:r>
      <w:r>
        <w:rPr>
          <w:rFonts w:ascii="Times New Roman;serif" w:hAnsi="Times New Roman;serif"/>
          <w:b w:val="false"/>
          <w:color w:val="000000"/>
          <w:sz w:val="24"/>
        </w:rPr>
        <w:t>) is delivered to you pursuant to Section 5.03(c) of that certain Amended and Restated Indenture, dated as of September 29, 2026, by and among KLX Energy Services Holdings, Inc.,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each of the Guarantors from time to time party thereto, and U.S. Bank Trust Company, National Association, as trustee (in such capacity, together with its successors and assigns,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as notes collateral agent for the Secured Parties (in such capacity, together with its successors and assigns, the “</w:t>
      </w:r>
      <w:r>
        <w:rPr>
          <w:rFonts w:ascii="Times New Roman;serif" w:hAnsi="Times New Roman;serif"/>
          <w:b/>
          <w:color w:val="000000"/>
          <w:sz w:val="24"/>
        </w:rPr>
        <w:t>Collateral Agent</w:t>
      </w:r>
      <w:r>
        <w:rPr>
          <w:color w:val="000000"/>
        </w:rPr>
        <w:t>”</w:t>
      </w:r>
      <w:r>
        <w:rPr>
          <w:rFonts w:ascii="Times New Roman;serif" w:hAnsi="Times New Roman;serif"/>
          <w:b w:val="false"/>
          <w:color w:val="000000"/>
          <w:sz w:val="24"/>
        </w:rPr>
        <w:t>)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Unless otherwise defined herein, capitalized terms used herein shall have the meanings assigned to such terms in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As of the date hereof, I certify, not in my individual capacity, but in my capacity as an officer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I am the duly elected, qualified and acting [</w:t>
      </w:r>
      <w:r>
        <w:rPr>
          <w:rFonts w:ascii="Times New Roman;serif" w:hAnsi="Times New Roman;serif"/>
          <w:b w:val="false"/>
          <w:i/>
          <w:color w:val="000000"/>
          <w:sz w:val="24"/>
        </w:rPr>
        <w:t>specify type of Financial Officer</w:t>
      </w:r>
      <w:r>
        <w:rPr>
          <w:rFonts w:ascii="Times New Roman;serif" w:hAnsi="Times New Roman;serif"/>
          <w:b w:val="false"/>
          <w:color w:val="000000"/>
          <w:sz w:val="24"/>
        </w:rPr>
        <w:t>] of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I have reviewed and am familiar with the contents of this Certificate and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3.    I have no knowledge of the occurrence and continuation, as of the date of this Certificate, of any condition or event which constitutes a Default or Event of Default[, except as set forth below]</w:t>
      </w:r>
      <w:r>
        <w:rPr>
          <w:rFonts w:ascii="Times New Roman;serif" w:hAnsi="Times New Roman;serif"/>
          <w:b w:val="false"/>
          <w:color w:val="000000"/>
          <w:sz w:val="16"/>
        </w:rPr>
        <w:t>7.</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4.    Attached hereto as </w:t>
      </w:r>
      <w:r>
        <w:rPr>
          <w:rFonts w:ascii="Times New Roman;serif" w:hAnsi="Times New Roman;serif"/>
          <w:b w:val="false"/>
          <w:color w:val="000000"/>
          <w:sz w:val="24"/>
          <w:u w:val="single"/>
        </w:rPr>
        <w:t>Attachment 1</w:t>
      </w:r>
      <w:r>
        <w:rPr>
          <w:color w:val="000000"/>
        </w:rPr>
        <w:t xml:space="preserve"> </w:t>
      </w:r>
      <w:r>
        <w:rPr>
          <w:rFonts w:ascii="Times New Roman;serif" w:hAnsi="Times New Roman;serif"/>
          <w:b w:val="false"/>
          <w:color w:val="000000"/>
          <w:sz w:val="24"/>
        </w:rPr>
        <w:t>are the financial statements for the fiscal [quarter][year] ended [__________] (the “</w:t>
      </w:r>
      <w:r>
        <w:rPr>
          <w:rFonts w:ascii="Times New Roman;serif" w:hAnsi="Times New Roman;serif"/>
          <w:b/>
          <w:color w:val="000000"/>
          <w:sz w:val="24"/>
        </w:rPr>
        <w:t>Financial Statements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5.    Attached hereto as </w:t>
      </w:r>
      <w:r>
        <w:rPr>
          <w:rFonts w:ascii="Times New Roman;serif" w:hAnsi="Times New Roman;serif"/>
          <w:b w:val="false"/>
          <w:color w:val="000000"/>
          <w:sz w:val="24"/>
          <w:u w:val="single"/>
        </w:rPr>
        <w:t>Attachment 2</w:t>
      </w:r>
      <w:r>
        <w:rPr>
          <w:color w:val="000000"/>
        </w:rPr>
        <w:t xml:space="preserve"> </w:t>
      </w:r>
      <w:r>
        <w:rPr>
          <w:rFonts w:ascii="Times New Roman;serif" w:hAnsi="Times New Roman;serif"/>
          <w:b w:val="false"/>
          <w:color w:val="000000"/>
          <w:sz w:val="24"/>
        </w:rPr>
        <w:t>is the computation of the Total Net Leverage Ratio.</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6.    Attached hereto as </w:t>
      </w:r>
      <w:r>
        <w:rPr>
          <w:rFonts w:ascii="Times New Roman;serif" w:hAnsi="Times New Roman;serif"/>
          <w:b w:val="false"/>
          <w:color w:val="000000"/>
          <w:sz w:val="24"/>
          <w:u w:val="single"/>
        </w:rPr>
        <w:t>Attachment 3</w:t>
      </w:r>
      <w:r>
        <w:rPr>
          <w:color w:val="000000"/>
        </w:rPr>
        <w:t xml:space="preserve"> </w:t>
      </w:r>
      <w:r>
        <w:rPr>
          <w:rFonts w:ascii="Times New Roman;serif" w:hAnsi="Times New Roman;serif"/>
          <w:b w:val="false"/>
          <w:color w:val="000000"/>
          <w:sz w:val="24"/>
        </w:rPr>
        <w:t>is the computation of the Secured Net Leverage Ratio.</w:t>
      </w:r>
    </w:p>
    <w:p>
      <w:pPr>
        <w:pStyle w:val="TextBody"/>
        <w:bidi w:val="0"/>
        <w:spacing w:lineRule="auto" w:line="288"/>
        <w:jc w:val="both"/>
        <w:rPr/>
      </w:pPr>
      <w:r>
        <w:rPr>
          <w:rFonts w:ascii="Times New Roman;serif" w:hAnsi="Times New Roman;serif"/>
          <w:b w:val="false"/>
          <w:color w:val="000000"/>
          <w:sz w:val="16"/>
        </w:rPr>
        <w:t>7</w:t>
      </w:r>
      <w:r>
        <w:rPr>
          <w:color w:val="000000"/>
        </w:rPr>
        <w:t xml:space="preserve"> </w:t>
      </w:r>
      <w:r>
        <w:rPr>
          <w:rFonts w:ascii="Times New Roman;serif" w:hAnsi="Times New Roman;serif"/>
          <w:b w:val="false"/>
          <w:color w:val="000000"/>
          <w:sz w:val="20"/>
        </w:rPr>
        <w:t>To specify the nature and extent of any Default or Event of Default and include any corrective action taken or proposed to be taken with respect to such known Default or Event of Default.</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0"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7.    As of the Test Period ended [__], the Net Capital Expenditures, on a Pro Forma Basis for such Test Period are $ [__].</w:t>
      </w:r>
      <w:r>
        <w:rPr>
          <w:rFonts w:ascii="Times New Roman;serif" w:hAnsi="Times New Roman;serif"/>
          <w:b w:val="false"/>
          <w:color w:val="000000"/>
          <w:sz w:val="16"/>
        </w:rPr>
        <w:t>8</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8.    Attached hereto as </w:t>
      </w:r>
      <w:r>
        <w:rPr>
          <w:rFonts w:ascii="Times New Roman;serif" w:hAnsi="Times New Roman;serif"/>
          <w:b w:val="false"/>
          <w:color w:val="000000"/>
          <w:sz w:val="24"/>
          <w:u w:val="single"/>
        </w:rPr>
        <w:t>Attachment 4</w:t>
      </w:r>
      <w:r>
        <w:rPr>
          <w:color w:val="000000"/>
        </w:rPr>
        <w:t xml:space="preserve"> </w:t>
      </w:r>
      <w:r>
        <w:rPr>
          <w:rFonts w:ascii="Times New Roman;serif" w:hAnsi="Times New Roman;serif"/>
          <w:b w:val="false"/>
          <w:color w:val="000000"/>
          <w:sz w:val="24"/>
        </w:rPr>
        <w:t>is the Borrower’s calculation of “Excess Cash Flow.”</w:t>
      </w:r>
      <w:r>
        <w:rPr>
          <w:rFonts w:ascii="Times New Roman;serif" w:hAnsi="Times New Roman;serif"/>
          <w:b w:val="false"/>
          <w:color w:val="000000"/>
          <w:sz w:val="16"/>
        </w:rPr>
        <w:t>9</w:t>
      </w:r>
    </w:p>
    <w:p>
      <w:pPr>
        <w:pStyle w:val="TextBody"/>
        <w:bidi w:val="0"/>
        <w:spacing w:lineRule="auto" w:line="288" w:before="0" w:after="240"/>
        <w:jc w:val="both"/>
        <w:rPr/>
      </w:pPr>
      <w:r>
        <w:rPr>
          <w:rFonts w:ascii="Times New Roman;serif" w:hAnsi="Times New Roman;serif"/>
          <w:b w:val="false"/>
          <w:color w:val="000000"/>
          <w:sz w:val="24"/>
        </w:rPr>
        <w:t xml:space="preserve">IN WITNESS WHEREOF, I execute this Certificate this </w:t>
      </w:r>
      <w:r>
        <w:rPr>
          <w:rFonts w:ascii="Times New Roman;serif" w:hAnsi="Times New Roman;serif"/>
          <w:b/>
          <w:color w:val="000000"/>
          <w:sz w:val="24"/>
        </w:rPr>
        <w:t xml:space="preserve">____ </w:t>
      </w:r>
      <w:r>
        <w:rPr>
          <w:rFonts w:ascii="Times New Roman;serif" w:hAnsi="Times New Roman;serif"/>
          <w:b w:val="false"/>
          <w:color w:val="000000"/>
          <w:sz w:val="24"/>
        </w:rPr>
        <w:t>day of ____________, 20[__].</w:t>
      </w:r>
    </w:p>
    <w:p>
      <w:pPr>
        <w:pStyle w:val="TextBody"/>
        <w:bidi w:val="0"/>
        <w:spacing w:lineRule="auto" w:line="288" w:before="0" w:after="480"/>
        <w:jc w:val="left"/>
        <w:rPr>
          <w:rFonts w:ascii="Times New Roman;serif" w:hAnsi="Times New Roman;serif"/>
          <w:b/>
          <w:color w:val="000000"/>
          <w:sz w:val="24"/>
        </w:rPr>
      </w:pPr>
      <w:r>
        <w:rPr>
          <w:rFonts w:ascii="Times New Roman;serif" w:hAnsi="Times New Roman;serif"/>
          <w:b/>
          <w:color w:val="000000"/>
          <w:sz w:val="24"/>
        </w:rPr>
        <w:t>KLX ENERGY SERVICES HOLDINGS, INC.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[Financial Officer]</w:t>
      </w:r>
    </w:p>
    <w:p>
      <w:pPr>
        <w:pStyle w:val="TextBody"/>
        <w:bidi w:val="0"/>
        <w:spacing w:lineRule="auto" w:line="288" w:before="0" w:after="0"/>
        <w:jc w:val="both"/>
        <w:rPr/>
      </w:pPr>
      <w:r>
        <w:rPr>
          <w:rFonts w:ascii="Times New Roman;serif" w:hAnsi="Times New Roman;serif"/>
          <w:b w:val="false"/>
          <w:color w:val="000000"/>
          <w:sz w:val="16"/>
        </w:rPr>
        <w:t>8</w:t>
      </w:r>
      <w:r>
        <w:rPr>
          <w:color w:val="000000"/>
        </w:rPr>
        <w:t xml:space="preserve"> </w:t>
      </w:r>
      <w:r>
        <w:rPr>
          <w:rFonts w:ascii="Times New Roman;serif" w:hAnsi="Times New Roman;serif"/>
          <w:b w:val="false"/>
          <w:color w:val="000000"/>
          <w:sz w:val="20"/>
        </w:rPr>
        <w:t>Net Capital Expenditures during any applicable Test Period not to exceed the greater of (x) $65,000,000 in the aggregate during any Test Period or (y) seven percent (7%) of revenues during such Test Period; provided, that, such amounts shall be calculated on a Pro Forma Basis to give effect to any Subject Transaction as if it occurred on the first day of the reference period); provided, further, that, for purposes of testing compliance with Section 6.08(b) of the Indenture, as of the last day of (x) the first full fiscal quarter ending after the Closing Date, Net Capital Expenditures shall be the amount of Net Capital Expenditures for such fiscal quarter then-ended multiplied by 4, (y) the second full fiscal quarter ending after the Closing Date, Net Capital Expenditures shall be the amount of Net Capital Expenditures for the two fiscal quarters then-ended multiplied by 2 and (z) the third full fiscal quarter ending after the Closing Date, Net Capital Expenditures shall be the amount of Net Capital Expenditures for the three fiscal quarters then-ended multiplied by 4/3.</w:t>
      </w:r>
    </w:p>
    <w:p>
      <w:pPr>
        <w:pStyle w:val="TextBody"/>
        <w:bidi w:val="0"/>
        <w:spacing w:lineRule="auto" w:line="288"/>
        <w:jc w:val="both"/>
        <w:rPr/>
      </w:pPr>
      <w:r>
        <w:rPr>
          <w:rFonts w:ascii="Times New Roman;serif" w:hAnsi="Times New Roman;serif"/>
          <w:b w:val="false"/>
          <w:color w:val="000000"/>
          <w:sz w:val="16"/>
        </w:rPr>
        <w:t>9</w:t>
      </w:r>
      <w:r>
        <w:rPr>
          <w:color w:val="000000"/>
        </w:rPr>
        <w:t xml:space="preserve"> </w:t>
      </w:r>
      <w:r>
        <w:rPr>
          <w:rFonts w:ascii="Times New Roman;serif" w:hAnsi="Times New Roman;serif"/>
          <w:b w:val="false"/>
          <w:color w:val="000000"/>
          <w:sz w:val="20"/>
        </w:rPr>
        <w:t>To be inserted only in connection with the delivery of annual financial statements pursuant to Section 5.03(a) of the Indenture, starting with the fiscal year ending December 31, 2026.</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1"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C-2</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ATTACHMENT 1</w:t>
        <w:br/>
        <w:br/>
        <w:t>TO</w:t>
        <w:br/>
        <w:br/>
        <w:t>COMPLIANCE CERTIFICATE</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Financial Statements</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The information described herein is as of [__________________], and pertains to the fiscal [quarter] [year] ended [____________].</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2"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C-3</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ATTACHMENT 2</w:t>
        <w:br/>
        <w:br/>
        <w:t>TO</w:t>
        <w:br/>
        <w:br/>
        <w:t>COMPLIANCE CERTIFICATE</w:t>
      </w:r>
    </w:p>
    <w:tbl>
      <w:tblPr>
        <w:tblW w:w="10205" w:type="dxa"/>
        <w:jc w:val="left"/>
        <w:tblInd w:w="0" w:type="dxa"/>
        <w:tblLayout w:type="fixed"/>
        <w:tblCellMar>
          <w:top w:w="28" w:type="dxa"/>
          <w:left w:w="28" w:type="dxa"/>
          <w:bottom w:w="28" w:type="dxa"/>
          <w:right w:w="28" w:type="dxa"/>
        </w:tblCellMar>
      </w:tblPr>
      <w:tblGrid>
        <w:gridCol w:w="241"/>
        <w:gridCol w:w="211"/>
        <w:gridCol w:w="211"/>
        <w:gridCol w:w="2935"/>
        <w:gridCol w:w="2935"/>
        <w:gridCol w:w="2939"/>
        <w:gridCol w:w="211"/>
        <w:gridCol w:w="211"/>
        <w:gridCol w:w="311"/>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9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TOTAL NET LEVERAGE RATIO</w:t>
            </w:r>
          </w:p>
        </w:tc>
      </w:tr>
      <w:tr>
        <w:trPr/>
        <w:tc>
          <w:tcPr>
            <w:tcW w:w="66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880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u w:val="single"/>
              </w:rPr>
            </w:pPr>
            <w:r>
              <w:rPr>
                <w:rFonts w:ascii="Times New Roman;serif" w:hAnsi="Times New Roman;serif"/>
                <w:b/>
                <w:color w:val="000000"/>
                <w:sz w:val="24"/>
                <w:u w:val="single"/>
              </w:rPr>
              <w:t>Determination of Consolidated Total Indebtedness</w:t>
            </w:r>
          </w:p>
        </w:tc>
        <w:tc>
          <w:tcPr>
            <w:tcW w:w="73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 xml:space="preserve">The </w:t>
            </w:r>
            <w:r>
              <w:rPr>
                <w:rFonts w:ascii="Times New Roman;serif" w:hAnsi="Times New Roman;serif"/>
                <w:b/>
                <w:color w:val="000000"/>
                <w:sz w:val="24"/>
                <w:u w:val="single"/>
              </w:rPr>
              <w:t>sum</w:t>
            </w:r>
            <w:r>
              <w:rPr>
                <w:color w:val="000000"/>
              </w:rPr>
              <w:t xml:space="preserve"> </w:t>
            </w:r>
            <w:r>
              <w:rPr>
                <w:rFonts w:ascii="Times New Roman;serif" w:hAnsi="Times New Roman;serif"/>
                <w:b w:val="false"/>
                <w:color w:val="000000"/>
                <w:sz w:val="24"/>
              </w:rPr>
              <w:t>of (without duplication), determined on a consolidated basis for the Issuer and its Restricted Subsidiaries (excluding any obligations in respect of hedging arrangements):</w:t>
            </w:r>
          </w:p>
        </w:tc>
        <w:tc>
          <w:tcPr>
            <w:tcW w:w="73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6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all indebtedness of such Person for borrowed money or for the deferred purchase price of property or services (other than current trade payables or liabilities and deferred payment for services to employees or former employees incurred in the ordinary course of business and payable in accordance with customary practices, earn-outs, and other deferred compensation arrangements);</w:t>
            </w:r>
          </w:p>
        </w:tc>
        <w:tc>
          <w:tcPr>
            <w:tcW w:w="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the face amount of all letters of credit issued for the account of such Person and, without duplication, all drafts drawn thereunder (but, for the avoidance of doubt, determined without double-counting any “back-to-back” letter of credit arrangements whereby a letter of credit serves as collateral for drawings made under another letter of credit);</w:t>
            </w:r>
          </w:p>
        </w:tc>
        <w:tc>
          <w:tcPr>
            <w:tcW w:w="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all liabilities (other than obligations of such Person in respect of Leases) secured by any Lien on any property owned by such Person, to the extent attributable to such Person’s interest in such property, even though such Person has not assumed or become liable for the payment thereof;</w:t>
            </w:r>
          </w:p>
        </w:tc>
        <w:tc>
          <w:tcPr>
            <w:tcW w:w="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3"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[reserved];</w:t>
            </w:r>
          </w:p>
        </w:tc>
        <w:tc>
          <w:tcPr>
            <w:tcW w:w="73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3"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    obligations under any Earn-Out payable in cash (which for all purposes of the Indenture shall be valued at the amount reasonably likely to be payable with respect to such Earn-Out as expected to be reported on such Person’s financial statements);</w:t>
            </w:r>
          </w:p>
        </w:tc>
        <w:tc>
          <w:tcPr>
            <w:tcW w:w="73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3"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9"/>
        <w:gridCol w:w="209"/>
        <w:gridCol w:w="209"/>
        <w:gridCol w:w="3299"/>
        <w:gridCol w:w="2843"/>
        <w:gridCol w:w="2678"/>
        <w:gridCol w:w="209"/>
        <w:gridCol w:w="209"/>
        <w:gridCol w:w="310"/>
      </w:tblGrid>
      <w:tr>
        <w:trPr/>
        <w:tc>
          <w:tcPr>
            <w:tcW w:w="23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9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TOTAL NET LEVERAGE RATIO</w:t>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Disqualified Capital Stock;</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(g)    all indebtedness of such Person arising under acceptance facilities; but excluding (x) any obligation resulting from the existence of deferred revenue, including customer deposits and interest thereon in the ordinary course of business, (y) deferred rent and (z) trade and other accounts and accrued expenses payable in the ordinary course of business in accordance with customary trade terms; and</w:t>
            </w:r>
            <w:r>
              <w:rPr>
                <w:rFonts w:ascii="Times New Roman;serif" w:hAnsi="Times New Roman;serif"/>
                <w:b w:val="false"/>
                <w:color w:val="000000"/>
                <w:sz w:val="16"/>
              </w:rPr>
              <w:t>10</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 xml:space="preserve">(h)    all Contingent Obligations of such person in respect of Indebtedness or obligations of others of the kinds referred to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above.</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Consolidated Total Indebtedness:</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8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u w:val="single"/>
              </w:rPr>
            </w:pPr>
            <w:r>
              <w:rPr>
                <w:rFonts w:ascii="Times New Roman;serif" w:hAnsi="Times New Roman;serif"/>
                <w:b/>
                <w:color w:val="000000"/>
                <w:sz w:val="24"/>
                <w:u w:val="single"/>
              </w:rPr>
              <w:t>Minus</w:t>
            </w:r>
          </w:p>
        </w:tc>
        <w:tc>
          <w:tcPr>
            <w:tcW w:w="72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Unrestricted Cash of the Issuer and its Restricted Subsidiaries (not to exceed $25,000,000):</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Total for item 1 minus item 2:</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8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Determination of Consolidated EBITDA</w:t>
            </w:r>
            <w:r>
              <w:rPr>
                <w:rFonts w:ascii="Times New Roman;serif" w:hAnsi="Times New Roman;serif"/>
                <w:b w:val="false"/>
                <w:color w:val="000000"/>
                <w:sz w:val="24"/>
              </w:rPr>
              <w:t>:</w:t>
            </w:r>
            <w:r>
              <w:rPr>
                <w:rFonts w:ascii="Times New Roman;serif" w:hAnsi="Times New Roman;serif"/>
                <w:b w:val="false"/>
                <w:color w:val="000000"/>
                <w:sz w:val="16"/>
              </w:rPr>
              <w:t>11</w:t>
            </w:r>
          </w:p>
        </w:tc>
        <w:tc>
          <w:tcPr>
            <w:tcW w:w="72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The Consolidated Net Income (excluding any unusual or extraordinary items of gain or loss) attributable to the Issuer and its Restricted Subsidiaries for such period</w:t>
            </w:r>
          </w:p>
        </w:tc>
        <w:tc>
          <w:tcPr>
            <w:tcW w:w="728"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57"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Plus</w:t>
            </w:r>
            <w:r>
              <w:rPr>
                <w:color w:val="000000"/>
              </w:rPr>
              <w:t xml:space="preserve"> </w:t>
            </w:r>
            <w:r>
              <w:rPr>
                <w:rFonts w:ascii="Times New Roman;serif" w:hAnsi="Times New Roman;serif"/>
                <w:b w:val="false"/>
                <w:color w:val="000000"/>
                <w:sz w:val="24"/>
              </w:rPr>
              <w:t>(without duplication) amounts in the determination of Consolidated Net Income which have been deducted for:</w:t>
            </w:r>
          </w:p>
        </w:tc>
        <w:tc>
          <w:tcPr>
            <w:tcW w:w="728"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8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Consolidated Interest Expense;</w:t>
            </w:r>
          </w:p>
        </w:tc>
        <w:tc>
          <w:tcPr>
            <w:tcW w:w="728"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lineRule="auto" w:line="288" w:before="0" w:after="0"/>
        <w:jc w:val="both"/>
        <w:rPr/>
      </w:pPr>
      <w:r>
        <w:rPr>
          <w:rFonts w:ascii="Times New Roman;serif" w:hAnsi="Times New Roman;serif"/>
          <w:b w:val="false"/>
          <w:color w:val="000000"/>
          <w:sz w:val="16"/>
        </w:rPr>
        <w:t>10</w:t>
      </w:r>
      <w:r>
        <w:rPr>
          <w:color w:val="000000"/>
        </w:rPr>
        <w:t xml:space="preserve"> </w:t>
      </w:r>
      <w:r>
        <w:rPr>
          <w:rFonts w:ascii="Times New Roman;serif" w:hAnsi="Times New Roman;serif"/>
          <w:b w:val="false"/>
          <w:color w:val="000000"/>
          <w:sz w:val="20"/>
        </w:rPr>
        <w:t>In the case of clause (x) and (z), to the extent not overdue for a period of more than one hundred and twenty (120) days or, if overdue for more than one hundred and twenty (120) days, as to which a dispute exists and adequate reserves in conformity with GAAP have been established on the books of such Person.</w:t>
      </w:r>
    </w:p>
    <w:p>
      <w:pPr>
        <w:pStyle w:val="TextBody"/>
        <w:bidi w:val="0"/>
        <w:spacing w:lineRule="auto" w:line="288"/>
        <w:jc w:val="both"/>
        <w:rPr/>
      </w:pPr>
      <w:r>
        <w:rPr>
          <w:rFonts w:ascii="Times New Roman;serif" w:hAnsi="Times New Roman;serif"/>
          <w:b w:val="false"/>
          <w:color w:val="000000"/>
          <w:sz w:val="16"/>
        </w:rPr>
        <w:t>11</w:t>
      </w:r>
      <w:r>
        <w:rPr>
          <w:color w:val="000000"/>
        </w:rPr>
        <w:t xml:space="preserve"> </w:t>
      </w:r>
      <w:r>
        <w:rPr>
          <w:rFonts w:ascii="Times New Roman;serif" w:hAnsi="Times New Roman;serif"/>
          <w:b w:val="false"/>
          <w:color w:val="000000"/>
          <w:sz w:val="20"/>
        </w:rPr>
        <w:t>For purposes of calculating Consolidated EBITDA for any Test Period pursuant to any determination of the Total Net Leverage Ratio, Secured Net Leverage Ratio, or ratio of Consolidated Total Indebtedness to Consolidated EBITDA, if during such period (or in the case of pro-forma calculations, during the period from the last day of such period to and including the date as of which such calculation is made) the Issuer or one or more of its Restricted Subsidiaries shall have made a Subject Transaction, Consolidated EBITDA for such period shall be calculated after giving effect thereto on a pro-forma basis. Other than for purposes of calculating Excess Cash Flow, Consolidated EBITDA shall be calculated on a Pro Forma Basis to give effect to any Subject Transaction as if it occurred on the first day of the reference period.</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4"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4"/>
        <w:gridCol w:w="196"/>
        <w:gridCol w:w="196"/>
        <w:gridCol w:w="3319"/>
        <w:gridCol w:w="2795"/>
        <w:gridCol w:w="2795"/>
        <w:gridCol w:w="196"/>
        <w:gridCol w:w="196"/>
        <w:gridCol w:w="288"/>
      </w:tblGrid>
      <w:tr>
        <w:trPr/>
        <w:tc>
          <w:tcPr>
            <w:tcW w:w="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TOTAL NET LEVERAGE RATIO</w:t>
            </w:r>
          </w:p>
        </w:tc>
      </w:tr>
      <w:tr>
        <w:trPr/>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provisions for federal, state, local and foreign income, value added, franchise, margin and similar Taxes;</w:t>
            </w:r>
          </w:p>
        </w:tc>
        <w:tc>
          <w:tcPr>
            <w:tcW w:w="68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depreciation, amortization (including, without limitation, amortization of goodwill and other intangible assets), impairment of goodwill and other non-cash charges or expenses (excluding any such non-cash charge or expense to the extent that it represents amortization of a prepaid cash expense that was paid in a prior period;</w:t>
            </w:r>
          </w:p>
        </w:tc>
        <w:tc>
          <w:tcPr>
            <w:tcW w:w="68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1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non-cash compensation expense, or other non-cash expenses or charges, arising from the granting of stock options, the granting of stock appreciation rights and similar arrangements (including any repricing, amendment, modification, substitution or change of any such stock option, stock appreciation rights or similar arrangements);</w:t>
            </w:r>
          </w:p>
        </w:tc>
        <w:tc>
          <w:tcPr>
            <w:tcW w:w="680"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1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0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 xml:space="preserve">(e)     any (A) financial advisory fees, underwriting fees, accounting fees, legal fees and other similar advisory and consulting fees and related out-of-pocket advisory and consulting expenses, and (B) prepayment premiums, breakage costs and interest rate indemnities, redeployment costs or funding costs, with respect to each of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clause (B)</w:t>
            </w:r>
            <w:r>
              <w:rPr>
                <w:color w:val="000000"/>
              </w:rPr>
              <w:t xml:space="preserve"> </w:t>
            </w:r>
            <w:r>
              <w:rPr>
                <w:rFonts w:ascii="Times New Roman;serif" w:hAnsi="Times New Roman;serif"/>
                <w:b w:val="false"/>
                <w:color w:val="000000"/>
                <w:sz w:val="24"/>
              </w:rPr>
              <w:t>incurred by the Issuer and its Restricted Subsidiaries as a result of, or in connection with, any issuance, incurrence, refinancing, redemption, repayment or prepayment of Indebtedness, to the extent permitted under the Indenture; and</w:t>
            </w:r>
          </w:p>
        </w:tc>
        <w:tc>
          <w:tcPr>
            <w:tcW w:w="680"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5"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C-6</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9"/>
        <w:gridCol w:w="183"/>
        <w:gridCol w:w="183"/>
        <w:gridCol w:w="3386"/>
        <w:gridCol w:w="2476"/>
        <w:gridCol w:w="2476"/>
        <w:gridCol w:w="404"/>
        <w:gridCol w:w="404"/>
        <w:gridCol w:w="484"/>
      </w:tblGrid>
      <w:tr>
        <w:trPr/>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38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TOTAL NET LEVERAGE RATIO</w:t>
            </w:r>
          </w:p>
        </w:tc>
      </w:tr>
      <w:tr>
        <w:trPr/>
        <w:tc>
          <w:tcPr>
            <w:tcW w:w="5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 xml:space="preserve">(f)    any (A) financial advisory fees, accounting fees, legal fees and other similar advisory and consulting fees and related out-of-pocket advisory and consulting expenses, and (B) all cash and non-cash restructuring and integration charges, costs, and expenses, in each case incurred by the Issuer and its Restricted Subsidiaries as a result of any Permitted Acquisition or other internal restructuring and deducted from net income, and, in the case of the items described in this </w:t>
            </w:r>
            <w:r>
              <w:rPr>
                <w:rFonts w:ascii="Times New Roman;serif" w:hAnsi="Times New Roman;serif"/>
                <w:b w:val="false"/>
                <w:color w:val="000000"/>
                <w:sz w:val="24"/>
                <w:u w:val="single"/>
              </w:rPr>
              <w:t>sub-clause (B)</w:t>
            </w:r>
            <w:r>
              <w:rPr>
                <w:rFonts w:ascii="Times New Roman;serif" w:hAnsi="Times New Roman;serif"/>
                <w:b w:val="false"/>
                <w:color w:val="000000"/>
                <w:sz w:val="24"/>
              </w:rPr>
              <w:t xml:space="preserve">, which are factually supportable, identifiable and documented, and which are not objected to by the Trustee (acting at the direction of the Controlling Parties);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that, the aggregate amount of such costs and expenses under this </w:t>
            </w:r>
            <w:r>
              <w:rPr>
                <w:rFonts w:ascii="Times New Roman;serif" w:hAnsi="Times New Roman;serif"/>
                <w:b w:val="false"/>
                <w:color w:val="000000"/>
                <w:sz w:val="24"/>
                <w:u w:val="single"/>
              </w:rPr>
              <w:t>sub-clause (B)</w:t>
            </w:r>
            <w:r>
              <w:rPr>
                <w:color w:val="000000"/>
              </w:rPr>
              <w:t xml:space="preserve"> </w:t>
            </w:r>
            <w:r>
              <w:rPr>
                <w:rFonts w:ascii="Times New Roman;serif" w:hAnsi="Times New Roman;serif"/>
                <w:b w:val="false"/>
                <w:color w:val="000000"/>
                <w:sz w:val="24"/>
              </w:rPr>
              <w:t>shall not exceed [ten percent (10%)] of Consolidated EBITDA;</w:t>
            </w:r>
          </w:p>
        </w:tc>
        <w:tc>
          <w:tcPr>
            <w:tcW w:w="129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color w:val="000000"/>
                <w:sz w:val="24"/>
                <w:u w:val="single"/>
              </w:rPr>
            </w:pPr>
            <w:r>
              <w:rPr>
                <w:rFonts w:ascii="Times New Roman;serif" w:hAnsi="Times New Roman;serif"/>
                <w:b/>
                <w:color w:val="000000"/>
                <w:sz w:val="24"/>
                <w:u w:val="single"/>
              </w:rPr>
              <w:t>Minus</w:t>
            </w:r>
          </w:p>
        </w:tc>
        <w:tc>
          <w:tcPr>
            <w:tcW w:w="1292"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(g)    any amount which, in the determination of Consolidated Net Income for such period, has been added for any non-cash income or non-cash gains, all as determined in accordance with GAAP; and</w:t>
            </w:r>
          </w:p>
        </w:tc>
        <w:tc>
          <w:tcPr>
            <w:tcW w:w="129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the aggregate amount of cash payments made during such period in respect of any non-cash accrual, reserve or other non-cash charge or expense accounted for in a prior period which were added to Consolidated Net Income to determine Consolidated EBITDA for such prior period and which do not otherwise reduce Consolidated Net Income for the current period.</w:t>
            </w:r>
          </w:p>
        </w:tc>
        <w:tc>
          <w:tcPr>
            <w:tcW w:w="129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7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3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Total for item 3 (Consolidated EBITDA):</w:t>
            </w:r>
          </w:p>
        </w:tc>
        <w:tc>
          <w:tcPr>
            <w:tcW w:w="1292"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833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TOTAL NET LEVERAGE RATIO</w:t>
            </w:r>
            <w:r>
              <w:rPr>
                <w:rFonts w:ascii="Times New Roman;serif" w:hAnsi="Times New Roman;serif"/>
                <w:b w:val="false"/>
                <w:color w:val="000000"/>
                <w:sz w:val="24"/>
              </w:rPr>
              <w:t>: The ratio of the remainder of item 1 minus item 2 to item 3:</w:t>
            </w:r>
          </w:p>
        </w:tc>
        <w:tc>
          <w:tcPr>
            <w:tcW w:w="1292"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[____]:1.00</w:t>
            </w:r>
          </w:p>
        </w:tc>
      </w:tr>
    </w:tbl>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6"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C-7</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ATTACHMENT 3</w:t>
        <w:br/>
        <w:br/>
        <w:t>TO</w:t>
        <w:br/>
        <w:br/>
        <w:t>COMPLIANCE CERTIFICATE</w:t>
      </w:r>
    </w:p>
    <w:tbl>
      <w:tblPr>
        <w:tblW w:w="10205" w:type="dxa"/>
        <w:jc w:val="left"/>
        <w:tblInd w:w="0" w:type="dxa"/>
        <w:tblLayout w:type="fixed"/>
        <w:tblCellMar>
          <w:top w:w="28" w:type="dxa"/>
          <w:left w:w="28" w:type="dxa"/>
          <w:bottom w:w="28" w:type="dxa"/>
          <w:right w:w="28" w:type="dxa"/>
        </w:tblCellMar>
      </w:tblPr>
      <w:tblGrid>
        <w:gridCol w:w="249"/>
        <w:gridCol w:w="218"/>
        <w:gridCol w:w="218"/>
        <w:gridCol w:w="2920"/>
        <w:gridCol w:w="2920"/>
        <w:gridCol w:w="2924"/>
        <w:gridCol w:w="218"/>
        <w:gridCol w:w="218"/>
        <w:gridCol w:w="320"/>
      </w:tblGrid>
      <w:tr>
        <w:trPr/>
        <w:tc>
          <w:tcPr>
            <w:tcW w:w="2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SECURED NET LEVERAGE RATIO</w:t>
            </w:r>
          </w:p>
        </w:tc>
      </w:tr>
      <w:tr>
        <w:trPr/>
        <w:tc>
          <w:tcPr>
            <w:tcW w:w="68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87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Determination of Consolidated Secured Indebtedness</w:t>
            </w:r>
          </w:p>
        </w:tc>
        <w:tc>
          <w:tcPr>
            <w:tcW w:w="7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 xml:space="preserve">The </w:t>
            </w:r>
            <w:r>
              <w:rPr>
                <w:rFonts w:ascii="Times New Roman;serif" w:hAnsi="Times New Roman;serif"/>
                <w:b/>
                <w:color w:val="000000"/>
                <w:sz w:val="24"/>
                <w:u w:val="single"/>
              </w:rPr>
              <w:t>sum</w:t>
            </w:r>
            <w:r>
              <w:rPr>
                <w:color w:val="000000"/>
              </w:rPr>
              <w:t xml:space="preserve"> </w:t>
            </w:r>
            <w:r>
              <w:rPr>
                <w:rFonts w:ascii="Times New Roman;serif" w:hAnsi="Times New Roman;serif"/>
                <w:b w:val="false"/>
                <w:color w:val="000000"/>
                <w:sz w:val="24"/>
              </w:rPr>
              <w:t>of (without duplication), secured by a Lien on the assets constituting Collateral, determined on a consolidated basis for the Issuer and its Restricted Subsidiaries (excluding any obligations in respect of hedging arrangements):</w:t>
            </w:r>
          </w:p>
        </w:tc>
        <w:tc>
          <w:tcPr>
            <w:tcW w:w="756"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all indebtedness of such Person for borrowed money or for the deferred purchase price of property or services (other than current trade payables or liabilities and deferred payment for services to employees or former employees incurred in the ordinary course of business and payable in accordance with customary practices, earn-outs, and other deferred compensation arrangements);</w:t>
            </w:r>
          </w:p>
        </w:tc>
        <w:tc>
          <w:tcPr>
            <w:tcW w:w="75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the face amount of all letters of credit issued for the account of such Person and, without duplication, all drafts drawn thereunder (but, for the avoidance of doubt, determined without double-counting any “back-to-back” letter of credit arrangements whereby a letter of credit serves as collateral for drawings made under another letter of credit);</w:t>
            </w:r>
          </w:p>
        </w:tc>
        <w:tc>
          <w:tcPr>
            <w:tcW w:w="75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all liabilities (other than obligations of such Person in respect of Leases) secured by any Lien on any property owned by such Person, to the extent attributable to such Person’s interest in such property, even though such Person has not assumed or become liable for the payment thereof;</w:t>
            </w:r>
          </w:p>
        </w:tc>
        <w:tc>
          <w:tcPr>
            <w:tcW w:w="75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8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[reserved];</w:t>
            </w:r>
          </w:p>
        </w:tc>
        <w:tc>
          <w:tcPr>
            <w:tcW w:w="756"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8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    obligations under any Earn-Out payable in cash (which for all purposes of the Indenture shall be valued at the amount reasonably likely to be payable with respect to such Earn-Out as expected to be reported on such Person’s financial statements);</w:t>
            </w:r>
          </w:p>
        </w:tc>
        <w:tc>
          <w:tcPr>
            <w:tcW w:w="756"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7"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2"/>
        <w:gridCol w:w="211"/>
        <w:gridCol w:w="211"/>
        <w:gridCol w:w="3134"/>
        <w:gridCol w:w="2642"/>
        <w:gridCol w:w="2441"/>
        <w:gridCol w:w="439"/>
        <w:gridCol w:w="439"/>
        <w:gridCol w:w="446"/>
      </w:tblGrid>
      <w:tr>
        <w:trPr/>
        <w:tc>
          <w:tcPr>
            <w:tcW w:w="2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34" w:type="dxa"/>
            <w:tcBorders/>
            <w:vAlign w:val="center"/>
          </w:tcPr>
          <w:p>
            <w:pPr>
              <w:pStyle w:val="TableContents"/>
              <w:bidi w:val="0"/>
              <w:spacing w:before="0" w:after="283"/>
              <w:jc w:val="left"/>
              <w:rPr>
                <w:sz w:val="4"/>
                <w:szCs w:val="4"/>
              </w:rPr>
            </w:pPr>
            <w:r>
              <w:rPr>
                <w:sz w:val="4"/>
                <w:szCs w:val="4"/>
              </w:rPr>
            </w:r>
          </w:p>
        </w:tc>
        <w:tc>
          <w:tcPr>
            <w:tcW w:w="2642" w:type="dxa"/>
            <w:tcBorders/>
            <w:vAlign w:val="center"/>
          </w:tcPr>
          <w:p>
            <w:pPr>
              <w:pStyle w:val="TableContents"/>
              <w:bidi w:val="0"/>
              <w:spacing w:before="0" w:after="283"/>
              <w:jc w:val="left"/>
              <w:rPr>
                <w:sz w:val="4"/>
                <w:szCs w:val="4"/>
              </w:rPr>
            </w:pPr>
            <w:r>
              <w:rPr>
                <w:sz w:val="4"/>
                <w:szCs w:val="4"/>
              </w:rPr>
            </w:r>
          </w:p>
        </w:tc>
        <w:tc>
          <w:tcPr>
            <w:tcW w:w="244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SECURED NET LEVERAGE RATIO</w:t>
            </w:r>
          </w:p>
        </w:tc>
      </w:tr>
      <w:tr>
        <w:trPr/>
        <w:tc>
          <w:tcPr>
            <w:tcW w:w="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Disqualified Capital Stock;</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(g)    all indebtedness of such Person arising under acceptance facilities; but excluding (x) any obligation resulting from the existence of deferred revenue, including customer deposits and interest thereon in the ordinary course of business, (y) deferred rent and (z) trade and other accounts and accrued expenses payable in the ordinary course of business in accordance with customary trade terms; and</w:t>
            </w:r>
            <w:r>
              <w:rPr>
                <w:rFonts w:ascii="Times New Roman;serif" w:hAnsi="Times New Roman;serif"/>
                <w:b w:val="false"/>
                <w:color w:val="000000"/>
                <w:sz w:val="16"/>
              </w:rPr>
              <w:t>12</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 xml:space="preserve">(h)    all Contingent Obligations of such person in respect of Indebtedness or obligations of others of the kinds referred to in </w:t>
            </w:r>
            <w:r>
              <w:rPr>
                <w:rFonts w:ascii="Times New Roman;serif" w:hAnsi="Times New Roman;serif"/>
                <w:b w:val="false"/>
                <w:color w:val="000000"/>
                <w:sz w:val="24"/>
                <w:u w:val="single"/>
              </w:rPr>
              <w:t>clauses (a)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(g)</w:t>
            </w:r>
            <w:r>
              <w:rPr>
                <w:color w:val="000000"/>
              </w:rPr>
              <w:t xml:space="preserve"> </w:t>
            </w:r>
            <w:r>
              <w:rPr>
                <w:rFonts w:ascii="Times New Roman;serif" w:hAnsi="Times New Roman;serif"/>
                <w:b w:val="false"/>
                <w:color w:val="000000"/>
                <w:sz w:val="24"/>
              </w:rPr>
              <w:t>above.</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Consolidated Secured Indebtedness:</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w:t>
            </w:r>
          </w:p>
        </w:tc>
        <w:tc>
          <w:tcPr>
            <w:tcW w:w="82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Minus</w:t>
            </w:r>
          </w:p>
        </w:tc>
        <w:tc>
          <w:tcPr>
            <w:tcW w:w="132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Unrestricted Cash of the Issuer and its Restricted Subsidiaries (not to exceed $25,000,000):</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217"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Total for item 1 minus item 2:</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3.</w:t>
            </w:r>
          </w:p>
        </w:tc>
        <w:tc>
          <w:tcPr>
            <w:tcW w:w="821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Determination of Consolidated EBITDA (as calculated in Attachment 2)</w:t>
            </w:r>
            <w:r>
              <w:rPr>
                <w:rFonts w:ascii="Times New Roman;serif" w:hAnsi="Times New Roman;serif"/>
                <w:b w:val="false"/>
                <w:color w:val="000000"/>
                <w:sz w:val="24"/>
              </w:rPr>
              <w:t>:</w:t>
            </w:r>
          </w:p>
        </w:tc>
        <w:tc>
          <w:tcPr>
            <w:tcW w:w="132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6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4.</w:t>
            </w:r>
          </w:p>
        </w:tc>
        <w:tc>
          <w:tcPr>
            <w:tcW w:w="821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SECURED NET LEVERAGE RATIO</w:t>
            </w:r>
            <w:r>
              <w:rPr>
                <w:rFonts w:ascii="Times New Roman;serif" w:hAnsi="Times New Roman;serif"/>
                <w:b w:val="false"/>
                <w:color w:val="000000"/>
                <w:sz w:val="24"/>
              </w:rPr>
              <w:t>: The ratio of the remainder of item 1 minus item 2 to item 3:</w:t>
            </w:r>
          </w:p>
        </w:tc>
        <w:tc>
          <w:tcPr>
            <w:tcW w:w="1324"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color w:val="000000"/>
                <w:sz w:val="24"/>
              </w:rPr>
            </w:pPr>
            <w:r>
              <w:rPr>
                <w:rFonts w:ascii="Times New Roman;serif" w:hAnsi="Times New Roman;serif"/>
                <w:b/>
                <w:color w:val="000000"/>
                <w:sz w:val="24"/>
              </w:rPr>
              <w:t>[____]:1.00</w:t>
            </w:r>
          </w:p>
        </w:tc>
      </w:tr>
    </w:tbl>
    <w:p>
      <w:pPr>
        <w:pStyle w:val="TextBody"/>
        <w:bidi w:val="0"/>
        <w:spacing w:before="0" w:after="0"/>
        <w:jc w:val="left"/>
        <w:rPr/>
      </w:pPr>
      <w:r>
        <w:rPr/>
      </w:r>
    </w:p>
    <w:p>
      <w:pPr>
        <w:pStyle w:val="TextBody"/>
        <w:bidi w:val="0"/>
        <w:spacing w:lineRule="auto" w:line="288"/>
        <w:jc w:val="both"/>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In the case of clause (x) and (z), to the extent not overdue for a period of more than one hundred and twenty (120) days or, if overdue for more than one hundred and twenty (120) days, as to which a dispute exists and adequate reserves in conformity with GAAP have been established on the books of such Person.</w:t>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8"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C-9</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ATTACHMENT 4</w:t>
        <w:br/>
        <w:br/>
        <w:t>[TO</w:t>
        <w:br/>
        <w:br/>
        <w:t>COMPLIANCE CERTIFICATE]</w:t>
      </w:r>
      <w:r>
        <w:rPr>
          <w:rFonts w:ascii="Times New Roman;serif" w:hAnsi="Times New Roman;serif"/>
          <w:b w:val="false"/>
          <w:color w:val="000000"/>
          <w:sz w:val="16"/>
        </w:rPr>
        <w:t>13</w:t>
      </w:r>
    </w:p>
    <w:tbl>
      <w:tblPr>
        <w:tblW w:w="10205" w:type="dxa"/>
        <w:jc w:val="left"/>
        <w:tblInd w:w="0" w:type="dxa"/>
        <w:tblLayout w:type="fixed"/>
        <w:tblCellMar>
          <w:top w:w="28" w:type="dxa"/>
          <w:left w:w="28" w:type="dxa"/>
          <w:bottom w:w="28" w:type="dxa"/>
          <w:right w:w="28" w:type="dxa"/>
        </w:tblCellMar>
      </w:tblPr>
      <w:tblGrid>
        <w:gridCol w:w="190"/>
        <w:gridCol w:w="165"/>
        <w:gridCol w:w="165"/>
        <w:gridCol w:w="3005"/>
        <w:gridCol w:w="3005"/>
        <w:gridCol w:w="3010"/>
        <w:gridCol w:w="189"/>
        <w:gridCol w:w="189"/>
        <w:gridCol w:w="287"/>
      </w:tblGrid>
      <w:tr>
        <w:trPr/>
        <w:tc>
          <w:tcPr>
            <w:tcW w:w="19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bottom w:val="single" w:sz="4" w:space="0" w:color="000000"/>
              <w:right w:val="single" w:sz="4" w:space="0" w:color="000000"/>
            </w:tcBorders>
            <w:shd w:fill="F2F2F2" w:val="clear"/>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EXCESS CASH FLOW</w:t>
            </w:r>
          </w:p>
        </w:tc>
      </w:tr>
      <w:tr>
        <w:trPr/>
        <w:tc>
          <w:tcPr>
            <w:tcW w:w="5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w:t>
            </w:r>
          </w:p>
        </w:tc>
        <w:tc>
          <w:tcPr>
            <w:tcW w:w="90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u w:val="single"/>
              </w:rPr>
            </w:pPr>
            <w:r>
              <w:rPr>
                <w:rFonts w:ascii="Times New Roman;serif" w:hAnsi="Times New Roman;serif"/>
                <w:b/>
                <w:color w:val="000000"/>
                <w:sz w:val="24"/>
                <w:u w:val="single"/>
              </w:rPr>
              <w:t>Determination of Excess Cash Flow</w:t>
            </w:r>
          </w:p>
        </w:tc>
        <w:tc>
          <w:tcPr>
            <w:tcW w:w="6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With respect to the Issuer and its Restricted Subsidiaries, the sum of the amounts for such period (without duplication) of:</w:t>
            </w:r>
          </w:p>
        </w:tc>
        <w:tc>
          <w:tcPr>
            <w:tcW w:w="6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Consolidated Operating Cash Flow;</w:t>
            </w:r>
          </w:p>
        </w:tc>
        <w:tc>
          <w:tcPr>
            <w:tcW w:w="66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Plus</w:t>
            </w:r>
            <w:r>
              <w:rPr>
                <w:rFonts w:ascii="Times New Roman;serif" w:hAnsi="Times New Roman;serif"/>
                <w:b w:val="false"/>
                <w:color w:val="000000"/>
                <w:sz w:val="24"/>
              </w:rPr>
              <w:t>:</w:t>
            </w:r>
          </w:p>
        </w:tc>
        <w:tc>
          <w:tcPr>
            <w:tcW w:w="6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(b)    without duplication and excluding any amounts that already increased Consolidated Operating Cash Flow pursuant to the definition thereof, cash proceeds received from the exercise of stock options; and</w:t>
            </w:r>
          </w:p>
        </w:tc>
        <w:tc>
          <w:tcPr>
            <w:tcW w:w="66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(c)    an amount equal to 66.7% of the Net Cash Proceeds (after commissions to agents and other associated ATM expenses) received by the Issuer and its Restricted Subsidiaries under any “at-the-market” equity distribution program during such Excess Cash Flow Period;</w:t>
            </w:r>
          </w:p>
        </w:tc>
        <w:tc>
          <w:tcPr>
            <w:tcW w:w="66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u w:val="single"/>
              </w:rPr>
              <w:t>Minus</w:t>
            </w:r>
            <w:r>
              <w:rPr>
                <w:color w:val="000000"/>
              </w:rPr>
              <w:t xml:space="preserve"> </w:t>
            </w:r>
            <w:r>
              <w:rPr>
                <w:rFonts w:ascii="Times New Roman;serif" w:hAnsi="Times New Roman;serif"/>
                <w:b w:val="false"/>
                <w:color w:val="000000"/>
                <w:sz w:val="24"/>
              </w:rPr>
              <w:t>(without duplication, the sum of the amounts of):</w:t>
            </w:r>
          </w:p>
        </w:tc>
        <w:tc>
          <w:tcPr>
            <w:tcW w:w="665"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    the amount of any employment taxes paid in cash in such Excess Cash Flow Period in connection with any long-term employee equity incentive compensation program or other stock-based employee compensation program;</w:t>
            </w:r>
          </w:p>
        </w:tc>
        <w:tc>
          <w:tcPr>
            <w:tcW w:w="66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2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(e)    repurchases of Common Stock in connection with any stock-based employee compensation in such Excess Cash Flow Period;</w:t>
            </w:r>
          </w:p>
        </w:tc>
        <w:tc>
          <w:tcPr>
            <w:tcW w:w="665"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520"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02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(f)    Capital Expenditures during such Excess Cash Flow Period used or useful in the business engaged in by the Issuer and its Subsidiaries on the Closing Date;</w:t>
            </w:r>
          </w:p>
        </w:tc>
        <w:tc>
          <w:tcPr>
            <w:tcW w:w="665"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lineRule="auto" w:line="288"/>
        <w:jc w:val="both"/>
        <w:rPr/>
      </w:pPr>
      <w:r>
        <w:rPr>
          <w:rFonts w:ascii="Times New Roman;serif" w:hAnsi="Times New Roman;serif"/>
          <w:b w:val="false"/>
          <w:color w:val="000000"/>
          <w:sz w:val="13"/>
        </w:rPr>
        <w:t>13</w:t>
      </w:r>
      <w:r>
        <w:rPr>
          <w:color w:val="000000"/>
        </w:rPr>
        <w:t xml:space="preserve"> </w:t>
      </w:r>
      <w:r>
        <w:rPr>
          <w:rFonts w:ascii="Times New Roman;serif" w:hAnsi="Times New Roman;serif"/>
          <w:b w:val="false"/>
          <w:color w:val="000000"/>
          <w:sz w:val="20"/>
        </w:rPr>
        <w:t>To be inserted only in connection with the delivery of annual financial statements pursuant to Section 5.03(a) of the Indenture, starting with the first full fiscal year after the Closing Date.</w:t>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9"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21"/>
        <w:gridCol w:w="192"/>
        <w:gridCol w:w="192"/>
        <w:gridCol w:w="3073"/>
        <w:gridCol w:w="2866"/>
        <w:gridCol w:w="2858"/>
        <w:gridCol w:w="229"/>
        <w:gridCol w:w="229"/>
        <w:gridCol w:w="345"/>
      </w:tblGrid>
      <w:tr>
        <w:trPr/>
        <w:tc>
          <w:tcPr>
            <w:tcW w:w="22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shd w:fill="F2F2F2"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EXCESS CASH FLOW</w:t>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pPr>
            <w:r>
              <w:rPr>
                <w:rFonts w:ascii="Times New Roman;serif" w:hAnsi="Times New Roman;serif"/>
                <w:b w:val="false"/>
                <w:color w:val="000000"/>
                <w:sz w:val="24"/>
              </w:rPr>
              <w:t>(g)    any repayments, retirements, redemptions or other repurchases of any ABL Obligations in such Excess Cash Flow Period;</w:t>
            </w:r>
            <w:r>
              <w:rPr>
                <w:rFonts w:ascii="Times New Roman;serif" w:hAnsi="Times New Roman;serif"/>
                <w:b w:val="false"/>
                <w:color w:val="000000"/>
                <w:sz w:val="16"/>
              </w:rPr>
              <w:t>14</w:t>
            </w:r>
          </w:p>
        </w:tc>
        <w:tc>
          <w:tcPr>
            <w:tcW w:w="80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(h)    any charges in respect of Capital Lease Obligations or other lease obligations in such Excess Cash Flow Period;</w:t>
            </w:r>
          </w:p>
        </w:tc>
        <w:tc>
          <w:tcPr>
            <w:tcW w:w="80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    debt issuance costs including in respect of Refinanced Debt in such Excess Cash Flow Period;</w:t>
            </w:r>
          </w:p>
        </w:tc>
        <w:tc>
          <w:tcPr>
            <w:tcW w:w="80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(j)    payments on short-term Indebtedness and payments on long-term liabilities (other than Indebtedness) in such Excess Cash Flow Period;</w:t>
            </w:r>
          </w:p>
        </w:tc>
        <w:tc>
          <w:tcPr>
            <w:tcW w:w="80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(k)    any decrease in cash as a result of impacts of foreign exchange rates (but plus any amount of an increase in cash as a result thereto) in such Excess Cash Flow Period;</w:t>
            </w:r>
          </w:p>
        </w:tc>
        <w:tc>
          <w:tcPr>
            <w:tcW w:w="80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(l)    any contingent liability payments (including Earn-Outs) and any Investments, in each case, made in cash and permitted to be made hereunder in such Excess Cash Flow Period; and</w:t>
            </w:r>
          </w:p>
        </w:tc>
        <w:tc>
          <w:tcPr>
            <w:tcW w:w="803"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r>
        <w:trPr/>
        <w:tc>
          <w:tcPr>
            <w:tcW w:w="605"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(m)    any Taxes paid by the Issuer and its Restricted Subsidiaries in such Excess Cash Flow Period.</w:t>
            </w:r>
          </w:p>
        </w:tc>
        <w:tc>
          <w:tcPr>
            <w:tcW w:w="80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Excess Cash Flow:</w:t>
            </w:r>
          </w:p>
        </w:tc>
        <w:tc>
          <w:tcPr>
            <w:tcW w:w="803" w:type="dxa"/>
            <w:gridSpan w:val="3"/>
            <w:tcBorders>
              <w:top w:val="single" w:sz="4" w:space="0" w:color="000000"/>
              <w:left w:val="single" w:sz="4" w:space="0" w:color="000000"/>
              <w:bottom w:val="single" w:sz="4" w:space="0" w:color="000000"/>
              <w:right w:val="single" w:sz="4" w:space="0" w:color="000000"/>
            </w:tcBorders>
            <w:tcMar>
              <w:top w:w="30" w:type="dxa"/>
              <w:bottom w:w="30" w:type="dxa"/>
              <w:right w:w="75" w:type="dxa"/>
            </w:tcMar>
            <w:vAlign w:val="center"/>
          </w:tcPr>
          <w:p>
            <w:pPr>
              <w:pStyle w:val="TableContents"/>
              <w:bidi w:val="0"/>
              <w:spacing w:lineRule="auto" w:line="240" w:before="0" w:after="283"/>
              <w:jc w:val="right"/>
              <w:rPr>
                <w:rFonts w:ascii="Times New Roman;serif" w:hAnsi="Times New Roman;serif"/>
                <w:b w:val="false"/>
                <w:color w:val="000000"/>
                <w:sz w:val="24"/>
              </w:rPr>
            </w:pPr>
            <w:r>
              <w:rPr>
                <w:rFonts w:ascii="Times New Roman;serif" w:hAnsi="Times New Roman;serif"/>
                <w:b w:val="false"/>
                <w:color w:val="000000"/>
                <w:sz w:val="24"/>
              </w:rPr>
              <w:t>$________</w:t>
            </w:r>
          </w:p>
        </w:tc>
      </w:tr>
    </w:tbl>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val="false"/>
          <w:color w:val="000000"/>
          <w:sz w:val="13"/>
        </w:rPr>
        <w:t>14</w:t>
      </w:r>
      <w:r>
        <w:rPr>
          <w:color w:val="000000"/>
        </w:rPr>
        <w:t xml:space="preserve"> </w:t>
      </w:r>
      <w:r>
        <w:rPr>
          <w:rFonts w:ascii="Times New Roman;serif" w:hAnsi="Times New Roman;serif"/>
          <w:b w:val="false"/>
          <w:color w:val="000000"/>
          <w:sz w:val="20"/>
        </w:rPr>
        <w:t>Any such repayments, retirements, redemptions or other repurchases in excess of $15,000,000 in any Excess Cash Flow Period shall not be deducted pursuant to this clause (g) unless accompanied by a permanent reduction in the commitments under the ABL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0"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C-11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INTEREST ELECTION REQUEST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 Paying Agent and Calculation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333 Commerce Street, Suite 900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Nashville, Tennessee 37201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Wally Jones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 20[●]</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jc w:val="both"/>
        <w:rPr/>
      </w:pPr>
      <w:r>
        <w:rPr>
          <w:rFonts w:ascii="Times New Roman;serif" w:hAnsi="Times New Roman;serif"/>
          <w:b w:val="false"/>
          <w:color w:val="000000"/>
          <w:sz w:val="24"/>
        </w:rPr>
        <w:t>Reference is made to the Indenture dated as of September 29, 2026 (as amended, supplemented, modified, refinanced and/or restated from time to time,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xml:space="preserve">) by and among </w:t>
      </w:r>
      <w:r>
        <w:rPr>
          <w:rFonts w:ascii="Times New Roman;serif" w:hAnsi="Times New Roman;serif"/>
          <w:b/>
          <w:color w:val="000000"/>
          <w:sz w:val="24"/>
        </w:rPr>
        <w:t>KLX ENERGY SERVICES HOLDINGS, INC.</w:t>
      </w:r>
      <w:r>
        <w:rPr>
          <w:rFonts w:ascii="Times New Roman;serif" w:hAnsi="Times New Roman;serif"/>
          <w:b w:val="false"/>
          <w:color w:val="000000"/>
          <w:sz w:val="24"/>
        </w:rPr>
        <w:t>, a Delaware corporation (the “</w:t>
      </w:r>
      <w:r>
        <w:rPr>
          <w:rFonts w:ascii="Times New Roman;serif" w:hAnsi="Times New Roman;serif"/>
          <w:b/>
          <w:color w:val="000000"/>
          <w:sz w:val="24"/>
        </w:rPr>
        <w:t>Issuer</w:t>
      </w:r>
      <w:r>
        <w:rPr>
          <w:color w:val="000000"/>
        </w:rPr>
        <w:t>”</w:t>
      </w:r>
      <w:r>
        <w:rPr>
          <w:rFonts w:ascii="Times New Roman;serif" w:hAnsi="Times New Roman;serif"/>
          <w:b w:val="false"/>
          <w:color w:val="000000"/>
          <w:sz w:val="24"/>
        </w:rPr>
        <w:t>), each of the Guarantors from time to time party thereto, and U.S. BANK TRUST COMPANY, NATIONAL ASSOCIATION, as trustee (in such capacity, together with its successors and assigns,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as notes collateral agent for the Secured Parties. Capitalized terms used herein and not otherwise defined herein shall have the meanings assigned to such teams in the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Pursuant to Section 2.13(a) of the Indenture, undersigned Issuer hereby request[s] (select one):</w:t>
      </w:r>
    </w:p>
    <w:p>
      <w:pPr>
        <w:pStyle w:val="TextBody"/>
        <w:bidi w:val="0"/>
        <w:spacing w:lineRule="auto" w:line="288" w:before="0" w:after="240"/>
        <w:ind w:left="0" w:right="0" w:hanging="720"/>
        <w:jc w:val="left"/>
        <w:rPr/>
      </w:pPr>
      <w:r>
        <w:rPr>
          <w:color w:val="000000"/>
        </w:rPr>
        <w:t>☐    </w:t>
      </w:r>
      <w:r>
        <w:rPr>
          <w:rFonts w:ascii="Times New Roman;serif" w:hAnsi="Times New Roman;serif"/>
          <w:b w:val="false"/>
          <w:color w:val="000000"/>
          <w:sz w:val="24"/>
        </w:rPr>
        <w:t>A conversion of the Notes from [ABR Notes][SOFR Notes] to [SOFR Notes][ABR Notes</w:t>
      </w:r>
    </w:p>
    <w:p>
      <w:pPr>
        <w:pStyle w:val="TextBody"/>
        <w:bidi w:val="0"/>
        <w:spacing w:lineRule="auto" w:line="288" w:before="0" w:after="240"/>
        <w:ind w:left="0" w:right="0" w:hanging="720"/>
        <w:jc w:val="left"/>
        <w:rPr/>
      </w:pPr>
      <w:r>
        <w:rPr>
          <w:color w:val="000000"/>
        </w:rPr>
        <w:t>☐    </w:t>
      </w:r>
      <w:r>
        <w:rPr>
          <w:rFonts w:ascii="Times New Roman;serif" w:hAnsi="Times New Roman;serif"/>
          <w:b w:val="false"/>
          <w:color w:val="000000"/>
          <w:sz w:val="24"/>
        </w:rPr>
        <w:t xml:space="preserve">A continuation of the Notes as [SOFR Notes][ABR Notes].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to be made on the terms set forth below:</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(A)    All outstanding Notes shall [convert][continue] as set forth herein.    </w:t>
      </w:r>
    </w:p>
    <w:p>
      <w:pPr>
        <w:pStyle w:val="TextBody"/>
        <w:bidi w:val="0"/>
        <w:spacing w:lineRule="auto" w:line="288" w:before="0" w:after="240"/>
        <w:ind w:left="0" w:right="0" w:hanging="720"/>
        <w:jc w:val="left"/>
        <w:rPr/>
      </w:pPr>
      <w:r>
        <w:rPr>
          <w:rFonts w:ascii="Times New Roman;serif" w:hAnsi="Times New Roman;serif"/>
          <w:b w:val="false"/>
          <w:color w:val="000000"/>
          <w:sz w:val="24"/>
          <w:shd w:fill="FFFFFF" w:val="clear"/>
        </w:rPr>
        <w:t>(B)    Interest Period:</w:t>
      </w:r>
      <w:r>
        <w:rPr>
          <w:rFonts w:ascii="Times New Roman;serif" w:hAnsi="Times New Roman;serif"/>
          <w:b w:val="false"/>
          <w:color w:val="000000"/>
          <w:sz w:val="16"/>
        </w:rPr>
        <w:t>15</w:t>
      </w:r>
      <w:r>
        <w:rPr>
          <w:color w:val="000000"/>
        </w:rPr>
        <w:t>    </w:t>
      </w:r>
      <w:r>
        <w:rPr>
          <w:color w:val="000000"/>
          <w:u w:val="single"/>
        </w:rPr>
        <w:t>    </w:t>
      </w:r>
    </w:p>
    <w:p>
      <w:pPr>
        <w:pStyle w:val="TextBody"/>
        <w:bidi w:val="0"/>
        <w:spacing w:lineRule="auto" w:line="288" w:before="0" w:after="240"/>
        <w:ind w:left="0" w:right="0" w:hanging="720"/>
        <w:jc w:val="left"/>
        <w:rPr/>
      </w:pPr>
      <w:r>
        <w:rPr>
          <w:rFonts w:ascii="Times New Roman;serif" w:hAnsi="Times New Roman;serif"/>
          <w:b w:val="false"/>
          <w:color w:val="000000"/>
          <w:sz w:val="24"/>
        </w:rPr>
        <w:t>(C)    Applicable Margin:    </w:t>
      </w:r>
      <w:r>
        <w:rPr>
          <w:color w:val="000000"/>
          <w:u w:val="single"/>
        </w:rPr>
        <w:t>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above request complies with the notice requirements set forth in the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undersigned Issuer hereby represents and warrants to the Trustee, the Paying Agent and the Calculation Agent that, on the date of this Interest Election and on the date of the related interest </w:t>
      </w:r>
    </w:p>
    <w:p>
      <w:pPr>
        <w:pStyle w:val="TextBody"/>
        <w:bidi w:val="0"/>
        <w:spacing w:lineRule="auto" w:line="288"/>
        <w:ind w:left="0" w:right="0" w:hanging="360"/>
        <w:jc w:val="left"/>
        <w:rPr/>
      </w:pPr>
      <w:r>
        <w:rPr>
          <w:rFonts w:ascii="Times New Roman;serif" w:hAnsi="Times New Roman;serif"/>
          <w:b w:val="false"/>
          <w:color w:val="000000"/>
          <w:sz w:val="13"/>
        </w:rPr>
        <w:t>15</w:t>
      </w:r>
      <w:r>
        <w:rPr>
          <w:color w:val="000000"/>
        </w:rPr>
        <w:t xml:space="preserve"> </w:t>
      </w:r>
      <w:r>
        <w:rPr>
          <w:rFonts w:ascii="Times New Roman;serif" w:hAnsi="Times New Roman;serif"/>
          <w:b w:val="false"/>
          <w:color w:val="000000"/>
          <w:sz w:val="20"/>
        </w:rPr>
        <w:t>Applicable for SOFR Notes only.</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1"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the conditions to such election set forth in the Indenture have been satisfied or waived and that such Interest Election is authorized or permitted by the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2"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D-2</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KLX ENERGY SERVICES HOLDINGS, INC.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Name: </w:t>
        <w:br/>
        <w:t xml:space="preserve">Title: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3"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D-3</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FORM OF PIK INTEREST ELECTION NOTICE</w:t>
      </w:r>
    </w:p>
    <w:p>
      <w:pPr>
        <w:pStyle w:val="TextBody"/>
        <w:bidi w:val="0"/>
        <w:spacing w:before="0" w:after="24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333 Commerce Street, Suite 900</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Nashville, Tennessee 37201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Wally Jones</w:t>
      </w:r>
    </w:p>
    <w:p>
      <w:pPr>
        <w:pStyle w:val="TextBody"/>
        <w:bidi w:val="0"/>
        <w:spacing w:before="0" w:after="240"/>
        <w:jc w:val="both"/>
        <w:rPr/>
      </w:pPr>
      <w:r>
        <w:rPr/>
      </w:r>
    </w:p>
    <w:p>
      <w:pPr>
        <w:pStyle w:val="TextBody"/>
        <w:bidi w:val="0"/>
        <w:spacing w:before="0" w:after="240"/>
        <w:jc w:val="both"/>
        <w:rPr/>
      </w:pPr>
      <w:r>
        <w:rPr/>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 20[●]</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undersigned, KLX Energy Services Holdings, Inc., a Delaware corporation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refers to that certain Amended and Restated Indenture, dated as of September 29, 2026 (as further amended, amended and restated, supplemented or otherwise modified from time to time,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by and among the Issuer, the Guarantors party thereto, and U.S. Bank Trust Company, National Association, 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xml:space="preserve">) and as collateral agent. Unless otherwise defined herein, capitalized terms used in this PIK Interest Election Notice have the meanings ascribed thereto in the Indenture.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This notice constitutes a PIK Interest Election Notice, and the Issuer hereby gives you notice pursuant to </w:t>
      </w:r>
      <w:r>
        <w:rPr>
          <w:rFonts w:ascii="Times New Roman;serif" w:hAnsi="Times New Roman;serif"/>
          <w:b w:val="false"/>
          <w:color w:val="000000"/>
          <w:sz w:val="24"/>
          <w:u w:val="single"/>
        </w:rPr>
        <w:t>Section 2.13(e)</w:t>
      </w:r>
      <w:r>
        <w:rPr>
          <w:color w:val="000000"/>
        </w:rPr>
        <w:t xml:space="preserve"> </w:t>
      </w:r>
      <w:r>
        <w:rPr>
          <w:rFonts w:ascii="Times New Roman;serif" w:hAnsi="Times New Roman;serif"/>
          <w:b w:val="false"/>
          <w:color w:val="000000"/>
          <w:sz w:val="24"/>
        </w:rPr>
        <w:t>of the Indenture, in respect of the [Interest Period commencing [__], 202[ ], the Issuer is electing to pay PIK Interest on the applicable Interest Payment Date for such Interest Period]</w:t>
      </w:r>
      <w:r>
        <w:rPr>
          <w:rFonts w:ascii="Times New Roman;serif" w:hAnsi="Times New Roman;serif"/>
          <w:b w:val="false"/>
          <w:color w:val="000000"/>
          <w:sz w:val="16"/>
        </w:rPr>
        <w:t>16</w:t>
      </w:r>
      <w:r>
        <w:rPr>
          <w:rFonts w:ascii="Times New Roman;serif" w:hAnsi="Times New Roman;serif"/>
          <w:b w:val="false"/>
          <w:color w:val="000000"/>
          <w:sz w:val="24"/>
        </w:rPr>
        <w:t>[ period commencing on the Interest Payment Date of [__], 202[ ], the Issuer is electing to pay PIK Interest on the next Interest Payment Date]</w:t>
      </w:r>
      <w:r>
        <w:rPr>
          <w:rFonts w:ascii="Times New Roman;serif" w:hAnsi="Times New Roman;serif"/>
          <w:b w:val="false"/>
          <w:color w:val="000000"/>
          <w:sz w:val="16"/>
        </w:rPr>
        <w:t>17</w:t>
      </w:r>
      <w:r>
        <w:rPr>
          <w:color w:val="000000"/>
        </w:rPr>
        <w:t xml:space="preserve"> </w:t>
      </w:r>
      <w:r>
        <w:rPr>
          <w:rFonts w:ascii="Times New Roman;serif" w:hAnsi="Times New Roman;serif"/>
          <w:b w:val="false"/>
          <w:color w:val="000000"/>
          <w:sz w:val="24"/>
        </w:rPr>
        <w:t>and it shall pay such interest on the Notes due on such Interest Payment Date as follows for the upcoming Interest Payment Date of [                    ]</w:t>
      </w:r>
      <w:r>
        <w:rPr>
          <w:rFonts w:ascii="Times New Roman;serif" w:hAnsi="Times New Roman;serif"/>
          <w:b w:val="false"/>
          <w:color w:val="000000"/>
          <w:sz w:val="16"/>
        </w:rPr>
        <w:t>18</w:t>
      </w:r>
      <w:r>
        <w:rPr>
          <w:color w:val="000000"/>
        </w:rPr>
        <w:t xml:space="preserve"> </w:t>
      </w:r>
      <w:r>
        <w:rPr>
          <w:rFonts w:ascii="Times New Roman;serif" w:hAnsi="Times New Roman;serif"/>
          <w:b w:val="false"/>
          <w:color w:val="000000"/>
          <w:sz w:val="24"/>
        </w:rPr>
        <w:t xml:space="preserve">(the “Applicable PIK Interest Payment Date”):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1.    [___]% shall be paid in cash</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2.    [___]% shall be paid in kind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respect to the Global Notes currently outstanding, the Issuer hereby directs the Trustee to adjust the Register to reflect an increase in the aggregate outstanding principal amount of the Notes by the amount of PIK Interest required to be paid on the Global Notes for the Interest Payment Date referenced above in the manner set forth above, rounded up to the nearest whole Dollar.</w:t>
      </w:r>
    </w:p>
    <w:p>
      <w:pPr>
        <w:pStyle w:val="TextBody"/>
        <w:bidi w:val="0"/>
        <w:spacing w:lineRule="auto" w:line="288" w:before="0" w:after="0"/>
        <w:jc w:val="both"/>
        <w:rPr/>
      </w:pPr>
      <w:r>
        <w:rPr>
          <w:rFonts w:ascii="Times New Roman;serif" w:hAnsi="Times New Roman;serif"/>
          <w:b w:val="false"/>
          <w:color w:val="000000"/>
          <w:sz w:val="13"/>
        </w:rPr>
        <w:t>16</w:t>
      </w:r>
      <w:r>
        <w:rPr>
          <w:color w:val="000000"/>
        </w:rPr>
        <w:t xml:space="preserve"> </w:t>
      </w:r>
      <w:r>
        <w:rPr>
          <w:rFonts w:ascii="Times New Roman;serif" w:hAnsi="Times New Roman;serif"/>
          <w:b w:val="false"/>
          <w:color w:val="000000"/>
          <w:sz w:val="20"/>
        </w:rPr>
        <w:t>For SOFR Elections.</w:t>
      </w:r>
    </w:p>
    <w:p>
      <w:pPr>
        <w:pStyle w:val="TextBody"/>
        <w:bidi w:val="0"/>
        <w:spacing w:lineRule="auto" w:line="288" w:before="0" w:after="0"/>
        <w:jc w:val="both"/>
        <w:rPr/>
      </w:pPr>
      <w:r>
        <w:rPr>
          <w:rFonts w:ascii="Times New Roman;serif" w:hAnsi="Times New Roman;serif"/>
          <w:b w:val="false"/>
          <w:color w:val="000000"/>
          <w:sz w:val="13"/>
        </w:rPr>
        <w:t>17</w:t>
      </w:r>
      <w:r>
        <w:rPr>
          <w:color w:val="000000"/>
        </w:rPr>
        <w:t xml:space="preserve"> </w:t>
      </w:r>
      <w:r>
        <w:rPr>
          <w:rFonts w:ascii="Times New Roman;serif" w:hAnsi="Times New Roman;serif"/>
          <w:b w:val="false"/>
          <w:color w:val="000000"/>
          <w:sz w:val="20"/>
        </w:rPr>
        <w:t>For ABR Elections.</w:t>
      </w:r>
    </w:p>
    <w:p>
      <w:pPr>
        <w:pStyle w:val="TextBody"/>
        <w:bidi w:val="0"/>
        <w:spacing w:lineRule="auto" w:line="288"/>
        <w:jc w:val="both"/>
        <w:rPr/>
      </w:pPr>
      <w:r>
        <w:rPr>
          <w:rFonts w:ascii="Times New Roman;serif" w:hAnsi="Times New Roman;serif"/>
          <w:b w:val="false"/>
          <w:color w:val="000000"/>
          <w:sz w:val="13"/>
        </w:rPr>
        <w:t>18</w:t>
      </w:r>
      <w:r>
        <w:rPr>
          <w:color w:val="000000"/>
        </w:rPr>
        <w:t xml:space="preserve"> </w:t>
      </w:r>
      <w:r>
        <w:rPr>
          <w:rFonts w:ascii="Times New Roman;serif" w:hAnsi="Times New Roman;serif"/>
          <w:b w:val="false"/>
          <w:color w:val="000000"/>
          <w:sz w:val="20"/>
        </w:rPr>
        <w:t>For SOFR Elections, include the Interest Payment Date for the applicable Interest Period. For ABR Elections, include the subsequent Interest Payment Date for which such election applies.</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4"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E-1</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to the definitive Notes currently outstanding on or before ten (10) days prior to the Applicable PIK Interest Payment Date, the Issuer shall deliver to the Trustee executed PIK Notes accompanied by an Authentication Order directing the authentication of such PIK Notes on the Applicable PIK Interest Payment Date reflecting an increase in the aggregate outstanding principal amount of the Notes by the amount of PIK Interest required to be paid on the definitive Notes for the Applicable PIK Interest Payment Date, rounded up to the nearest whole Dollar.]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Delivery of an executed counterpart of this PIK Interest Election Notice by electronic transmission shall be effective as delivery of an original executed counterpart of this PIK Interest Election Notice.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5"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E-2</w:t>
                      </w:r>
                    </w:p>
                  </w:txbxContent>
                </v:textbox>
                <w10:wrap type="none"/>
              </v:rect>
            </w:pict>
          </mc:Fallback>
        </mc:AlternateConten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KLX ENERGY SERVICES HOLDINGS, INC.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t>
        <w:br/>
        <w:t>Title:    </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6"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E-3</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SUPPLEMENTAL INDENTURE</w:t>
        <w:br/>
        <w:t>TO BE DELIVERED BY SUBSEQUENT GUARANTORS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Supplemental Indenture (this “</w:t>
      </w:r>
      <w:r>
        <w:rPr>
          <w:rFonts w:ascii="Times New Roman;serif" w:hAnsi="Times New Roman;serif"/>
          <w:b/>
          <w:color w:val="000000"/>
          <w:sz w:val="24"/>
        </w:rPr>
        <w:t>Supplemental Indenture</w:t>
      </w:r>
      <w:r>
        <w:rPr>
          <w:color w:val="000000"/>
        </w:rPr>
        <w:t>”</w:t>
      </w:r>
      <w:r>
        <w:rPr>
          <w:rFonts w:ascii="Times New Roman;serif" w:hAnsi="Times New Roman;serif"/>
          <w:b w:val="false"/>
          <w:color w:val="000000"/>
          <w:sz w:val="24"/>
        </w:rPr>
        <w:t>), dated as of [</w:t>
      </w:r>
      <w:r>
        <w:rPr>
          <w:color w:val="000000"/>
          <w:u w:val="single"/>
        </w:rPr>
        <w:t>                    </w:t>
      </w:r>
      <w:r>
        <w:rPr>
          <w:rFonts w:ascii="Times New Roman;serif" w:hAnsi="Times New Roman;serif"/>
          <w:b w:val="false"/>
          <w:color w:val="000000"/>
          <w:sz w:val="24"/>
        </w:rPr>
        <w:t>] [</w:t>
      </w:r>
      <w:r>
        <w:rPr>
          <w:color w:val="000000"/>
          <w:u w:val="single"/>
        </w:rPr>
        <w:t>     </w:t>
      </w:r>
      <w:r>
        <w:rPr>
          <w:rFonts w:ascii="Times New Roman;serif" w:hAnsi="Times New Roman;serif"/>
          <w:b w:val="false"/>
          <w:color w:val="000000"/>
          <w:sz w:val="24"/>
        </w:rPr>
        <w:t>], 20[</w:t>
      </w:r>
      <w:r>
        <w:rPr>
          <w:color w:val="000000"/>
          <w:u w:val="single"/>
        </w:rPr>
        <w:t>     </w:t>
      </w:r>
      <w:r>
        <w:rPr>
          <w:rFonts w:ascii="Times New Roman;serif" w:hAnsi="Times New Roman;serif"/>
          <w:b w:val="false"/>
          <w:color w:val="000000"/>
          <w:sz w:val="24"/>
        </w:rPr>
        <w:t xml:space="preserve">], among </w:t>
      </w:r>
      <w:r>
        <w:rPr>
          <w:color w:val="000000"/>
          <w:u w:val="single"/>
        </w:rPr>
        <w:t>                              </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Guaranteeing Subsidiary</w:t>
      </w:r>
      <w:r>
        <w:rPr>
          <w:color w:val="000000"/>
        </w:rPr>
        <w:t>”</w:t>
      </w:r>
      <w:r>
        <w:rPr>
          <w:rFonts w:ascii="Times New Roman;serif" w:hAnsi="Times New Roman;serif"/>
          <w:b w:val="false"/>
          <w:color w:val="000000"/>
          <w:sz w:val="24"/>
        </w:rPr>
        <w:t>), a subsidiary of KLX Energy Services Holdings,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U.S. Bank Trust Company, National Association, as trustee (the “</w:t>
      </w:r>
      <w:r>
        <w:rPr>
          <w:rFonts w:ascii="Times New Roman;serif" w:hAnsi="Times New Roman;serif"/>
          <w:b/>
          <w:color w:val="000000"/>
          <w:sz w:val="24"/>
        </w:rPr>
        <w:t>Trustee</w:t>
      </w:r>
      <w:r>
        <w:rPr>
          <w:color w:val="000000"/>
        </w:rPr>
        <w:t>”</w:t>
      </w:r>
      <w:r>
        <w:rPr>
          <w:rFonts w:ascii="Times New Roman;serif" w:hAnsi="Times New Roman;serif"/>
          <w:b w:val="false"/>
          <w:color w:val="000000"/>
          <w:sz w:val="24"/>
        </w:rPr>
        <w:t>) and U.S. Bank Trust Company, National Association, as notes collateral agent (the “</w:t>
      </w:r>
      <w:r>
        <w:rPr>
          <w:rFonts w:ascii="Times New Roman;serif" w:hAnsi="Times New Roman;serif"/>
          <w:b/>
          <w:color w:val="000000"/>
          <w:sz w:val="24"/>
        </w:rPr>
        <w:t>Collateral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each of the Issuer and the Guarantors (as defined in the Indenture referred to below) has heretofore executed and delivered to the Trustee an amended and restated indenture (the “</w:t>
      </w:r>
      <w:r>
        <w:rPr>
          <w:rFonts w:ascii="Times New Roman;serif" w:hAnsi="Times New Roman;serif"/>
          <w:b/>
          <w:color w:val="000000"/>
          <w:sz w:val="24"/>
        </w:rPr>
        <w:t>Indenture</w:t>
      </w:r>
      <w:r>
        <w:rPr>
          <w:color w:val="000000"/>
        </w:rPr>
        <w:t>”</w:t>
      </w:r>
      <w:r>
        <w:rPr>
          <w:rFonts w:ascii="Times New Roman;serif" w:hAnsi="Times New Roman;serif"/>
          <w:b w:val="false"/>
          <w:color w:val="000000"/>
          <w:sz w:val="24"/>
        </w:rPr>
        <w:t>), dated as of September 29, 2026, providing for the issuance of an unlimited aggregate principal amount of Senior Secured Floating Rate Cash / PIK Notes due 2030 (the “</w:t>
      </w:r>
      <w:r>
        <w:rPr>
          <w:rFonts w:ascii="Times New Roman;serif" w:hAnsi="Times New Roman;serif"/>
          <w:b/>
          <w:color w:val="000000"/>
          <w:sz w:val="24"/>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9.01 of the Indenture, the Trustee and the Collateral Agent are authorized to execute and deliver this Supplemental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Guarantor</w:t>
      </w:r>
      <w:r>
        <w:rPr>
          <w:rFonts w:ascii="Times New Roman;serif" w:hAnsi="Times New Roman;serif"/>
          <w:b w:val="false"/>
          <w:color w:val="000000"/>
          <w:sz w:val="24"/>
        </w:rPr>
        <w:t>. The Guaranteeing Subsidiary hereby agrees to be a Guarantor under the Indenture and to be bound by the terms of the Indenture applicable to Guarantors, including Article XII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WILL BE GOVERNED BY, AND CONSTRUED IN ACCORDANCE WITH, THE LAWS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OF THE GUARANTEEING SUBSIDIARY, THE TRUSTEE AND THE COLLATERAL AGENT HEREBY IRREVOCABLY WAIVES, TO THE FULLEST EXTENT PERMITTED BY APPLICABLE LAW, ANY AND ALL RIGHT TO TRIAL BY JURY IN ANY LEGAL PROCEEDING ARISING OUT OF OR RELATING </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7"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THIS SUPPLEMENTAL INDENTURE, THE INDENTURE, THE NOTES, THE GUARANTEES OR THE TRANSACTIONS CONTEMPLATED HEREBY OR THEREBY.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parties may sign any number of copies of this Supplemental Indenture. Each signed copy shall be an original, but all of them together represent the same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of the Sections of this Supplemental Indenture have been inserted for convenience of reference only, are not to be considered a part of this Supplemental Indenture and shall in no way modify or restrict any of the terms or provisions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The Trustee and the Collateral Agent</w:t>
      </w:r>
      <w:r>
        <w:rPr>
          <w:rFonts w:ascii="Times New Roman;serif" w:hAnsi="Times New Roman;serif"/>
          <w:b w:val="false"/>
          <w:color w:val="000000"/>
          <w:sz w:val="24"/>
        </w:rPr>
        <w:t>. In entering into this Supplemental Indenture, the Trustee and the Collateral Agent shall be entitled to the benefit of every provision of the Indenture relating to the conduct or affecting the liability of or affording protection to the Trustee or the Collateral Agent, as applicable, whether or not elsewhere herein so provided. Neither the Trustee nor the Collateral Agent makes any representations as to the validity, execution or sufficiency of this Supplemental Indenture other than as to the validity of its execution and delivery by the Trustee and the Collateral Agent. Neither the Trustee nor the Collateral Agent assumes any responsibility for the correctness of the recitals contained herein, which shall be taken as a statement of the Guaranteeing Subsidiary.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all as of the date first above written.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GUARANTEEING SUBSIDIARY]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U.S. BANK TRUST COMPANY, NATIONAL ASSOCIATION, as Trustee and Collateral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Title: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8"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F-2</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SECURITY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29"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G-1</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4"/>
        </w:rPr>
      </w:pPr>
      <w:r>
        <w:rPr>
          <w:rFonts w:ascii="Times New Roman;serif" w:hAnsi="Times New Roman;serif"/>
          <w:b/>
          <w:color w:val="000000"/>
          <w:sz w:val="24"/>
        </w:rPr>
        <w:t>EXHIBIT H</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FORM OF ABL/NOTE INTERCREDITOR AGREEMENT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[See attached].</w:t>
      </w:r>
    </w:p>
    <w:p>
      <w:pPr>
        <w:pStyle w:val="TextBody"/>
        <w:bidi w:val="0"/>
        <w:spacing w:before="0" w:after="240"/>
        <w:jc w:val="center"/>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2"/>
        </w:rPr>
      </w:pPr>
      <w:r>
        <w:rPr>
          <w:rFonts w:ascii="Times New Roman;serif" w:hAnsi="Times New Roman;serif"/>
          <w:b/>
          <w:i/>
          <w:color w:val="000000"/>
          <w:sz w:val="22"/>
        </w:rPr>
        <w:t>Execution Version</w:t>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0"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96.3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Exhibit H-1</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REGISTRATION RIGHTS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Registration Rights Agreement (this “</w:t>
      </w:r>
      <w:r>
        <w:rPr>
          <w:rFonts w:ascii="Times New Roman;serif" w:hAnsi="Times New Roman;serif"/>
          <w:b/>
          <w:i/>
          <w:color w:val="000000"/>
          <w:sz w:val="22"/>
        </w:rPr>
        <w:t>Agreement</w:t>
      </w:r>
      <w:r>
        <w:rPr>
          <w:color w:val="000000"/>
        </w:rPr>
        <w:t>”</w:t>
      </w:r>
      <w:r>
        <w:rPr>
          <w:rFonts w:ascii="Times New Roman;serif" w:hAnsi="Times New Roman;serif"/>
          <w:b w:val="false"/>
          <w:color w:val="000000"/>
          <w:sz w:val="22"/>
        </w:rPr>
        <w:t>) is made and entered into as of September 29, 2026, by and among KLX Energy Services Holdings, Inc., a Delaware corporation (“</w:t>
      </w:r>
      <w:r>
        <w:rPr>
          <w:rFonts w:ascii="Times New Roman;serif" w:hAnsi="Times New Roman;serif"/>
          <w:b/>
          <w:i/>
          <w:color w:val="000000"/>
          <w:sz w:val="22"/>
        </w:rPr>
        <w:t>Parent</w:t>
      </w:r>
      <w:r>
        <w:rPr>
          <w:color w:val="000000"/>
        </w:rPr>
        <w:t>”</w:t>
      </w:r>
      <w:r>
        <w:rPr>
          <w:rFonts w:ascii="Times New Roman;serif" w:hAnsi="Times New Roman;serif"/>
          <w:b w:val="false"/>
          <w:color w:val="000000"/>
          <w:sz w:val="22"/>
        </w:rPr>
        <w:t>), the stockholders listed on the signature pages hereto (each such party,</w:t>
      </w:r>
      <w:r>
        <w:rPr>
          <w:color w:val="000000"/>
        </w:rPr>
        <w:t xml:space="preserve"> </w:t>
      </w:r>
      <w:r>
        <w:rPr>
          <w:rFonts w:ascii="Times New Roman;serif" w:hAnsi="Times New Roman;serif"/>
          <w:b w:val="false"/>
          <w:color w:val="000000"/>
          <w:sz w:val="22"/>
        </w:rPr>
        <w:t>a “</w:t>
      </w:r>
      <w:r>
        <w:rPr>
          <w:rFonts w:ascii="Times New Roman;serif" w:hAnsi="Times New Roman;serif"/>
          <w:b/>
          <w:i/>
          <w:color w:val="000000"/>
          <w:sz w:val="22"/>
        </w:rPr>
        <w:t>Stockholder</w:t>
      </w:r>
      <w:r>
        <w:rPr>
          <w:color w:val="000000"/>
        </w:rPr>
        <w:t>”</w:t>
      </w:r>
      <w:r>
        <w:rPr>
          <w:rFonts w:ascii="Times New Roman;serif" w:hAnsi="Times New Roman;serif"/>
          <w:b w:val="false"/>
          <w:color w:val="000000"/>
          <w:sz w:val="22"/>
        </w:rPr>
        <w:t xml:space="preserve">) and any Permitted Assignee (as defined herein) who becomes a party to this Agreement by entering into a joinder agreement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 Parent, the Stockholders and any Permitted Assignee are sometimes referred to herein individually as a “</w:t>
      </w:r>
      <w:r>
        <w:rPr>
          <w:rFonts w:ascii="Times New Roman;serif" w:hAnsi="Times New Roman;serif"/>
          <w:b/>
          <w:i/>
          <w:color w:val="000000"/>
          <w:sz w:val="22"/>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i/>
          <w:color w:val="000000"/>
          <w:sz w:val="22"/>
        </w:rPr>
        <w:t>Parties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Parent and the Stockholders have entered into that certain Rights Offering Backstop Agreement, dated as August 6, 2026 (as the same may be amended or supplemented, the “</w:t>
      </w:r>
      <w:r>
        <w:rPr>
          <w:rFonts w:ascii="Times New Roman;serif" w:hAnsi="Times New Roman;serif"/>
          <w:b/>
          <w:i/>
          <w:color w:val="000000"/>
          <w:sz w:val="22"/>
        </w:rPr>
        <w:t>Backstop Agreement</w:t>
      </w:r>
      <w:r>
        <w:rPr>
          <w:color w:val="000000"/>
        </w:rPr>
        <w:t>”</w:t>
      </w:r>
      <w:r>
        <w:rPr>
          <w:rFonts w:ascii="Times New Roman;serif" w:hAnsi="Times New Roman;serif"/>
          <w:b w:val="false"/>
          <w:color w:val="000000"/>
          <w:sz w:val="22"/>
        </w:rPr>
        <w:t>), pursuant to which the Stockholders agreed to purchase from Parent, upon expiration of the Rights Offering (as defined in the Backstop Agreement), shares of Common Stock not otherwise sold in the Rights Offering through an exchange of such Stockholder’s Senior Secured Floating Rate Cash / PIK Notes due 2030 for such shares of Common Stock (the “</w:t>
      </w:r>
      <w:r>
        <w:rPr>
          <w:rFonts w:ascii="Times New Roman;serif" w:hAnsi="Times New Roman;serif"/>
          <w:b/>
          <w:i/>
          <w:color w:val="000000"/>
          <w:sz w:val="22"/>
        </w:rPr>
        <w:t>Backstop Acquired Shares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Parent and the Stockholders desire to enter into this Agreement, to provide the Stockholders with certain rights relating to the registration of the Backstop Acquired Shares.</w:t>
      </w:r>
    </w:p>
    <w:p>
      <w:pPr>
        <w:pStyle w:val="TextBody"/>
        <w:bidi w:val="0"/>
        <w:spacing w:lineRule="auto" w:line="288" w:before="0" w:after="240"/>
        <w:ind w:left="0" w:right="0" w:firstLine="720"/>
        <w:jc w:val="both"/>
        <w:rPr/>
      </w:pPr>
      <w:r>
        <w:rPr>
          <w:rFonts w:ascii="Times New Roman;serif" w:hAnsi="Times New Roman;serif"/>
          <w:b/>
          <w:color w:val="000000"/>
          <w:sz w:val="22"/>
        </w:rPr>
        <w:t>NOW, THEREFORE</w:t>
      </w:r>
      <w:r>
        <w:rPr>
          <w:rFonts w:ascii="Times New Roman;serif" w:hAnsi="Times New Roman;serif"/>
          <w:b w:val="false"/>
          <w:color w:val="000000"/>
          <w:sz w:val="22"/>
        </w:rPr>
        <w:t>, in consideration of the foregoing and the mutual and dependent covenants hereinafter set forth, the Parties hereto hereby agree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shall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Additional Registration Rights Holder</w:t>
      </w:r>
      <w:r>
        <w:rPr>
          <w:color w:val="000000"/>
        </w:rPr>
        <w:t xml:space="preserve">” </w:t>
      </w:r>
      <w:r>
        <w:rPr>
          <w:rFonts w:ascii="Times New Roman;serif" w:hAnsi="Times New Roman;serif"/>
          <w:b w:val="false"/>
          <w:color w:val="000000"/>
          <w:sz w:val="22"/>
        </w:rPr>
        <w:t>means a holder, other than an Existing Holder, of shares of Common Stock with contractual registration rights that are not Registrable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Affiliate</w:t>
      </w:r>
      <w:r>
        <w:rPr>
          <w:color w:val="000000"/>
        </w:rPr>
        <w:t xml:space="preserve">” </w:t>
      </w:r>
      <w:r>
        <w:rPr>
          <w:rFonts w:ascii="Times New Roman;serif" w:hAnsi="Times New Roman;serif"/>
          <w:b w:val="false"/>
          <w:color w:val="000000"/>
          <w:sz w:val="22"/>
        </w:rPr>
        <w:t xml:space="preserve">of a Person means any other Person that directly, or indirectly through one or more intermediaries, controls or is controlled by, or is under common control with, such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for the purposes of this Agreement, no Stockholder shall be deemed an Affiliate of Parent or any of its subsidiaries, and neither Parent nor any of its subsidiaries shall be deemed an Affiliate of a Stockholder.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Agreement</w:t>
      </w:r>
      <w:r>
        <w:rPr>
          <w:color w:val="000000"/>
        </w:rPr>
        <w:t xml:space="preserve">” </w:t>
      </w:r>
      <w:r>
        <w:rPr>
          <w:rFonts w:ascii="Times New Roman;serif" w:hAnsi="Times New Roman;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Backstop Acquired Shares</w:t>
      </w:r>
      <w:r>
        <w:rPr>
          <w:color w:val="000000"/>
        </w:rPr>
        <w:t xml:space="preserve">” </w:t>
      </w:r>
      <w:r>
        <w:rPr>
          <w:rFonts w:ascii="Times New Roman;serif" w:hAnsi="Times New Roman;serif"/>
          <w:b w:val="false"/>
          <w:color w:val="000000"/>
          <w:sz w:val="22"/>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Backstop Agreement</w:t>
      </w:r>
      <w:r>
        <w:rPr>
          <w:color w:val="000000"/>
        </w:rPr>
        <w:t xml:space="preserve">” </w:t>
      </w:r>
      <w:r>
        <w:rPr>
          <w:rFonts w:ascii="Times New Roman;serif" w:hAnsi="Times New Roman;serif"/>
          <w:b w:val="false"/>
          <w:color w:val="000000"/>
          <w:sz w:val="22"/>
        </w:rPr>
        <w:t xml:space="preserve">has the meaning set forth in the recitals. </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Board</w:t>
      </w:r>
      <w:r>
        <w:rPr>
          <w:color w:val="000000"/>
        </w:rPr>
        <w:t xml:space="preserve">” </w:t>
      </w:r>
      <w:r>
        <w:rPr>
          <w:rFonts w:ascii="Times New Roman;serif" w:hAnsi="Times New Roman;serif"/>
          <w:b w:val="false"/>
          <w:color w:val="000000"/>
          <w:sz w:val="22"/>
        </w:rPr>
        <w:t>means the board of directors (or any successor governing body) of Parent.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Business Day</w:t>
      </w:r>
      <w:r>
        <w:rPr>
          <w:color w:val="000000"/>
        </w:rPr>
        <w:t xml:space="preserve">” </w:t>
      </w:r>
      <w:r>
        <w:rPr>
          <w:rFonts w:ascii="Times New Roman;serif" w:hAnsi="Times New Roman;serif"/>
          <w:b w:val="false"/>
          <w:color w:val="000000"/>
          <w:sz w:val="22"/>
        </w:rPr>
        <w:t>means any day other than a Saturday, a Sunday or a legal holiday for commercial banks in New York, New York.</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Closing Date</w:t>
      </w:r>
      <w:r>
        <w:rPr>
          <w:color w:val="000000"/>
        </w:rPr>
        <w:t xml:space="preserve">” </w:t>
      </w:r>
      <w:r>
        <w:rPr>
          <w:rFonts w:ascii="Times New Roman;serif" w:hAnsi="Times New Roman;serif"/>
          <w:b w:val="false"/>
          <w:color w:val="000000"/>
          <w:sz w:val="22"/>
        </w:rPr>
        <w:t>has the meaning given to such term in the Backstop Agreement.</w:t>
      </w:r>
    </w:p>
    <w:p>
      <w:pPr>
        <w:pStyle w:val="TextBody"/>
        <w:bidi w:val="0"/>
        <w:spacing w:before="0" w:after="24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1"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Commission</w:t>
      </w:r>
      <w:r>
        <w:rPr>
          <w:color w:val="000000"/>
        </w:rPr>
        <w:t xml:space="preserve">” </w:t>
      </w:r>
      <w:r>
        <w:rPr>
          <w:rFonts w:ascii="Times New Roman;serif" w:hAnsi="Times New Roman;serif"/>
          <w:b w:val="false"/>
          <w:color w:val="000000"/>
          <w:sz w:val="22"/>
        </w:rPr>
        <w:t>means the Securities and Exchange Commission or any other federal agency administering the Securities Act and the Exchange Act at the time.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Common Stock</w:t>
      </w:r>
      <w:r>
        <w:rPr>
          <w:color w:val="000000"/>
        </w:rPr>
        <w:t xml:space="preserve">” </w:t>
      </w:r>
      <w:r>
        <w:rPr>
          <w:rFonts w:ascii="Times New Roman;serif" w:hAnsi="Times New Roman;serif"/>
          <w:b w:val="false"/>
          <w:color w:val="000000"/>
          <w:sz w:val="22"/>
        </w:rPr>
        <w:t>means the common stock, par value $0.01 per share, of Parent.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Controlling Person</w:t>
      </w:r>
      <w:r>
        <w:rPr>
          <w:color w:val="000000"/>
        </w:rPr>
        <w:t xml:space="preserve">” </w:t>
      </w:r>
      <w:r>
        <w:rPr>
          <w:rFonts w:ascii="Times New Roman;serif" w:hAnsi="Times New Roman;serif"/>
          <w:b w:val="false"/>
          <w:color w:val="000000"/>
          <w:sz w:val="22"/>
        </w:rPr>
        <w:t>means a “controlling person” within the meaning of Section 15 of the Securities Act and Section 20 of the Exchange Act.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DTC</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5(r)</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EDGAR</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9(c)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Existing Holder</w:t>
      </w:r>
      <w:r>
        <w:rPr>
          <w:color w:val="000000"/>
        </w:rPr>
        <w:t xml:space="preserve">” </w:t>
      </w:r>
      <w:r>
        <w:rPr>
          <w:rFonts w:ascii="Times New Roman;serif" w:hAnsi="Times New Roman;serif"/>
          <w:b w:val="false"/>
          <w:color w:val="000000"/>
          <w:sz w:val="22"/>
        </w:rPr>
        <w:t>means a holder of “Registrable Securities” as defined in and as subject to any of the Existing Registration Rights Agreements.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Existing Registration Rights Agreements</w:t>
      </w:r>
      <w:r>
        <w:rPr>
          <w:color w:val="000000"/>
        </w:rPr>
        <w:t xml:space="preserve">” </w:t>
      </w:r>
      <w:r>
        <w:rPr>
          <w:rFonts w:ascii="Times New Roman;serif" w:hAnsi="Times New Roman;serif"/>
          <w:b w:val="false"/>
          <w:color w:val="000000"/>
          <w:sz w:val="22"/>
        </w:rPr>
        <w:t xml:space="preserve">means (i) that certain Registration Rights Agreement, dated September 14, 2018, between Parent and Amin J. Khoury, (ii) that certain Registration Rights Agreement, dated September 14, 2018, between Parent and Thomas P. McCaffrey, (iii) that certain Registration Rights Agreement, dated May 30, 2020, between Parent and the stockholders named therein, and </w:t>
      </w:r>
      <w:r>
        <w:rPr>
          <w:rFonts w:ascii="Times New Roman;serif" w:hAnsi="Times New Roman;serif"/>
          <w:b w:val="false"/>
          <w:color w:val="000000"/>
          <w:sz w:val="24"/>
        </w:rPr>
        <w:t>(iv)</w:t>
      </w:r>
      <w:r>
        <w:rPr>
          <w:color w:val="000000"/>
        </w:rPr>
        <w:t xml:space="preserve"> </w:t>
      </w:r>
      <w:r>
        <w:rPr>
          <w:rFonts w:ascii="Times New Roman;serif" w:hAnsi="Times New Roman;serif"/>
          <w:b w:val="false"/>
          <w:color w:val="000000"/>
          <w:sz w:val="22"/>
        </w:rPr>
        <w:t>that certain Registration Rights and Lock-Up Agreement, dated March 8, 2023, between Parent and Greene’s Holding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Governmental Authority</w:t>
      </w:r>
      <w:r>
        <w:rPr>
          <w:color w:val="000000"/>
        </w:rPr>
        <w:t xml:space="preserve">” </w:t>
      </w:r>
      <w:r>
        <w:rPr>
          <w:rFonts w:ascii="Times New Roman;serif" w:hAnsi="Times New Roman;serif"/>
          <w:b w:val="false"/>
          <w:color w:val="000000"/>
          <w:sz w:val="22"/>
        </w:rPr>
        <w:t>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Inspectors</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5(h)</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Opt-Out Notice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Parent</w:t>
      </w:r>
      <w:r>
        <w:rPr>
          <w:color w:val="000000"/>
        </w:rPr>
        <w:t xml:space="preserve">” </w:t>
      </w:r>
      <w:r>
        <w:rPr>
          <w:rFonts w:ascii="Times New Roman;serif" w:hAnsi="Times New Roman;serif"/>
          <w:b w:val="false"/>
          <w:color w:val="000000"/>
          <w:sz w:val="22"/>
        </w:rPr>
        <w:t>has the meaning set forth in the preamble and includes Parent’s successors by merger, acquisition, reorganization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Party</w:t>
      </w:r>
      <w:r>
        <w:rPr>
          <w:color w:val="000000"/>
        </w:rPr>
        <w:t xml:space="preserve">” </w:t>
      </w:r>
      <w:r>
        <w:rPr>
          <w:rFonts w:ascii="Times New Roman;serif" w:hAnsi="Times New Roman;serif"/>
          <w:b w:val="false"/>
          <w:color w:val="000000"/>
          <w:sz w:val="22"/>
        </w:rPr>
        <w:t>and “</w:t>
      </w:r>
      <w:r>
        <w:rPr>
          <w:rFonts w:ascii="Times New Roman;serif" w:hAnsi="Times New Roman;serif"/>
          <w:b/>
          <w:i/>
          <w:color w:val="000000"/>
          <w:sz w:val="22"/>
        </w:rPr>
        <w:t>Parties</w:t>
      </w:r>
      <w:r>
        <w:rPr>
          <w:color w:val="000000"/>
        </w:rPr>
        <w:t xml:space="preserve">” </w:t>
      </w:r>
      <w:r>
        <w:rPr>
          <w:rFonts w:ascii="Times New Roman;serif" w:hAnsi="Times New Roman;serif"/>
          <w:b w:val="false"/>
          <w:color w:val="000000"/>
          <w:sz w:val="22"/>
        </w:rPr>
        <w:t>have the meanings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Permitted Assignee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14</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Person</w:t>
      </w:r>
      <w:r>
        <w:rPr>
          <w:color w:val="000000"/>
        </w:rPr>
        <w:t xml:space="preserve">” </w:t>
      </w:r>
      <w:r>
        <w:rPr>
          <w:rFonts w:ascii="Times New Roman;serif" w:hAnsi="Times New Roman;serif"/>
          <w:b w:val="false"/>
          <w:color w:val="000000"/>
          <w:sz w:val="22"/>
        </w:rPr>
        <w:t>means an individual, corporation, partnership, joint venture, limited liability company, Governmental Authority, unincorporated organization, trust, association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Piggyback Sale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3(a)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Prospectus</w:t>
      </w:r>
      <w:r>
        <w:rPr>
          <w:color w:val="000000"/>
        </w:rPr>
        <w:t xml:space="preserve">” </w:t>
      </w:r>
      <w:r>
        <w:rPr>
          <w:rFonts w:ascii="Times New Roman;serif" w:hAnsi="Times New Roman;serif"/>
          <w:b w:val="false"/>
          <w:color w:val="000000"/>
          <w:sz w:val="22"/>
        </w:rPr>
        <w:t xml:space="preserve">means the prospectus or prospectuses included in any Registration Statement (including, without limitation, a prospectus that includes any information previously omitted from a prospectus filed as part of an effective Registration Statement in reliance on Rule 430A under the </w:t>
      </w:r>
    </w:p>
    <w:p>
      <w:pPr>
        <w:pStyle w:val="TextBody"/>
        <w:bidi w:val="0"/>
        <w:spacing w:before="0" w:after="24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2"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Securities Act or any successor rule thereto), as amended or supplemented by any prospectus supplement with respect to the terms of the offering of any portion of the Registrable Securities covered by such Registration Statement and by all other amendments and supplements to the prospectus, including post-effective amendments and all material incorporated by reference in such prospectus or prospectuses.</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Registrable Securities</w:t>
      </w:r>
      <w:r>
        <w:rPr>
          <w:color w:val="000000"/>
        </w:rPr>
        <w:t xml:space="preserve">” </w:t>
      </w:r>
      <w:r>
        <w:rPr>
          <w:rFonts w:ascii="Times New Roman;serif" w:hAnsi="Times New Roman;serif"/>
          <w:b w:val="false"/>
          <w:color w:val="000000"/>
          <w:sz w:val="22"/>
        </w:rPr>
        <w:t xml:space="preserve">means the Backstop Acquired Shares beneficially owned by a Stockholder or a Permitted Assignee; </w:t>
      </w:r>
      <w:r>
        <w:rPr>
          <w:rFonts w:ascii="Times New Roman;serif" w:hAnsi="Times New Roman;serif"/>
          <w:b w:val="false"/>
          <w:color w:val="000000"/>
          <w:sz w:val="22"/>
          <w:u w:val="single"/>
        </w:rPr>
        <w:t>provided</w:t>
      </w:r>
      <w:r>
        <w:rPr>
          <w:rFonts w:ascii="Times New Roman;serif" w:hAnsi="Times New Roman;serif"/>
          <w:b w:val="false"/>
          <w:color w:val="000000"/>
          <w:sz w:val="22"/>
        </w:rPr>
        <w:t>,</w:t>
      </w:r>
      <w:r>
        <w:rPr>
          <w:color w:val="000000"/>
          <w:u w:val="single"/>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such Common Stock shall cease to be Registrable Securities when (i) such Common Stock has been disposed of pursuant to an effective Registration Statement and the recipient thereof may trade such shares of Common Stock without restriction, (ii) such Common Stock is sold under circumstances in which all of the applicable conditions of Rule 144 under the Securities Act (or any successor rule under the Securities Act) are met and all restrictive legends have been removed from such Common Stock, (iii) such Common Stock beneficially owned by a Stockholder or a Permitted Assignee, on an individual basis, represents less than three percent (3%) of the aggregate number of shares of Common Stock then issued and outstanding and such Common Stock becomes eligible for immediate sale pursuant to Rule 144 (or any successor rule under the Securities Act) without time, volume or manner of sale restrictions, (iv) such Common Stock has been disposed of in a private transaction pursuant to which a Stockholder’s rights have not been assigned, or (v) such Common Stock ceases to be outstanding.</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Registration Statement</w:t>
      </w:r>
      <w:r>
        <w:rPr>
          <w:color w:val="000000"/>
        </w:rPr>
        <w:t xml:space="preserve">” </w:t>
      </w:r>
      <w:r>
        <w:rPr>
          <w:rFonts w:ascii="Times New Roman;serif" w:hAnsi="Times New Roman;serif"/>
          <w:b w:val="false"/>
          <w:color w:val="000000"/>
          <w:sz w:val="22"/>
        </w:rPr>
        <w:t>means any registration statement of Parent, including a Prospectus, amendments and supplements to such registration statement, including post-effective amendments, all exhibits and all material incorporated by reference in such registration statement.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Rule 144</w:t>
      </w:r>
      <w:r>
        <w:rPr>
          <w:color w:val="000000"/>
        </w:rPr>
        <w:t xml:space="preserve">” </w:t>
      </w:r>
      <w:r>
        <w:rPr>
          <w:rFonts w:ascii="Times New Roman;serif" w:hAnsi="Times New Roman;serif"/>
          <w:b w:val="false"/>
          <w:color w:val="000000"/>
          <w:sz w:val="22"/>
        </w:rPr>
        <w:t>means Rule 144 under the Securities Act or any successor rule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Securities Act</w:t>
      </w:r>
      <w:r>
        <w:rPr>
          <w:color w:val="000000"/>
        </w:rPr>
        <w:t xml:space="preserve">” </w:t>
      </w:r>
      <w:r>
        <w:rPr>
          <w:rFonts w:ascii="Times New Roman;serif" w:hAnsi="Times New Roman;serif"/>
          <w:b w:val="false"/>
          <w:color w:val="000000"/>
          <w:sz w:val="22"/>
        </w:rPr>
        <w:t>means the Securities Act of 1933, as amended, and the rules and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Selling Expenses</w:t>
      </w:r>
      <w:r>
        <w:rPr>
          <w:color w:val="000000"/>
        </w:rPr>
        <w:t xml:space="preserve">” </w:t>
      </w:r>
      <w:r>
        <w:rPr>
          <w:rFonts w:ascii="Times New Roman;serif" w:hAnsi="Times New Roman;serif"/>
          <w:b w:val="false"/>
          <w:color w:val="000000"/>
          <w:sz w:val="22"/>
        </w:rPr>
        <w:t xml:space="preserve">means all underwriting discounts, selling commissions and stock transfer taxes applicable to the sale of Registrable Securities, and fees and disbursements of counsel for any holder of Registrable Securities, except for the reasonable fees and disbursements of counsel for the holders of Registrable Securities required to be paid by Parent pursuant to </w:t>
      </w:r>
      <w:r>
        <w:rPr>
          <w:rFonts w:ascii="Times New Roman;serif" w:hAnsi="Times New Roman;serif"/>
          <w:b w:val="false"/>
          <w:color w:val="000000"/>
          <w:sz w:val="22"/>
          <w:u w:val="single"/>
        </w:rPr>
        <w:t>Section 6</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Shelf Registration</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Shelf Registration Statement</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Shelf Supplement</w:t>
      </w:r>
      <w:r>
        <w:rPr>
          <w:color w:val="000000"/>
        </w:rPr>
        <w:t xml:space="preserve">” </w:t>
      </w:r>
      <w:r>
        <w:rPr>
          <w:rFonts w:ascii="Times New Roman;serif" w:hAnsi="Times New Roman;serif"/>
          <w:b w:val="false"/>
          <w:color w:val="000000"/>
          <w:sz w:val="22"/>
        </w:rPr>
        <w:t>means a supplement to a prospectus for the purpose of effecting an offering pursuant to Rule 415 under the Securities Act or any successor rule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Stockholder</w:t>
      </w:r>
      <w:r>
        <w:rPr>
          <w:color w:val="000000"/>
        </w:rPr>
        <w:t xml:space="preserve">” </w:t>
      </w:r>
      <w:r>
        <w:rPr>
          <w:rFonts w:ascii="Times New Roman;serif" w:hAnsi="Times New Roman;serif"/>
          <w:b w:val="false"/>
          <w:color w:val="000000"/>
          <w:sz w:val="22"/>
        </w:rPr>
        <w:t>has the meaning set forth in the preamble.</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Underwritten Offering</w:t>
      </w:r>
      <w:r>
        <w:rPr>
          <w:color w:val="000000"/>
        </w:rPr>
        <w:t xml:space="preserve">” </w:t>
      </w:r>
      <w:r>
        <w:rPr>
          <w:rFonts w:ascii="Times New Roman;serif" w:hAnsi="Times New Roman;serif"/>
          <w:b w:val="false"/>
          <w:color w:val="000000"/>
          <w:sz w:val="22"/>
        </w:rPr>
        <w:t>means a sale of Common Stock of Parent to an underwriter or underwriters on a firm commitment basis for reoffering to the public.</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Underwritten Shelf Takedown</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2(b)</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color w:val="000000"/>
        </w:rPr>
        <w:t>“</w:t>
      </w:r>
      <w:r>
        <w:rPr>
          <w:rFonts w:ascii="Times New Roman;serif" w:hAnsi="Times New Roman;serif"/>
          <w:b/>
          <w:i/>
          <w:color w:val="000000"/>
          <w:sz w:val="22"/>
        </w:rPr>
        <w:t>Underwritten Shelf Takedown Notice</w:t>
      </w:r>
      <w:r>
        <w:rPr>
          <w:color w:val="000000"/>
        </w:rPr>
        <w:t xml:space="preserve">” </w:t>
      </w:r>
      <w:r>
        <w:rPr>
          <w:rFonts w:ascii="Times New Roman;serif" w:hAnsi="Times New Roman;serif"/>
          <w:b w:val="false"/>
          <w:color w:val="000000"/>
          <w:sz w:val="22"/>
        </w:rPr>
        <w:t xml:space="preserve">has the meaning set forth in </w:t>
      </w:r>
      <w:r>
        <w:rPr>
          <w:rFonts w:ascii="Times New Roman;serif" w:hAnsi="Times New Roman;serif"/>
          <w:b w:val="false"/>
          <w:color w:val="000000"/>
          <w:sz w:val="22"/>
          <w:u w:val="single"/>
        </w:rPr>
        <w:t>Section 2(b)</w:t>
      </w:r>
      <w:r>
        <w:rPr>
          <w:rFonts w:ascii="Times New Roman;serif" w:hAnsi="Times New Roman;serif"/>
          <w:b w:val="false"/>
          <w:color w:val="000000"/>
          <w:sz w:val="22"/>
        </w:rPr>
        <w:t>.</w:t>
      </w:r>
    </w:p>
    <w:p>
      <w:pPr>
        <w:pStyle w:val="TextBody"/>
        <w:bidi w:val="0"/>
        <w:spacing w:before="0" w:after="24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3"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2"/>
          <w:u w:val="single"/>
        </w:rPr>
        <w:t>Shelf Registration; Shelf Takedowns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Following the Closing Date, a holder of Registrable Securities shall have the right to request the registration under the Securities Act of all or any portion of their Registrable Securities pursuant to a Registration Statement on Form S-3 or the then appropriate form for an offering to be made on a delayed or continuous basis pursuant to Rule 415 under the Securities Act or any successor rule thereto (the “</w:t>
      </w:r>
      <w:r>
        <w:rPr>
          <w:rFonts w:ascii="Times New Roman;serif" w:hAnsi="Times New Roman;serif"/>
          <w:b/>
          <w:i/>
          <w:color w:val="000000"/>
          <w:sz w:val="22"/>
        </w:rPr>
        <w:t>Shelf Registration Statement</w:t>
      </w:r>
      <w:r>
        <w:rPr>
          <w:color w:val="000000"/>
        </w:rPr>
        <w:t>”</w:t>
      </w:r>
      <w:r>
        <w:rPr>
          <w:rFonts w:ascii="Times New Roman;serif" w:hAnsi="Times New Roman;serif"/>
          <w:b w:val="false"/>
          <w:color w:val="000000"/>
          <w:sz w:val="22"/>
        </w:rPr>
        <w:t>) for an offering on a delayed or continuous basis pursuant to Rule 415 under the Securities Act or any successor rule thereto (the “</w:t>
      </w:r>
      <w:r>
        <w:rPr>
          <w:rFonts w:ascii="Times New Roman;serif" w:hAnsi="Times New Roman;serif"/>
          <w:b/>
          <w:i/>
          <w:color w:val="000000"/>
          <w:sz w:val="22"/>
        </w:rPr>
        <w:t>Shelf Registration</w:t>
      </w:r>
      <w:r>
        <w:rPr>
          <w:color w:val="000000"/>
        </w:rPr>
        <w:t>”</w:t>
      </w:r>
      <w:r>
        <w:rPr>
          <w:rFonts w:ascii="Times New Roman;serif" w:hAnsi="Times New Roman;serif"/>
          <w:b w:val="false"/>
          <w:color w:val="000000"/>
          <w:sz w:val="22"/>
        </w:rPr>
        <w:t>). Such request for the Shelf Registration shall specify the number of Registrable Securities requested to be included in the Shelf Registration. Upon receipt of such request, Parent shall promptly (but in no event later than five (5) Business Days following receipt thereof) deliver notice of such request to all other holders of Registrable Securities, if any, who shall then have five (5) Business Days from the date such notice is given to notify Parent in writing of their desire to be included in such registration. Parent shall prepare and file with the Commission a Shelf Registration Statement covering all of the Registrable Securities that the holders thereof have requested to be included in such Shelf Registration within 45 days after the date on which the initial request is given and shall use commercially reasonable efforts to cause such Shelf Registration Statement to be declared effective by the Commission as soon as practicable thereafter. The Shelf Registration Statement shall provide for the resale pursuant to any method or combination of methods legally available to, and requested by, the holders of Registrable Securities. After the filing of the Shelf Registration Statement, and until all Registrable Securities covered by such Shelf Registration Statement have ceased to be Registrable Securities, Parent shall use its commercially reasonable efforts to ensure that such Shelf Registration Statement remains continuously effective.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At any time that the Shelf Registration Statement is effective, if a holder of Registrable Securities covered by such Shelf Registration Statement delivers a notice to Parent (an “</w:t>
      </w:r>
      <w:r>
        <w:rPr>
          <w:rFonts w:ascii="Times New Roman;serif" w:hAnsi="Times New Roman;serif"/>
          <w:b/>
          <w:i/>
          <w:color w:val="000000"/>
          <w:sz w:val="22"/>
        </w:rPr>
        <w:t>Underwritten Shelf Takedown Notice</w:t>
      </w:r>
      <w:r>
        <w:rPr>
          <w:color w:val="000000"/>
        </w:rPr>
        <w:t>”</w:t>
      </w:r>
      <w:r>
        <w:rPr>
          <w:rFonts w:ascii="Times New Roman;serif" w:hAnsi="Times New Roman;serif"/>
          <w:b w:val="false"/>
          <w:color w:val="000000"/>
          <w:sz w:val="22"/>
        </w:rPr>
        <w:t>) stating that such holder intends to effect an Underwritten Offering of all or part of its Registrable Securities included in such Shelf Registration Statement (an “</w:t>
      </w:r>
      <w:r>
        <w:rPr>
          <w:rFonts w:ascii="Times New Roman;serif" w:hAnsi="Times New Roman;serif"/>
          <w:b/>
          <w:i/>
          <w:color w:val="000000"/>
          <w:sz w:val="22"/>
        </w:rPr>
        <w:t>Underwritten Shelf Takedown</w:t>
      </w:r>
      <w:r>
        <w:rPr>
          <w:color w:val="000000"/>
        </w:rPr>
        <w:t>”</w:t>
      </w:r>
      <w:r>
        <w:rPr>
          <w:rFonts w:ascii="Times New Roman;serif" w:hAnsi="Times New Roman;serif"/>
          <w:b w:val="false"/>
          <w:color w:val="000000"/>
          <w:sz w:val="22"/>
        </w:rPr>
        <w:t xml:space="preserve">) and Parent is eligible to use such Shelf Registration Statement for such Underwritten Shelf Takedown, then Parent shall take all actions reasonably required, including amending or supplementing such Shelf Registration Statement, to enable such Registrable Securities to be offered and sold as contemplated by such Underwritten Shelf Takedown Notice. Each Underwritten Shelf Takedown Notice shall specify the number of Registrable Securities to be offered and sold under the Underwritten Shelf Takedown. Upon receipt of an Underwritten Shelf Takedown Notice, Parent shall promptly (but in no event later than two (2) Business Days following receipt thereof) deliver notice of such Underwritten Shelf Takedown Notice to all other holders of Registrable Securities, if any, who shall then have three (3) Business Days (or one (1) Business Day in connection with any overnight or bought Underwritten Offering) from the date such notice is given to notify Parent in writing of their desire to be included in such Underwritten Shelf Takedown. Parent shall prepare and file with the Commission a Shelf Supplement as soon as practicable after the date on which it received the Underwritten Shelf Takedown Notice and, if such Shelf Supplement is an amendment to such Shelf Registration Statement, shall use its commercially reasonable efforts to cause such Shelf Supplement to be declared effective by the Commission as soon as practicable thereafter. The priority for inclusion of Registrable Securities in an Underwritten Shelf Takedown will be determined as specified in </w:t>
      </w:r>
      <w:r>
        <w:rPr>
          <w:rFonts w:ascii="Times New Roman;serif" w:hAnsi="Times New Roman;serif"/>
          <w:b w:val="false"/>
          <w:color w:val="000000"/>
          <w:sz w:val="22"/>
          <w:u w:val="single"/>
        </w:rPr>
        <w:t>Section 2(f)</w:t>
      </w:r>
      <w:r>
        <w:rPr>
          <w:rFonts w:ascii="Times New Roman;serif" w:hAnsi="Times New Roman;serif"/>
          <w:b w:val="false"/>
          <w:color w:val="000000"/>
          <w:sz w:val="22"/>
        </w:rPr>
        <w:t>.</w:t>
      </w:r>
    </w:p>
    <w:p>
      <w:pPr>
        <w:pStyle w:val="TextBody"/>
        <w:bidi w:val="0"/>
        <w:spacing w:before="0" w:after="24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4"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 xml:space="preserve">Parent shall not be obligated to effect any Underwritten Shelf Takedown within 90 days after the effective date of a previous Underwritten Shelf Takedown in which holders of Registrable Securities were permitted to register the offer and sale under the Securities Act, and actually sold, at least 50% of the Registrable Securities requested to be included therein. Additionally, Parent shall not be obligated to effect any Underwritten Shelf Takedown (i) with respect to any offering that would reasonably be expected to result in net proceeds of less than $30 million to the participating holders of Registrable Securities or (ii) more than once in any 6-month period pursuant to this </w:t>
      </w:r>
      <w:r>
        <w:rPr>
          <w:rFonts w:ascii="Times New Roman;serif" w:hAnsi="Times New Roman;serif"/>
          <w:b w:val="false"/>
          <w:color w:val="000000"/>
          <w:sz w:val="22"/>
          <w:u w:val="single"/>
        </w:rPr>
        <w:t>Section 2(c)</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2"/>
        </w:rPr>
        <w:t xml:space="preserve">Parent may postpone or suspend for up to 90 days the effectiveness or use of the Shelf Registration Statement, the launch of any Underwritten Shelf Takedown or the filing of any Shelf Supplement if the Board determines in its reasonable good faith judgment that such use or filing would: (i) materially interfere with a significant acquisition, corporate organization, financing, securities offering or other similar transaction involving Parent; (ii) require premature disclosure of material information that Parent has a </w:t>
      </w:r>
      <w:r>
        <w:rPr>
          <w:rFonts w:ascii="Times New Roman;serif" w:hAnsi="Times New Roman;serif"/>
          <w:b w:val="false"/>
          <w:i/>
          <w:color w:val="000000"/>
          <w:sz w:val="22"/>
        </w:rPr>
        <w:t xml:space="preserve">bona fide </w:t>
      </w:r>
      <w:r>
        <w:rPr>
          <w:rFonts w:ascii="Times New Roman;serif" w:hAnsi="Times New Roman;serif"/>
          <w:b w:val="false"/>
          <w:color w:val="000000"/>
          <w:sz w:val="22"/>
        </w:rPr>
        <w:t xml:space="preserve">business purpose for preserving as confidential; or (iii) render Parent unable to materially comply with requirements under the Securities Act or Exchange Act;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in such event the holders of a majority of the Registrable Securities initiating such Underwritten Shelf Takedown shall be entitled to withdraw such request and, if such request for an Underwritten Shelf Takedown is withdrawn, such Underwritten Shelf Takedown shall not count as one of the permitted Underwritten Shelf Takedowns hereunder and Parent shall pay all registration expenses in connection with such registration. Parent may delay or suspend under this </w:t>
      </w:r>
      <w:r>
        <w:rPr>
          <w:rFonts w:ascii="Times New Roman;serif" w:hAnsi="Times New Roman;serif"/>
          <w:b w:val="false"/>
          <w:color w:val="000000"/>
          <w:sz w:val="22"/>
          <w:u w:val="single"/>
        </w:rPr>
        <w:t>Section 2(d)</w:t>
      </w:r>
      <w:r>
        <w:rPr>
          <w:color w:val="000000"/>
        </w:rPr>
        <w:t xml:space="preserve"> </w:t>
      </w:r>
      <w:r>
        <w:rPr>
          <w:rFonts w:ascii="Times New Roman;serif" w:hAnsi="Times New Roman;serif"/>
          <w:b w:val="false"/>
          <w:color w:val="000000"/>
          <w:sz w:val="22"/>
        </w:rPr>
        <w:t>for not more than a total of 90 days during any 180-day period or 120 days during any 365-day period.</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2"/>
        </w:rPr>
        <w:t xml:space="preserve">Unless otherwise agreed by Parent and the holders of a majority of the Registrable Securities proposed to be included in any Underwritten Shelf Takedown, Parent, on the one hand, and the holders of the Registrable Securities (pursuant to the consent of the holders of a majority of the Registrable Securities proposed to be included in such Underwritten Shelf Takedown), on the other, shall each select an investment banking firm to act as one of the two managing underwriters in connection with such offering; </w:t>
      </w:r>
      <w:r>
        <w:rPr>
          <w:rFonts w:ascii="Times New Roman;serif" w:hAnsi="Times New Roman;serif"/>
          <w:b w:val="false"/>
          <w:color w:val="000000"/>
          <w:sz w:val="22"/>
          <w:u w:val="single"/>
        </w:rPr>
        <w:t>provided</w:t>
      </w:r>
      <w:r>
        <w:rPr>
          <w:rFonts w:ascii="Times New Roman;serif" w:hAnsi="Times New Roman;serif"/>
          <w:b w:val="false"/>
          <w:color w:val="000000"/>
          <w:sz w:val="22"/>
        </w:rPr>
        <w:t>, that such selection shall be subject to the consent of the other, which consent shall not be unreasonably withheld or delayed.</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2"/>
        </w:rPr>
        <w:t xml:space="preserve">Parent may include in any Underwritten Shelf Takedown any securities that are not Registrable Securities on behalf of Parent, on behalf of an Existing Holder or on behalf of an Additional Registration Rights Holder (so long as such securities are registered on a Shelf Registration Statement);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that if the managing underwriter of the requested Underwritten Shelf Takedown advises Parent and the holders of Registrable Securities in writing that in its reasonable and good faith opinion the number of shares of Common Stock proposed to be included in the Underwritten Shelf Takedown, including all Registrable Securities and all other shares of Common Stock proposed to be included in such Underwritten Offering, exceeds the number of shares of Common Stock that can be sold in such Underwritten Offering and/or the number of shares of Common Stock proposed to be included in such Underwritten Shelf Takedown would adversely affect the price per share of the Common Stock proposed to be sold in such Underwritten Offering, Parent shall include in such Underwritten Shelf Takedown (i) </w:t>
      </w:r>
      <w:r>
        <w:rPr>
          <w:rFonts w:ascii="Times New Roman;serif" w:hAnsi="Times New Roman;serif"/>
          <w:b w:val="false"/>
          <w:i/>
          <w:color w:val="000000"/>
          <w:sz w:val="22"/>
        </w:rPr>
        <w:t>first</w:t>
      </w:r>
      <w:r>
        <w:rPr>
          <w:rFonts w:ascii="Times New Roman;serif" w:hAnsi="Times New Roman;serif"/>
          <w:b w:val="false"/>
          <w:color w:val="000000"/>
          <w:sz w:val="22"/>
        </w:rPr>
        <w:t>, the shares of Common Stock that the holders of Registrable Securities requesting such registration or takedown and that the Existing Holders propose to sell, in accordance with the provisions of the Existing Registration Rights Agreements, and (ii) </w:t>
      </w:r>
      <w:r>
        <w:rPr>
          <w:rFonts w:ascii="Times New Roman;serif" w:hAnsi="Times New Roman;serif"/>
          <w:b w:val="false"/>
          <w:i/>
          <w:color w:val="000000"/>
          <w:sz w:val="22"/>
        </w:rPr>
        <w:t>second</w:t>
      </w:r>
      <w:r>
        <w:rPr>
          <w:rFonts w:ascii="Times New Roman;serif" w:hAnsi="Times New Roman;serif"/>
          <w:b w:val="false"/>
          <w:color w:val="000000"/>
          <w:sz w:val="22"/>
        </w:rPr>
        <w:t xml:space="preserve">, the shares of Common Stock proposed to be included therein by any remaining holders of Registrable Securities and any other Persons (including shares of Common Stock to be sold for the account of </w:t>
      </w:r>
    </w:p>
    <w:p>
      <w:pPr>
        <w:pStyle w:val="TextBody"/>
        <w:bidi w:val="0"/>
        <w:spacing w:before="0" w:after="24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5"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Parent or any Additional Registration Rights Holders) allocated among such Persons in such manner as they may agree. If the managing underwriter determines that less than all of the Registrable Securities proposed to be sold can be included in such offering, then the Registrable Securities that are included in such offering shall be allocated pro rata among the respective holders thereof on the basis of the number of shares of Common Stock owned by each such holder or in such manner as they may agree.</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2"/>
          <w:u w:val="single"/>
        </w:rPr>
        <w:t>Piggyback Sale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Whenever Parent proposes the offer and sale of any Common Stock to the public in an Underwritten Offering registered under the Securities Act (other than a registration (i) pursuant to a Registration Statement on Form S-8 (or other registration solely relating to an offering or sale to employees or directors of Parent pursuant to any employee stock plan or other employee benefit arrangement), (ii) pursuant to a Registration Statement on Form S-4 (or similar form that relates to a transaction subject to Rule 145 under the Securities Act or any successor rule thereto), or (iii) in connection with any dividend or distribution reinvestment or similar plan), whether for its own account or for the account of one or more stockholders of Parent (a “</w:t>
      </w:r>
      <w:r>
        <w:rPr>
          <w:rFonts w:ascii="Times New Roman;serif" w:hAnsi="Times New Roman;serif"/>
          <w:b/>
          <w:i/>
          <w:color w:val="000000"/>
          <w:sz w:val="22"/>
        </w:rPr>
        <w:t>Piggyback Sale</w:t>
      </w:r>
      <w:r>
        <w:rPr>
          <w:color w:val="000000"/>
        </w:rPr>
        <w:t>”</w:t>
      </w:r>
      <w:r>
        <w:rPr>
          <w:rFonts w:ascii="Times New Roman;serif" w:hAnsi="Times New Roman;serif"/>
          <w:b w:val="false"/>
          <w:color w:val="000000"/>
          <w:sz w:val="22"/>
        </w:rPr>
        <w:t xml:space="preserve">), and the form of Registration Statement or Prospectus to be used may be used for the registration or offer or sale of Registrable Securities, Parent shall give prompt written notice (in any event no later than five (5) Business Days prior to the initiation of such offer and sale, or two (2) Business Days in connection with any overnight or bought Underwritten Offering) to the holders of Registrable Securities of its intention to effect such an offer and sale and, subject to </w:t>
      </w:r>
      <w:r>
        <w:rPr>
          <w:rFonts w:ascii="Times New Roman;serif" w:hAnsi="Times New Roman;serif"/>
          <w:b w:val="false"/>
          <w:color w:val="000000"/>
          <w:sz w:val="22"/>
          <w:u w:val="single"/>
        </w:rPr>
        <w:t>Section 3(b)</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3(e)</w:t>
      </w:r>
      <w:r>
        <w:rPr>
          <w:rFonts w:ascii="Times New Roman;serif" w:hAnsi="Times New Roman;serif"/>
          <w:b w:val="false"/>
          <w:color w:val="000000"/>
          <w:sz w:val="22"/>
        </w:rPr>
        <w:t>, shall include in such an offer and sale all Registrable Securities with respect to which Parent has received written requests for inclusion from the holders of Registrable Securities within three (3) Business Days (or one (1) Business Day in connection with any overnight or bought Underwritten Offering) after Parent’s notice has been given to each such holder. Notwithstanding the foregoing, any holder of Registrable Securities may deliver written notice (an “</w:t>
      </w:r>
      <w:r>
        <w:rPr>
          <w:rFonts w:ascii="Times New Roman;serif" w:hAnsi="Times New Roman;serif"/>
          <w:b/>
          <w:i/>
          <w:color w:val="000000"/>
          <w:sz w:val="22"/>
        </w:rPr>
        <w:t>Opt-Out Notice</w:t>
      </w:r>
      <w:r>
        <w:rPr>
          <w:color w:val="000000"/>
        </w:rPr>
        <w:t>”</w:t>
      </w:r>
      <w:r>
        <w:rPr>
          <w:rFonts w:ascii="Times New Roman;serif" w:hAnsi="Times New Roman;serif"/>
          <w:b w:val="false"/>
          <w:color w:val="000000"/>
          <w:sz w:val="22"/>
        </w:rPr>
        <w:t xml:space="preserve">) to Parent requesting that such holder of Registrable Securities not receive from Parent any such notice;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such holder of Registrable Securities may later revoke any such Opt-Out Notice in writing. Following receipt of an Opt-Out Notice from a holder of Registrable Securities (unless subsequently revoked), Parent shall not deliver any notice to such holder of Registrable Securities pursuant to this </w:t>
      </w:r>
      <w:r>
        <w:rPr>
          <w:rFonts w:ascii="Times New Roman;serif" w:hAnsi="Times New Roman;serif"/>
          <w:b w:val="false"/>
          <w:color w:val="000000"/>
          <w:sz w:val="22"/>
          <w:u w:val="single"/>
        </w:rPr>
        <w:t>Section 3(a)</w:t>
      </w:r>
      <w:r>
        <w:rPr>
          <w:rFonts w:ascii="Times New Roman;serif" w:hAnsi="Times New Roman;serif"/>
          <w:b w:val="false"/>
          <w:color w:val="000000"/>
          <w:sz w:val="22"/>
        </w:rPr>
        <w:t>. Parent may postpone or withdraw such offering or sale at any time in its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If a Piggyback Sale is initiated as a primary Underwritten Offering on behalf of Parent and the managing underwriter advises Parent and the holders of Registrable Securities (if any holders of Registrable Securities have elected to include Registrable Securities in such Piggyback Sale)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shares of Common Stock to be sold in such offering, Parent shall include in such registration or takedown (i) </w:t>
      </w:r>
      <w:r>
        <w:rPr>
          <w:rFonts w:ascii="Times New Roman;serif" w:hAnsi="Times New Roman;serif"/>
          <w:b w:val="false"/>
          <w:i/>
          <w:color w:val="000000"/>
          <w:sz w:val="22"/>
        </w:rPr>
        <w:t>first</w:t>
      </w:r>
      <w:r>
        <w:rPr>
          <w:rFonts w:ascii="Times New Roman;serif" w:hAnsi="Times New Roman;serif"/>
          <w:b w:val="false"/>
          <w:color w:val="000000"/>
          <w:sz w:val="22"/>
        </w:rPr>
        <w:t>, the shares of Common Stock that Parent proposes to sell; (ii) </w:t>
      </w:r>
      <w:r>
        <w:rPr>
          <w:rFonts w:ascii="Times New Roman;serif" w:hAnsi="Times New Roman;serif"/>
          <w:b w:val="false"/>
          <w:i/>
          <w:color w:val="000000"/>
          <w:sz w:val="22"/>
        </w:rPr>
        <w:t>second</w:t>
      </w:r>
      <w:r>
        <w:rPr>
          <w:rFonts w:ascii="Times New Roman;serif" w:hAnsi="Times New Roman;serif"/>
          <w:b w:val="false"/>
          <w:color w:val="000000"/>
          <w:sz w:val="22"/>
        </w:rPr>
        <w:t>, the shares of Common Stock that any Existing Holder proposes to sell, in accordance with the provisions of the Existing Registration Rights Agreements; and (iii) </w:t>
      </w:r>
      <w:r>
        <w:rPr>
          <w:rFonts w:ascii="Times New Roman;serif" w:hAnsi="Times New Roman;serif"/>
          <w:b w:val="false"/>
          <w:i/>
          <w:color w:val="000000"/>
          <w:sz w:val="22"/>
        </w:rPr>
        <w:t>third</w:t>
      </w:r>
      <w:r>
        <w:rPr>
          <w:rFonts w:ascii="Times New Roman;serif" w:hAnsi="Times New Roman;serif"/>
          <w:b w:val="false"/>
          <w:color w:val="000000"/>
          <w:sz w:val="22"/>
        </w:rPr>
        <w:t xml:space="preserve">, the shares of Common Stock requested to be included therein by holders of Registrable Securities and any Additional Registration Rights </w:t>
      </w:r>
    </w:p>
    <w:p>
      <w:pPr>
        <w:pStyle w:val="TextBody"/>
        <w:bidi w:val="0"/>
        <w:spacing w:before="0" w:after="24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36"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Holders with registration rights entitling them to participate in such Underwritten Offering, allocated among such holders pro rata based on the number of shares of Common Stock held by each applicable holder or in such manner as they may agree.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If a Piggyback Sale is initiated as an Underwritten Offering on behalf of any Existing Holder, and the managing underwriter advises Parent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Common Stock to be sold in such offering, Parent shall include in such registration or takedown (i) </w:t>
      </w:r>
      <w:r>
        <w:rPr>
          <w:rFonts w:ascii="Times New Roman;serif" w:hAnsi="Times New Roman;serif"/>
          <w:b w:val="false"/>
          <w:i/>
          <w:color w:val="000000"/>
          <w:sz w:val="22"/>
        </w:rPr>
        <w:t>first</w:t>
      </w:r>
      <w:r>
        <w:rPr>
          <w:rFonts w:ascii="Times New Roman;serif" w:hAnsi="Times New Roman;serif"/>
          <w:b w:val="false"/>
          <w:color w:val="000000"/>
          <w:sz w:val="22"/>
        </w:rPr>
        <w:t>, the shares of Common Stock requested to be included therein by the Existing Holders, in accordance with the provisions of the Existing Registration Rights Agreements; and (ii) </w:t>
      </w:r>
      <w:r>
        <w:rPr>
          <w:rFonts w:ascii="Times New Roman;serif" w:hAnsi="Times New Roman;serif"/>
          <w:b w:val="false"/>
          <w:i/>
          <w:color w:val="000000"/>
          <w:sz w:val="22"/>
        </w:rPr>
        <w:t>second</w:t>
      </w:r>
      <w:r>
        <w:rPr>
          <w:rFonts w:ascii="Times New Roman;serif" w:hAnsi="Times New Roman;serif"/>
          <w:b w:val="false"/>
          <w:color w:val="000000"/>
          <w:sz w:val="22"/>
        </w:rPr>
        <w:t>, the shares of Common Stock requested to be included therein by the holders of Registrable Securities and any Additional Registration Rights Holders with registration rights entitling them to participate in such Underwritten Offering, allocated among such holders pro rata on the basis of the number of shares of Common Stock held by each applicable holder or in such manner as they may agree.</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2"/>
        </w:rPr>
        <w:t>If a Piggyback Sale is initiated as an Underwritten Offering on behalf of any Additional Registration Rights Holder, and the managing underwriter advises Parent in writing that in its reasonable and good faith opinion the number of shares of Common Stock proposed to be included in such registration or takedown, including all Registrable Securities and all other shares of Common Stock proposed to be included in such Underwritten Offering, exceeds the number of shares of Common Stock that can be sold in such offering and/or that the number of shares of Common Stock proposed to be included in any such registration or takedown would adversely affect the price per share of the Common Stock to be sold in such offering, Parent shall include in such registration or takedown (i) </w:t>
      </w:r>
      <w:r>
        <w:rPr>
          <w:rFonts w:ascii="Times New Roman;serif" w:hAnsi="Times New Roman;serif"/>
          <w:b w:val="false"/>
          <w:i/>
          <w:color w:val="000000"/>
          <w:sz w:val="22"/>
        </w:rPr>
        <w:t>first</w:t>
      </w:r>
      <w:r>
        <w:rPr>
          <w:rFonts w:ascii="Times New Roman;serif" w:hAnsi="Times New Roman;serif"/>
          <w:b w:val="false"/>
          <w:color w:val="000000"/>
          <w:sz w:val="22"/>
        </w:rPr>
        <w:t>, the shares of Common Stock requested to be included therein by the Additional Registration Rights Holders requesting such registration or takedown and the Existing Holders, in accordance with the provisions of the Existing Registration Rights Agreements; and (ii) </w:t>
      </w:r>
      <w:r>
        <w:rPr>
          <w:rFonts w:ascii="Times New Roman;serif" w:hAnsi="Times New Roman;serif"/>
          <w:b w:val="false"/>
          <w:i/>
          <w:color w:val="000000"/>
          <w:sz w:val="22"/>
        </w:rPr>
        <w:t>second</w:t>
      </w:r>
      <w:r>
        <w:rPr>
          <w:rFonts w:ascii="Times New Roman;serif" w:hAnsi="Times New Roman;serif"/>
          <w:b w:val="false"/>
          <w:color w:val="000000"/>
          <w:sz w:val="22"/>
        </w:rPr>
        <w:t>, the shares of Common Stock requested to be included therein by the holders of Registrable Securities and by any Additional Registration Rights Holders with registration rights entitling them to participate in such Underwritten Offering, allocated among such holders pro rata on the basis of the number of shares of Common Stock held by each applicable holder or in such manner as they may agree.</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2"/>
        </w:rPr>
        <w:t>If any Piggyback Sale is initiated as a primary Underwritten Offering on behalf of Parent, Parent shall select the investment banking firm or firms to act as the managing underwriter or underwriters in connection with such offering.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2"/>
          <w:u w:val="single"/>
        </w:rPr>
        <w:t>Holdbacks; Other Restrictions and Acknowledgements</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 xml:space="preserve">In connection with any Underwritten Offering, if requested by the managing underwriter, each Stockholder and any Permitted Assignee participating in such Underwritten Offering agrees to enter into customary agreements restricting the public sale or distribution of equity securities of Parent (including sales pursuant to Rule 144 under the Securities Act) during the period commencing on the launch of such offering but no earlier than 10 days prior to the “pricing” of such Underwritten Offering and continuing for not more than 90 days after the date </w:t>
      </w:r>
    </w:p>
    <w:p>
      <w:pPr>
        <w:pStyle w:val="TextBody"/>
        <w:bidi w:val="0"/>
        <w:spacing w:before="0" w:after="24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7" name="Frame2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of the “final” Prospectus (or “final” prospectus supplement if the Underwritten Offering is made pursuant to a Shelf Registration Statement), pursuant to which such Underwritten Offering shall be made, or such lesser period as is required by the lead managing underwriter(s); </w:t>
      </w:r>
      <w:r>
        <w:rPr>
          <w:rFonts w:ascii="Times New Roman;serif" w:hAnsi="Times New Roman;serif"/>
          <w:b w:val="false"/>
          <w:color w:val="000000"/>
          <w:sz w:val="22"/>
          <w:u w:val="single"/>
        </w:rPr>
        <w:t>provided that</w:t>
      </w:r>
      <w:r>
        <w:rPr>
          <w:rFonts w:ascii="Times New Roman;serif" w:hAnsi="Times New Roman;serif"/>
          <w:b w:val="false"/>
          <w:color w:val="000000"/>
          <w:sz w:val="22"/>
        </w:rPr>
        <w:t xml:space="preserve">, notwithstanding the foregoing, (i) the duration of the foregoing restrictions shall be no longer than the duration of the shortest restriction imposed by the underwriters on any Stockholder or any Permitted Assignee or the officers or directors on whom a restriction is imposed and (ii) that the restrictions set forth in this </w:t>
      </w:r>
      <w:r>
        <w:rPr>
          <w:rFonts w:ascii="Times New Roman;serif" w:hAnsi="Times New Roman;serif"/>
          <w:b w:val="false"/>
          <w:color w:val="000000"/>
          <w:sz w:val="22"/>
          <w:u w:val="single"/>
        </w:rPr>
        <w:t>Section 4(a)</w:t>
      </w:r>
      <w:r>
        <w:rPr>
          <w:color w:val="000000"/>
        </w:rPr>
        <w:t xml:space="preserve"> </w:t>
      </w:r>
      <w:r>
        <w:rPr>
          <w:rFonts w:ascii="Times New Roman;serif" w:hAnsi="Times New Roman;serif"/>
          <w:b w:val="false"/>
          <w:color w:val="000000"/>
          <w:sz w:val="22"/>
        </w:rPr>
        <w:t>shall not apply to any Registrable Securities that are included in such Underwritten Offering by such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In connection with any Underwritten Shelf Takedown, Parent, if requested by the managing underwriter, will not effect any public sale or distribution of any common equity (or securities convertible into or exchangeable or exercisable for common equity) (other than a registration statement on Form S-4, Form S-8 or any successor forms thereto or any other form for the registration of securities issued or to be issued in connection with a merger, acquisition or employee benefit plan) for its own account within 90 days after the effective date of such Underwritten Offering except as may otherwise be agreed between Parent and the lead managing underwriter(s) of such Underwritten Offering.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Parent covenants and agrees during the term of this Agreement, without the prior written consent of a majority of the then-outstanding Registrable Securities, not to enter into any other registration rights agreement that contains registration rights in favor of a third party that would have priority to the rights of holders of Registrable Securities contained in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2"/>
          <w:u w:val="single"/>
        </w:rPr>
        <w:t>Registration Procedures</w:t>
      </w:r>
      <w:r>
        <w:rPr>
          <w:rFonts w:ascii="Times New Roman;serif" w:hAnsi="Times New Roman;serif"/>
          <w:b w:val="false"/>
          <w:color w:val="000000"/>
          <w:sz w:val="22"/>
        </w:rPr>
        <w:t>. If and whenever the holders of Registrable Securities request that the offer and sale of any Registrable Securities be registered under the Securities Act or any Registrable Securities be distributed in a Shelf Registration pursuant to the provisions of this Agreement, Parent shall use its commercially reasonable efforts to effect the offer and sale of such Registrable Securities under the Securities Act in accordance with the intended method of disposition thereof, and pursuant thereto Parent shall as soon as reasonably practicable and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 xml:space="preserve">subject to </w:t>
      </w:r>
      <w:r>
        <w:rPr>
          <w:rFonts w:ascii="Times New Roman;serif" w:hAnsi="Times New Roman;serif"/>
          <w:b w:val="false"/>
          <w:color w:val="000000"/>
          <w:sz w:val="22"/>
          <w:u w:val="single"/>
        </w:rPr>
        <w:t>Section 2</w:t>
      </w:r>
      <w:r>
        <w:rPr>
          <w:rFonts w:ascii="Times New Roman;serif" w:hAnsi="Times New Roman;serif"/>
          <w:b w:val="false"/>
          <w:color w:val="000000"/>
          <w:sz w:val="22"/>
        </w:rPr>
        <w:t>, prepare and file with the Commission a Registration Statement covering such Registrable Securities and use its commercially reasonable efforts to cause such Registration Statement to be declared effective;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 xml:space="preserve">prepare and file with the Commission such amendments, post-effective amendments and supplements to such Registration Statement and the Prospectus used in connection therewith as may be necessary to keep such Registration Statement effective and to comply with the provisions of the Securities Act with respect to the disposition of all Registrable Securities subject thereto until the date on which all the Registrable Securities subject thereto have been sold pursuant to such Registration Statement, subject to </w:t>
      </w:r>
      <w:r>
        <w:rPr>
          <w:rFonts w:ascii="Times New Roman;serif" w:hAnsi="Times New Roman;serif"/>
          <w:b w:val="false"/>
          <w:color w:val="000000"/>
          <w:sz w:val="22"/>
          <w:u w:val="single"/>
        </w:rPr>
        <w:t>Section 2(a)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within a reasonable time (in any case not less than three (3) Business Days) before filing such Registration Statement, Prospectus or amendments or supplements thereto with the Commission, furnish to one counsel selected by the holders of a majority of the Registrable Securities included in such Registration Statement, Prospectus or amendments or supplements thereto copies of such documents proposed to be filed, which documents shall be subject to the review, comment and approval of such counsel;</w:t>
      </w:r>
    </w:p>
    <w:p>
      <w:pPr>
        <w:pStyle w:val="TextBody"/>
        <w:bidi w:val="0"/>
        <w:spacing w:before="0" w:after="24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8" name="Frame2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2"/>
        </w:rPr>
        <w:t>notify each selling holder of Registrable Securities, promptly after Parent receives notice thereof, of the time when such Registration Statement has been declared effective or a supplement to any Prospectus forming a part of such Registration Statement has been filed with the Commission;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(e)    </w:t>
      </w:r>
      <w:r>
        <w:rPr>
          <w:rFonts w:ascii="Times New Roman;serif" w:hAnsi="Times New Roman;serif"/>
          <w:b w:val="false"/>
          <w:color w:val="000000"/>
          <w:sz w:val="22"/>
        </w:rPr>
        <w:t>furnish to each selling holder of Registrable Securities such number of copies of the Prospectus included in such Registration Statement (including each preliminary Prospectus) and any supplement thereto (in each case including all exhibits and documents incorporated by reference therein) and such other documents as such seller may reasonably request in order to facilitate the disposition of the Registrable Securities owned by such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(f)    </w:t>
      </w:r>
      <w:r>
        <w:rPr>
          <w:rFonts w:ascii="Times New Roman;serif" w:hAnsi="Times New Roman;serif"/>
          <w:b w:val="false"/>
          <w:color w:val="000000"/>
          <w:sz w:val="22"/>
        </w:rPr>
        <w:t xml:space="preserve">use its commercially reasonable efforts to register or qualify such Registrable Securities under such other securities or “blue sky” laws of such jurisdictions as any selling holder reasonably requests and do any and all other acts and things which may be reasonably necessary or advisable to enable such holders to consummate the disposition in such jurisdictions of the Registrable Securities owned by such holders;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Parent shall not be required to qualify generally to do business, subject itself to general taxation or consent to general service of process in any jurisdiction where it would not otherwise be required to do so but for this </w:t>
      </w:r>
      <w:r>
        <w:rPr>
          <w:rFonts w:ascii="Times New Roman;serif" w:hAnsi="Times New Roman;serif"/>
          <w:b w:val="false"/>
          <w:color w:val="000000"/>
          <w:sz w:val="22"/>
          <w:u w:val="single"/>
        </w:rPr>
        <w:t>Section 5(f)</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(g)    </w:t>
      </w:r>
      <w:r>
        <w:rPr>
          <w:rFonts w:ascii="Times New Roman;serif" w:hAnsi="Times New Roman;serif"/>
          <w:b w:val="false"/>
          <w:color w:val="000000"/>
          <w:sz w:val="22"/>
        </w:rPr>
        <w:t>notify each selling holder of such Registrable Securities, at any time when a Prospectus relating thereto is required to be delivered under the Securities Act, of the happening of any event that would cause the Prospectus included in such Registration Statement to contain an untrue statement of a material fact or omit any fact necessary in order to make the statements made therein, in light of the circumstances under which they were made, not misleading, and, at the request of any such holder, Parent shall prepare and file as soon as practicable a supplement or amendment to such Prospectus so that, as thereafter delivered to the purchasers of such Registrable Securities, such Prospectus shall not contain an untrue statement of a material fact or omit to state any fact necessary to make the statements therein, in light of the circumstances under which they were made, not misleading;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(h)    </w:t>
      </w:r>
      <w:r>
        <w:rPr>
          <w:rFonts w:ascii="Times New Roman;serif" w:hAnsi="Times New Roman;serif"/>
          <w:b w:val="false"/>
          <w:color w:val="000000"/>
          <w:sz w:val="22"/>
        </w:rPr>
        <w:t>make available for inspection by any selling holder of Registrable Securities, any underwriter participating in any disposition pursuant to such Registration Statement and any attorney, accountant or other agent retained by any such holder or underwriter (collectively, the “</w:t>
      </w:r>
      <w:r>
        <w:rPr>
          <w:rFonts w:ascii="Times New Roman;serif" w:hAnsi="Times New Roman;serif"/>
          <w:b/>
          <w:i/>
          <w:color w:val="000000"/>
          <w:sz w:val="22"/>
        </w:rPr>
        <w:t>Inspectors</w:t>
      </w:r>
      <w:r>
        <w:rPr>
          <w:color w:val="000000"/>
        </w:rPr>
        <w:t>”</w:t>
      </w:r>
      <w:r>
        <w:rPr>
          <w:rFonts w:ascii="Times New Roman;serif" w:hAnsi="Times New Roman;serif"/>
          <w:b w:val="false"/>
          <w:color w:val="000000"/>
          <w:sz w:val="22"/>
        </w:rPr>
        <w:t>), all financial and other records, pertinent corporate documents and properties of Parent, and cause Parent’s officers, directors and employees to supply all information reasonably requested by any such Inspector in connection with such Registration 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(i)    </w:t>
      </w:r>
      <w:r>
        <w:rPr>
          <w:rFonts w:ascii="Times New Roman;serif" w:hAnsi="Times New Roman;serif"/>
          <w:b w:val="false"/>
          <w:color w:val="000000"/>
          <w:sz w:val="22"/>
        </w:rPr>
        <w:t>provide a transfer agent and registrar (which may be the same entity) for all such Registrable Securities not later than the effective date of such registration;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(j)    </w:t>
      </w:r>
      <w:r>
        <w:rPr>
          <w:rFonts w:ascii="Times New Roman;serif" w:hAnsi="Times New Roman;serif"/>
          <w:b w:val="false"/>
          <w:color w:val="000000"/>
          <w:sz w:val="22"/>
        </w:rPr>
        <w:t>use its commercially reasonable efforts to cause such Registrable Securities to be listed on each securities exchange on which the Common Stock is then listed;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(k)    </w:t>
      </w:r>
      <w:r>
        <w:rPr>
          <w:rFonts w:ascii="Times New Roman;serif" w:hAnsi="Times New Roman;serif"/>
          <w:b w:val="false"/>
          <w:color w:val="000000"/>
          <w:sz w:val="22"/>
        </w:rPr>
        <w:t xml:space="preserve">in connection with an Underwritten Offering, enter into such customary agreements (including underwriting and lock-up agreements in customary form) and take all such other customary actions as the holders of such Registrable Securities or the managing underwriter of such offering reasonably request in order to expedite or facilitate the disposition of such Registrable Securities (including, without limitation, making appropriate officers of Parent </w:t>
      </w:r>
    </w:p>
    <w:p>
      <w:pPr>
        <w:pStyle w:val="TextBody"/>
        <w:bidi w:val="0"/>
        <w:spacing w:before="0" w:after="24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39" name="Frame2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available to participate in “road show” and other customary marketing activities (including one-on-one meetings with prospective purchasers of the Registrable Securities));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(l)    </w:t>
      </w:r>
      <w:r>
        <w:rPr>
          <w:rFonts w:ascii="Times New Roman;serif" w:hAnsi="Times New Roman;serif"/>
          <w:b w:val="false"/>
          <w:color w:val="000000"/>
          <w:sz w:val="22"/>
        </w:rPr>
        <w:t>otherwise use its commercially reasonable efforts to comply with all applicable rules and regulations of the Commission and make available to its holders an earnings statement (in a form that satisfies the provisions of Section 11(a) of the Securities Act and Rule 158 under the Securities Act or any successor rule thereto) no later than 30 days after the end of the 12-month period beginning with the first day of Parent’s first full fiscal quarter after the effective date of such Registration Statement, which earnings statement shall cover said 12-month period, and which requirement will be deemed to be satisfied if Parent timely files complete and accurate information on Forms 10-K, 10-Q and 8-K under the Exchange Act and otherwise complies with Rule 158 under the Securities Act or any successor rule thereto;</w:t>
      </w:r>
    </w:p>
    <w:p>
      <w:pPr>
        <w:pStyle w:val="TextBody"/>
        <w:bidi w:val="0"/>
        <w:spacing w:lineRule="auto" w:line="288" w:before="0" w:after="240"/>
        <w:ind w:left="0" w:right="0" w:firstLine="720"/>
        <w:jc w:val="both"/>
        <w:rPr/>
      </w:pPr>
      <w:r>
        <w:rPr>
          <w:rFonts w:ascii="Times New Roman;serif" w:hAnsi="Times New Roman;serif"/>
          <w:b w:val="false"/>
          <w:color w:val="000000"/>
          <w:sz w:val="24"/>
        </w:rPr>
        <w:t>(m)    </w:t>
      </w:r>
      <w:r>
        <w:rPr>
          <w:rFonts w:ascii="Times New Roman;serif" w:hAnsi="Times New Roman;serif"/>
          <w:b w:val="false"/>
          <w:color w:val="000000"/>
          <w:sz w:val="22"/>
        </w:rPr>
        <w:t>in connection with any Underwritten Offering, furnish to each selling holder of Registrable Securities and each underwriter, if any, with (i) a written legal opinion of Parent’s outside counsel, dated the closing date of the offering, in form and substance as is customarily given in opinions of registrants’ counsel to underwriters in underwritten registered offerings; and (ii) on the date of the applicable Prospectus, on the effective date of any post-effective amendment to the applicable Registration Statement and at the closing of the offering, dated the respective dates of delivery thereof, a comfort letter signed by Parent’s independent certified public accountants in form and substance as is customarily given in accountants’ letters to underwriters in underwritten registered offerings;</w:t>
      </w:r>
    </w:p>
    <w:p>
      <w:pPr>
        <w:pStyle w:val="TextBody"/>
        <w:bidi w:val="0"/>
        <w:spacing w:lineRule="auto" w:line="288" w:before="0" w:after="240"/>
        <w:ind w:left="0" w:right="0" w:firstLine="720"/>
        <w:jc w:val="both"/>
        <w:rPr/>
      </w:pPr>
      <w:r>
        <w:rPr>
          <w:rFonts w:ascii="Times New Roman;serif" w:hAnsi="Times New Roman;serif"/>
          <w:b w:val="false"/>
          <w:color w:val="000000"/>
          <w:sz w:val="24"/>
        </w:rPr>
        <w:t>(n)    </w:t>
      </w:r>
      <w:r>
        <w:rPr>
          <w:rFonts w:ascii="Times New Roman;serif" w:hAnsi="Times New Roman;serif"/>
          <w:b w:val="false"/>
          <w:color w:val="000000"/>
          <w:sz w:val="22"/>
        </w:rPr>
        <w:t xml:space="preserve">without limiting </w:t>
      </w:r>
      <w:r>
        <w:rPr>
          <w:rFonts w:ascii="Times New Roman;serif" w:hAnsi="Times New Roman;serif"/>
          <w:b w:val="false"/>
          <w:color w:val="000000"/>
          <w:sz w:val="22"/>
          <w:u w:val="single"/>
        </w:rPr>
        <w:t>Section 5(f)</w:t>
      </w:r>
      <w:r>
        <w:rPr>
          <w:rFonts w:ascii="Times New Roman;serif" w:hAnsi="Times New Roman;serif"/>
          <w:b w:val="false"/>
          <w:color w:val="000000"/>
          <w:sz w:val="22"/>
        </w:rPr>
        <w:t>, use its commercially reasonable efforts to cause such Registrable Securities to be registered with or approved by such other governmental agencies or authorities as may be necessary by virtue of the business and operations of Parent to enable the holders of such Registrable Securities to consummate the disposition of such Registrable Securities in accordance with their intended method of distribution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(o)    </w:t>
      </w:r>
      <w:r>
        <w:rPr>
          <w:rFonts w:ascii="Times New Roman;serif" w:hAnsi="Times New Roman;serif"/>
          <w:b w:val="false"/>
          <w:color w:val="000000"/>
          <w:sz w:val="22"/>
        </w:rPr>
        <w:t>notify the holders of Registrable Securities promptly of any request by the Commission for the amending or supplementing of such Registration Statement or Prospectus or for additional information;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(p)    </w:t>
      </w:r>
      <w:r>
        <w:rPr>
          <w:rFonts w:ascii="Times New Roman;serif" w:hAnsi="Times New Roman;serif"/>
          <w:b w:val="false"/>
          <w:color w:val="000000"/>
          <w:sz w:val="22"/>
        </w:rPr>
        <w:t>advise the holders of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at the earliest possible moment if such stop order should be issued;</w:t>
      </w:r>
    </w:p>
    <w:p>
      <w:pPr>
        <w:pStyle w:val="TextBody"/>
        <w:bidi w:val="0"/>
        <w:spacing w:lineRule="auto" w:line="288" w:before="0" w:after="240"/>
        <w:ind w:left="0" w:right="0" w:firstLine="720"/>
        <w:jc w:val="both"/>
        <w:rPr/>
      </w:pPr>
      <w:r>
        <w:rPr>
          <w:rFonts w:ascii="Times New Roman;serif" w:hAnsi="Times New Roman;serif"/>
          <w:b w:val="false"/>
          <w:color w:val="000000"/>
          <w:sz w:val="24"/>
        </w:rPr>
        <w:t>(q)    </w:t>
      </w:r>
      <w:r>
        <w:rPr>
          <w:rFonts w:ascii="Times New Roman;serif" w:hAnsi="Times New Roman;serif"/>
          <w:b w:val="false"/>
          <w:color w:val="000000"/>
          <w:sz w:val="22"/>
        </w:rPr>
        <w:t>permit any holder of Registrable Securities which holder, in its sole and exclusive judgment, might be deemed to be an underwriter or a Controlling Person of Parent, to participate in the preparation of such Registration Statement and to require the insertion therein of language, furnished to Parent in writing, which in the reasonable judgment of such holder and its counsel should be included;</w:t>
      </w:r>
    </w:p>
    <w:p>
      <w:pPr>
        <w:pStyle w:val="TextBody"/>
        <w:bidi w:val="0"/>
        <w:spacing w:lineRule="auto" w:line="288" w:before="0" w:after="240"/>
        <w:ind w:left="0" w:right="0" w:firstLine="720"/>
        <w:jc w:val="both"/>
        <w:rPr/>
      </w:pPr>
      <w:r>
        <w:rPr>
          <w:rFonts w:ascii="Times New Roman;serif" w:hAnsi="Times New Roman;serif"/>
          <w:b w:val="false"/>
          <w:color w:val="000000"/>
          <w:sz w:val="24"/>
        </w:rPr>
        <w:t>(r)    </w:t>
      </w:r>
      <w:r>
        <w:rPr>
          <w:rFonts w:ascii="Times New Roman;serif" w:hAnsi="Times New Roman;serif"/>
          <w:b w:val="false"/>
          <w:color w:val="000000"/>
          <w:sz w:val="22"/>
        </w:rPr>
        <w:t xml:space="preserve">cooperate with the holders of the Registrable Securities to facilitate the timely preparation and delivery of certificates representing the Registrable Securities to be sold pursuant to such Registration Statement free of any restrictive legends and representing such number of </w:t>
      </w:r>
    </w:p>
    <w:p>
      <w:pPr>
        <w:pStyle w:val="TextBody"/>
        <w:bidi w:val="0"/>
        <w:spacing w:before="0" w:after="24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0" name="Frame2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shares of Common Stock and registered in such names as the holders of the Registrable Securities may reasonably request a reasonable period of time prior to sales of Registrable Securities pursuant to such Registration Statement;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Parent may satisfy its obligations hereunder without issuing physical stock certificates through the use of the facilities of The Depository Trust Company (“</w:t>
      </w:r>
      <w:r>
        <w:rPr>
          <w:rFonts w:ascii="Times New Roman;serif" w:hAnsi="Times New Roman;serif"/>
          <w:b/>
          <w:i/>
          <w:color w:val="000000"/>
          <w:sz w:val="22"/>
        </w:rPr>
        <w:t>DTC</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(s)    </w:t>
      </w:r>
      <w:r>
        <w:rPr>
          <w:rFonts w:ascii="Times New Roman;serif" w:hAnsi="Times New Roman;serif"/>
          <w:b w:val="false"/>
          <w:color w:val="000000"/>
          <w:sz w:val="22"/>
        </w:rPr>
        <w:t xml:space="preserve">not later than the effective date of such Registration Statement, provide a CUSIP number for all Registrable Securities and provide the applicable transfer agent with printed certificates for the Registrable Securities which are in a form eligible for deposit with DTC; </w:t>
      </w:r>
      <w:r>
        <w:rPr>
          <w:rFonts w:ascii="Times New Roman;serif" w:hAnsi="Times New Roman;serif"/>
          <w:b w:val="false"/>
          <w:color w:val="000000"/>
          <w:sz w:val="22"/>
          <w:u w:val="single"/>
        </w:rPr>
        <w:t>provided</w:t>
      </w:r>
      <w:r>
        <w:rPr>
          <w:rFonts w:ascii="Times New Roman;serif" w:hAnsi="Times New Roman;serif"/>
          <w:b w:val="false"/>
          <w:color w:val="000000"/>
          <w:sz w:val="22"/>
        </w:rPr>
        <w:t>, that Parent may satisfy its obligations hereunder without issuing physical stock certificates through the use of the facilities of DTC;</w:t>
      </w:r>
    </w:p>
    <w:p>
      <w:pPr>
        <w:pStyle w:val="TextBody"/>
        <w:bidi w:val="0"/>
        <w:spacing w:lineRule="auto" w:line="288" w:before="0" w:after="240"/>
        <w:ind w:left="0" w:right="0" w:firstLine="720"/>
        <w:jc w:val="both"/>
        <w:rPr/>
      </w:pPr>
      <w:r>
        <w:rPr>
          <w:rFonts w:ascii="Times New Roman;serif" w:hAnsi="Times New Roman;serif"/>
          <w:b w:val="false"/>
          <w:color w:val="000000"/>
          <w:sz w:val="24"/>
        </w:rPr>
        <w:t>(t)    </w:t>
      </w:r>
      <w:r>
        <w:rPr>
          <w:rFonts w:ascii="Times New Roman;serif" w:hAnsi="Times New Roman;serif"/>
          <w:b w:val="false"/>
          <w:color w:val="000000"/>
          <w:sz w:val="22"/>
        </w:rPr>
        <w:t xml:space="preserve">take no direct or indirect action prohibited by Regulation M under the Exchange Act;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to the extent that any prohibition is applicable to Parent, Parent will take all commercially reasonable action to make any such prohibition inapplicable;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(u)    </w:t>
      </w:r>
      <w:r>
        <w:rPr>
          <w:rFonts w:ascii="Times New Roman;serif" w:hAnsi="Times New Roman;serif"/>
          <w:b w:val="false"/>
          <w:color w:val="000000"/>
          <w:sz w:val="22"/>
        </w:rPr>
        <w:t>otherwise use its commercially reasonable efforts to take all other steps necessary to effect the registration of such Registrable Securities contemplated hereby.</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2"/>
          <w:u w:val="single"/>
        </w:rPr>
        <w:t>Expenses</w:t>
      </w:r>
      <w:r>
        <w:rPr>
          <w:rFonts w:ascii="Times New Roman;serif" w:hAnsi="Times New Roman;serif"/>
          <w:b w:val="false"/>
          <w:color w:val="000000"/>
          <w:sz w:val="22"/>
        </w:rPr>
        <w:t>. All expenses (other than Selling Expenses) incurred by Parent in complying with its obligations pursuant to this Agreement and in connection with the registration and disposition of Registrable Securities shall be paid by Parent, including, without limitation, all (i) registration and filing fees (including, without limitation, any fees relating to filings required to be made with, or the listing of any Registrable Securities on, any securities exchange or over-the-counter trading market on which the Registrable Securities are listed or quoted); (ii) underwriting expenses (other than fees, commissions or discounts); (iii) expenses of any audits incident to or required by any such registration; (iv) fees and expenses of complying with securities and “blue sky” laws (including, without limitation, fees and disbursements of counsel for Parent in connection with “blue sky” qualifications or exemptions of the Registrable Securities) of any domestic jurisdictions, reasonably requested by the holders of Registrable Securities; (v) printing expenses; (vi) messenger, telephone and delivery expenses; (vii) fees and expenses of Parent’s counsel and accountants; (viii) Financial Industry Regulatory Authority, Inc. filing fees (if any); and (ix) reasonable fees and expenses of one counsel for the holders of Registrable Securities participating in such registration as a group (selected by the holders of a majority of the Registrable Securities being sold in any offering). In addition, Parent shall be responsible for all of its internal expenses incurred in connection with the consummation of the transactions contemplated by this Agreement (including, without limitation, all salaries and expenses of its officers and employees performing legal or accounting duties) and the expense of any annual audits. All Selling Expenses relating to the offer and sale of Registrable Securities registered under the Securities Act pursuant to this Agreement shall be borne and paid by the holders of such Registrable Securities, in proportion to the number of Registrable Securities included in such registration for each such holder.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2"/>
          <w:u w:val="single"/>
        </w:rPr>
        <w:t>Indemnification</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 xml:space="preserve">Parent shall indemnify and hold harmless, to the fullest extent permitted by law, each holder of Registrable Securities, such holder’s officers, directors, managers, members, partners, stockholders, employees and Affiliates, and each other Controlling Person, if any, who controls any of the foregoing Persons, against all losses, claims, actions, damages, liabilities and expenses, joint or several, to which any of the foregoing Persons may become subject under the Securities Act or otherwise, insofar as such losses, claims, actions, damages, liabilities or </w:t>
      </w:r>
    </w:p>
    <w:p>
      <w:pPr>
        <w:pStyle w:val="TextBody"/>
        <w:bidi w:val="0"/>
        <w:spacing w:before="0" w:after="24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1" name="Frame2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expenses arise out of or are based upon any untrue or alleged untrue statement of a material fact contained in any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and shall reimburse such Persons for any legal or other expenses reasonably incurred by any of them in connection with investigating or defending any such loss, claim, action, damage or liability, except insofar as the same are caused by or contained in any information furnished in writing to Parent by such holder expressly for use therein or by such holder’s failure to deliver a copy of the Registration Statement, Prospectus, preliminary Prospectus, free writing prospectus (as defined in Rule 405 under the Securities Act or any successor rule thereto) or any amendments or supplements thereto (if the same was required by applicable law to be so delivered) after Parent has furnished such holder with a sufficient number of copies of the same prior to any written confirmation of the sale of Registrable Securities. This indemnity shall be in addition to any liability Parent may otherwise have.</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 xml:space="preserve">In connection with any registration in which a holder of Registrable Securities is participating, such holder shall furnish to Parent in writing such information as Parent reasonably requests for use in connection with any such Registration Statement or Prospectus and, to the extent permitted by law, shall indemnify and hold harmless, Parent, each director of Parent, each officer of Parent who shall sign such Registration Statement, and each Controlling Person who controls any of the foregoing Persons against any losses, claims, actions, damages, liabilities or expenses resulting from any untrue or alleged untrue statement of material fact contained in the Registration Statement, Prospectus, preliminary Prospectus, free writing prospectus (as defined in Rule 405 under the Securities Act or any successor rule thereto) or any amendment thereof or supplement thereto or any omission or alleged omission of a material fact required to be stated therein or necessary to make the statements therein (in the case of a Prospectus, preliminary Prospectus or free writing prospectus, in light of the circumstances under which they were made) not misleading, but only to the extent that such untrue statement or omission is contained in any information so furnished in writing by such holder;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obligation to indemnify shall be several, not joint and several, for such holder and shall not exceed an amount equal to the net proceeds (after underwriting fees, commissions or discounts) actually received by such holder from the sale of Registrable Securities pursuant to such Registration Statement. This indemnity shall be in addition to any liability the selling holder may otherwise have.</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 xml:space="preserve">Promptly after receipt by an indemnified party of notice of the commencement of any action involving a claim referred to in this </w:t>
      </w:r>
      <w:r>
        <w:rPr>
          <w:rFonts w:ascii="Times New Roman;serif" w:hAnsi="Times New Roman;serif"/>
          <w:b w:val="false"/>
          <w:color w:val="000000"/>
          <w:sz w:val="22"/>
          <w:u w:val="single"/>
        </w:rPr>
        <w:t>Section 7</w:t>
      </w:r>
      <w:r>
        <w:rPr>
          <w:rFonts w:ascii="Times New Roman;serif" w:hAnsi="Times New Roman;serif"/>
          <w:b w:val="false"/>
          <w:color w:val="000000"/>
          <w:sz w:val="22"/>
        </w:rPr>
        <w:t xml:space="preserve">, such indemnified party shall, if a claim in respect thereof is made against an indemnifying party, give written notice to the latter of the commencement of such action. The failure of any indemnified party to notify an indemnifying party of any such action shall not (unless such failure shall have a material adverse effect on the indemnifying party) relieve the indemnifying party from any liability in respect of such action that it may have to such indemnified party hereunder. In case any such action is brought against an indemnified party, the indemnifying party shall be entitled to participate in and to assume the defense of the claims in any such action that are subject or potentially subject to indemnification hereunder, jointly with any other indemnifying party similarly notified to the extent that it may wish, with counsel reasonably satisfactory to such indemnified party, and after written notice from the indemnifying party to such indemnified party of its election so to assume the defense thereof, the indemnifying party shall not be responsible for any legal or other expenses </w:t>
      </w:r>
    </w:p>
    <w:p>
      <w:pPr>
        <w:pStyle w:val="TextBody"/>
        <w:bidi w:val="0"/>
        <w:spacing w:before="0" w:after="24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2" name="Frame2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subsequently incurred by the indemnified party in connection with the defense thereof; </w:t>
      </w:r>
      <w:r>
        <w:rPr>
          <w:rFonts w:ascii="Times New Roman;serif" w:hAnsi="Times New Roman;serif"/>
          <w:b w:val="false"/>
          <w:color w:val="000000"/>
          <w:sz w:val="22"/>
          <w:u w:val="single"/>
        </w:rPr>
        <w:t>provided</w:t>
      </w:r>
      <w:r>
        <w:rPr>
          <w:rFonts w:ascii="Times New Roman;serif" w:hAnsi="Times New Roman;serif"/>
          <w:b w:val="false"/>
          <w:color w:val="000000"/>
          <w:sz w:val="22"/>
        </w:rPr>
        <w:t>, that, if (i) any indemnified party shall have reasonably concluded that there may be one or more legal or equitable defenses available to such indemnified party which are additional to or conflict with those available to the indemnifying party, or that such claim or litigation involves or could have an effect upon matters beyond the scope of the indemnity provided hereunder, or (ii) such action seeks an injunction or equitable relief against any indemnified party or involves actual or alleged criminal activity, the indemnifying party shall not have the right to assume the defense of such action on behalf of such indemnified party without such indemnified party’s prior written consent (but, without such consent, shall have the right to participate therein with counsel of its choice) and such indemnifying party shall reimburse such indemnified party and any Controlling Person of such indemnified party for that portion of the fees and expenses of any counsel retained by the indemnified party which is reasonably related to the matters covered by the indemnity provided hereunder. If the indemnifying party is not entitled to, or elects not to, assume the defense of a claim, it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In such instance, the conflicting indemnified parties shall have a right to retain one separate counsel chosen by the holders of a majority of the Registrable Securities included in the registration, at the expense of the indemnifying party.</w:t>
      </w:r>
    </w:p>
    <w:p>
      <w:pPr>
        <w:pStyle w:val="TextBody"/>
        <w:bidi w:val="0"/>
        <w:spacing w:lineRule="auto" w:line="288" w:before="0" w:after="240"/>
        <w:ind w:left="0" w:right="0" w:firstLine="720"/>
        <w:jc w:val="both"/>
        <w:rPr/>
      </w:pPr>
      <w:r>
        <w:rPr>
          <w:rFonts w:ascii="Times New Roman;serif" w:hAnsi="Times New Roman;serif"/>
          <w:b w:val="false"/>
          <w:color w:val="000000"/>
          <w:sz w:val="24"/>
        </w:rPr>
        <w:t>(d)    </w:t>
      </w:r>
      <w:r>
        <w:rPr>
          <w:rFonts w:ascii="Times New Roman;serif" w:hAnsi="Times New Roman;serif"/>
          <w:b w:val="false"/>
          <w:color w:val="000000"/>
          <w:sz w:val="22"/>
        </w:rPr>
        <w:t xml:space="preserve">If the indemnification provided for hereunder is held by a court of competent jurisdiction to be unavailable to an indemnified party with respect to any loss, claim, damage, liability or action referred to herein, then the indemnifying party, in lieu of indemnifying such indemnified party hereunder, shall contribute to the amounts paid or payable by such indemnified party as a result of such loss, claim, damage, liability or action in such proportion as is appropriate to reflect the relative fault of the indemnifying party on the one hand and of the indemnified party on the other hand in connection with the statements or omissions that resulted in such loss, claim, damage, liability or action as well as any other relevant equitable considerations;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maximum amount of liability in respect of such contribution shall be limited, in the case of each holder of Registrable Securities, to an amount equal to the net proceeds (after underwriting fees, commissions or discounts) actually received by such seller from the sale of Registrable Securities effected pursuant to such registration. The relative fault of the indemnifying party and of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whether the violation of the Securities Act or any other similar federal or state securities laws or rule or regulation promulgated thereunder applicable to Parent and relating to action or inaction required of Parent in connection with any applicable registration, qualification or compliance was perpetrated by the indemnifying party or the indemnified party and the parties’ relative intent, knowledge, access to information and opportunity to correct or prevent such statement or omission. The Parties agree that it would not be just and equitable if contribution pursuant hereto were determined by pro rata allocation or by any other method or allocation which does not take account of the equitable considerations referred to herein. No Person guilty or liable of fraudulent misrepresentation within the meaning of Section 11(f) of the Securities Act shall be entitled to contribution from any Person who was not guilty of such fraudulent misrepresentation.</w:t>
      </w:r>
      <w:r>
        <w:rPr>
          <w:color w:val="000000"/>
        </w:rPr>
        <w:t xml:space="preserve"> </w:t>
      </w:r>
      <w:r>
        <w:rPr>
          <w:rFonts w:ascii="Times New Roman;serif" w:hAnsi="Times New Roman;serif"/>
          <w:b w:val="false"/>
          <w:color w:val="000000"/>
          <w:sz w:val="22"/>
        </w:rPr>
        <w:t xml:space="preserve">The contribution obligations of each holder under this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shall be several and not joint and several.</w:t>
      </w:r>
    </w:p>
    <w:p>
      <w:pPr>
        <w:pStyle w:val="TextBody"/>
        <w:bidi w:val="0"/>
        <w:spacing w:before="0" w:after="24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3" name="Frame2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8.    </w:t>
      </w:r>
      <w:r>
        <w:rPr>
          <w:rFonts w:ascii="Times New Roman;serif" w:hAnsi="Times New Roman;serif"/>
          <w:b w:val="false"/>
          <w:color w:val="000000"/>
          <w:sz w:val="22"/>
          <w:u w:val="single"/>
        </w:rPr>
        <w:t>Participation in Underwritten Registrations</w:t>
      </w:r>
      <w:r>
        <w:rPr>
          <w:rFonts w:ascii="Times New Roman;serif" w:hAnsi="Times New Roman;serif"/>
          <w:b w:val="false"/>
          <w:color w:val="000000"/>
          <w:sz w:val="22"/>
        </w:rPr>
        <w:t xml:space="preserve">. No Person may participate in any registration hereunder that is underwritten unless such Person (a) agrees to sell such Person’s securities on the basis provided in any underwriting arrangements approved by the Person or Persons entitled hereunder to approve such arrangements and (b) completes and executes all customary questionnaires, powers of attorney, indemnities, underwriting agreements and other customary documents on terms reasonably acceptable to such Person as are reasonably required under the terms of such underwriting arrangements;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any obligation of such Person to indemnify or contribute to any Person thereunder shall be consistent with, and in no respect broader or result in greater liability than, such Person’s obligations and applicable liability limitations under </w:t>
      </w:r>
      <w:r>
        <w:rPr>
          <w:rFonts w:ascii="Times New Roman;serif" w:hAnsi="Times New Roman;serif"/>
          <w:b w:val="false"/>
          <w:color w:val="000000"/>
          <w:sz w:val="22"/>
          <w:u w:val="single"/>
        </w:rPr>
        <w:t>Sections 7(b)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7(d)</w:t>
      </w:r>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9.    </w:t>
      </w:r>
      <w:r>
        <w:rPr>
          <w:rFonts w:ascii="Times New Roman;serif" w:hAnsi="Times New Roman;serif"/>
          <w:b w:val="false"/>
          <w:color w:val="000000"/>
          <w:sz w:val="22"/>
          <w:u w:val="single"/>
        </w:rPr>
        <w:t>Rule 144 Compliance</w:t>
      </w:r>
      <w:r>
        <w:rPr>
          <w:rFonts w:ascii="Times New Roman;serif" w:hAnsi="Times New Roman;serif"/>
          <w:b w:val="false"/>
          <w:color w:val="000000"/>
          <w:sz w:val="22"/>
        </w:rPr>
        <w:t>. With a view to making available to the holders of Registrable Securities the benefits of Rule 144 and any other rule or regulation of the Commission that may at any time permit a holder to sell securities of Parent to the public without registration, Parent shall:</w: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use commercially reasonable efforts to make and keep public information available, as those terms are understood and defined in Rule 144;</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use commercially reasonable efforts to file with the Commission in a timely manner all reports and other documents required of Parent under the Securities Act and the Exchange Act; and</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furnish to any holder so long as such holder owns Registrable Securities, promptly upon request, (i) a written statement by Parent as to its compliance with the reporting requirements of Rule 144 and of the Securities Act and the Exchange Act, (ii) a copy of the most recent annual or quarterly report of Parent, unless available in the Electronic Data Gathering, Analysis and Retrieval database of the Commission (“</w:t>
      </w:r>
      <w:r>
        <w:rPr>
          <w:rFonts w:ascii="Times New Roman;serif" w:hAnsi="Times New Roman;serif"/>
          <w:b/>
          <w:i/>
          <w:color w:val="000000"/>
          <w:sz w:val="22"/>
        </w:rPr>
        <w:t>EDGAR</w:t>
      </w:r>
      <w:r>
        <w:rPr>
          <w:color w:val="000000"/>
        </w:rPr>
        <w:t>”</w:t>
      </w:r>
      <w:r>
        <w:rPr>
          <w:rFonts w:ascii="Times New Roman;serif" w:hAnsi="Times New Roman;serif"/>
          <w:b w:val="false"/>
          <w:color w:val="000000"/>
          <w:sz w:val="22"/>
        </w:rPr>
        <w:t>), (iii) such other reports and documents so filed or furnished by Parent as such holder may reasonably request in connection with the sale of Registrable Securities without registration, unless such reports or documents are available in EDGAR and (iv) subject to receipt of customary seller and broker representation letters, the opinion of Parent’s counsel, in form and substance reasonably acceptable to the transfer agent for the Common Stock, relating to such matters as such transfer agent may reasonably request in connection with the removal of any restrictive legends contained on such Common Stock.</w:t>
      </w:r>
    </w:p>
    <w:p>
      <w:pPr>
        <w:pStyle w:val="TextBody"/>
        <w:bidi w:val="0"/>
        <w:spacing w:lineRule="auto" w:line="288" w:before="0" w:after="240"/>
        <w:ind w:left="0" w:right="0" w:firstLine="720"/>
        <w:jc w:val="both"/>
        <w:rPr/>
      </w:pPr>
      <w:r>
        <w:rPr>
          <w:rFonts w:ascii="Times New Roman;serif" w:hAnsi="Times New Roman;serif"/>
          <w:b w:val="false"/>
          <w:color w:val="000000"/>
          <w:sz w:val="24"/>
        </w:rPr>
        <w:t>10.    </w:t>
      </w:r>
      <w:r>
        <w:rPr>
          <w:rFonts w:ascii="Times New Roman;serif" w:hAnsi="Times New Roman;serif"/>
          <w:b w:val="false"/>
          <w:color w:val="000000"/>
          <w:sz w:val="22"/>
          <w:u w:val="single"/>
        </w:rPr>
        <w:t>Recapitalization, Exchanges, Etc. Affecting the Securities</w:t>
      </w:r>
      <w:r>
        <w:rPr>
          <w:rFonts w:ascii="Times New Roman;serif" w:hAnsi="Times New Roman;serif"/>
          <w:b w:val="false"/>
          <w:color w:val="000000"/>
          <w:sz w:val="22"/>
        </w:rPr>
        <w:t>. The provisions of this Agreement shall apply to the full extent set forth herein with respect to any and all Common Stock of Parent or any successor or assign of Parent (whether by merger, consolidation, sale of assets or otherwise) that may be issued in respect of, in exchange for or in substitution of, the Registrable Securities, and shall be appropriately adjusted for combinations, splits, recapitalizations, pro rata distributions and the like occurring on or after the date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11.    </w:t>
      </w:r>
      <w:r>
        <w:rPr>
          <w:rFonts w:ascii="Times New Roman;serif" w:hAnsi="Times New Roman;serif"/>
          <w:b w:val="false"/>
          <w:color w:val="000000"/>
          <w:sz w:val="22"/>
          <w:u w:val="single"/>
        </w:rPr>
        <w:t>Termination</w:t>
      </w:r>
      <w:r>
        <w:rPr>
          <w:rFonts w:ascii="Times New Roman;serif" w:hAnsi="Times New Roman;serif"/>
          <w:b w:val="false"/>
          <w:color w:val="000000"/>
          <w:sz w:val="22"/>
        </w:rPr>
        <w:t xml:space="preserve">. This Agreement shall terminate and be of no further force or effect with respect to any Stockholder or any Permitted Assignee when such Person shall no longer beneficially own any Registrable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the provisions of </w:t>
      </w:r>
      <w:r>
        <w:rPr>
          <w:rFonts w:ascii="Times New Roman;serif" w:hAnsi="Times New Roman;serif"/>
          <w:b w:val="false"/>
          <w:color w:val="000000"/>
          <w:sz w:val="22"/>
          <w:u w:val="single"/>
        </w:rPr>
        <w:t>Section 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shall survive any such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12.    </w:t>
      </w:r>
      <w:r>
        <w:rPr>
          <w:rFonts w:ascii="Times New Roman;serif" w:hAnsi="Times New Roman;serif"/>
          <w:b w:val="false"/>
          <w:color w:val="000000"/>
          <w:sz w:val="22"/>
          <w:u w:val="single"/>
        </w:rPr>
        <w:t>Notices</w:t>
      </w:r>
      <w:r>
        <w:rPr>
          <w:rFonts w:ascii="Times New Roman;serif" w:hAnsi="Times New Roman;serif"/>
          <w:b w:val="false"/>
          <w:color w:val="000000"/>
          <w:sz w:val="22"/>
        </w:rPr>
        <w:t>. All notices, requests, demands and other communications under this Agreement shall be in writing and shall be deemed to have been duly given or made as follows:</w:t>
      </w:r>
    </w:p>
    <w:p>
      <w:pPr>
        <w:pStyle w:val="TextBody"/>
        <w:bidi w:val="0"/>
        <w:spacing w:before="0" w:after="24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4" name="Frame2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(a)    </w:t>
      </w:r>
      <w:r>
        <w:rPr>
          <w:rFonts w:ascii="Times New Roman;serif" w:hAnsi="Times New Roman;serif"/>
          <w:b w:val="false"/>
          <w:color w:val="000000"/>
          <w:sz w:val="22"/>
        </w:rPr>
        <w:t>if sent by registered or certified mail in the United States return receipt requested, upon receipt;</w:t>
      </w:r>
    </w:p>
    <w:p>
      <w:pPr>
        <w:pStyle w:val="TextBody"/>
        <w:bidi w:val="0"/>
        <w:spacing w:lineRule="auto" w:line="288" w:before="0" w:after="240"/>
        <w:ind w:left="0" w:right="0" w:firstLine="720"/>
        <w:jc w:val="both"/>
        <w:rPr/>
      </w:pPr>
      <w:r>
        <w:rPr>
          <w:rFonts w:ascii="Times New Roman;serif" w:hAnsi="Times New Roman;serif"/>
          <w:b w:val="false"/>
          <w:color w:val="000000"/>
          <w:sz w:val="24"/>
        </w:rPr>
        <w:t>(b)    </w:t>
      </w:r>
      <w:r>
        <w:rPr>
          <w:rFonts w:ascii="Times New Roman;serif" w:hAnsi="Times New Roman;serif"/>
          <w:b w:val="false"/>
          <w:color w:val="000000"/>
          <w:sz w:val="22"/>
        </w:rPr>
        <w:t>if sent by nationally recognized overnight air courier, one (1) Business Day after mailing;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(c)    </w:t>
      </w:r>
      <w:r>
        <w:rPr>
          <w:rFonts w:ascii="Times New Roman;serif" w:hAnsi="Times New Roman;serif"/>
          <w:b w:val="false"/>
          <w:color w:val="000000"/>
          <w:sz w:val="22"/>
        </w:rPr>
        <w:t xml:space="preserve">if sent by e-mail transmission, with a copy sent on the same day in the manner provided in </w:t>
      </w:r>
      <w:r>
        <w:rPr>
          <w:rFonts w:ascii="Times New Roman;serif" w:hAnsi="Times New Roman;serif"/>
          <w:b w:val="false"/>
          <w:color w:val="000000"/>
          <w:sz w:val="22"/>
          <w:u w:val="single"/>
        </w:rPr>
        <w:t>Section 12(a)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12(b)</w:t>
      </w:r>
      <w:r>
        <w:rPr>
          <w:rFonts w:ascii="Times New Roman;serif" w:hAnsi="Times New Roman;serif"/>
          <w:b w:val="false"/>
          <w:color w:val="000000"/>
          <w:sz w:val="22"/>
        </w:rPr>
        <w:t>, when transmitted and receipt is confirmed; and if otherwise actually personally delivered, when delivered. All communications to the Parties shall be sent to the following addresses (or any other address that any such Party may designate by written notice to the other Party):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Parent: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KLX Energy Services Holdings,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3040 Post Oak Boulevard, 15th Floor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Houston, TX 77056</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Max Bouthillette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Email: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copies (which shall not constitute notice)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Vinson &amp; Elkins LLP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2001 Ross Avenue, Suite 3900</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Dallas, Texas 75201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Sarah K. Morgan; Katherine Terrell Frank</w:t>
      </w:r>
    </w:p>
    <w:p>
      <w:pPr>
        <w:pStyle w:val="TextBody"/>
        <w:bidi w:val="0"/>
        <w:spacing w:lineRule="auto" w:line="288" w:before="0" w:after="240"/>
        <w:jc w:val="left"/>
        <w:rPr/>
      </w:pPr>
      <w:r>
        <w:rPr>
          <w:rFonts w:ascii="Times New Roman;serif" w:hAnsi="Times New Roman;serif"/>
          <w:b w:val="false"/>
          <w:color w:val="000000"/>
          <w:sz w:val="22"/>
        </w:rPr>
        <w:t xml:space="preserve">Email: </w:t>
      </w:r>
      <w:r>
        <w:rPr>
          <w:rFonts w:ascii="Times New Roman;serif" w:hAnsi="Times New Roman;serif"/>
          <w:b w:val="false"/>
          <w:color w:val="000000"/>
          <w:sz w:val="24"/>
        </w:rPr>
        <w:t>[*]</w:t>
      </w:r>
    </w:p>
    <w:p>
      <w:pPr>
        <w:pStyle w:val="TextBody"/>
        <w:bidi w:val="0"/>
        <w:spacing w:before="0" w:after="24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5" name="Frame2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If to a stockholder, to the address listed on the applicable signature page hereto.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With copies (which shall not constitute notice) to:</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White &amp; Case LLP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1221 Avenue of the Americas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New York, New York 10020-1095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Andrew Weisberg; A.J. Ericksen</w:t>
      </w:r>
    </w:p>
    <w:p>
      <w:pPr>
        <w:pStyle w:val="TextBody"/>
        <w:bidi w:val="0"/>
        <w:spacing w:lineRule="auto" w:line="288" w:before="0" w:after="240"/>
        <w:jc w:val="both"/>
        <w:rPr/>
      </w:pPr>
      <w:r>
        <w:rPr>
          <w:rFonts w:ascii="Times New Roman;serif" w:hAnsi="Times New Roman;serif"/>
          <w:b w:val="false"/>
          <w:color w:val="000000"/>
          <w:sz w:val="22"/>
        </w:rPr>
        <w:t xml:space="preserve">Email: </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to a Permitted Assignee, to the address set forth on the applicable joinder agreement signature page.</w:t>
      </w:r>
    </w:p>
    <w:p>
      <w:pPr>
        <w:pStyle w:val="TextBody"/>
        <w:bidi w:val="0"/>
        <w:spacing w:lineRule="auto" w:line="288" w:before="0" w:after="240"/>
        <w:ind w:left="0" w:right="0" w:firstLine="720"/>
        <w:jc w:val="both"/>
        <w:rPr/>
      </w:pPr>
      <w:r>
        <w:rPr>
          <w:rFonts w:ascii="Times New Roman;serif" w:hAnsi="Times New Roman;serif"/>
          <w:b w:val="false"/>
          <w:color w:val="000000"/>
          <w:sz w:val="24"/>
        </w:rPr>
        <w:t>13.    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Agreement and any related exhibits and schedules thereto, constitutes the sole and entire agreement of the Parties to this Agreement with respect to the subject matter contained herein, and supersedes all prior and contemporaneous understandings and agreements, both written and oral, with respect to such subject matter. </w:t>
      </w:r>
    </w:p>
    <w:p>
      <w:pPr>
        <w:pStyle w:val="TextBody"/>
        <w:bidi w:val="0"/>
        <w:spacing w:lineRule="auto" w:line="288" w:before="0" w:after="240"/>
        <w:ind w:left="0" w:right="0" w:firstLine="720"/>
        <w:jc w:val="both"/>
        <w:rPr/>
      </w:pPr>
      <w:r>
        <w:rPr>
          <w:rFonts w:ascii="Times New Roman;serif" w:hAnsi="Times New Roman;serif"/>
          <w:b w:val="false"/>
          <w:color w:val="000000"/>
          <w:sz w:val="24"/>
        </w:rPr>
        <w:t>14.    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xml:space="preserve">. This Agreement shall be binding upon and shall inure to the benefit of the Parties hereto and their respective successors and permitted assigns. Parent may assign this Agreement at any time in connection with a sale or acquisition of Parent, whether by merger, consolidation, sale of all or substantially all of Parent’s assets, or similar transaction, without the consent of the other Parties; </w:t>
      </w:r>
      <w:r>
        <w:rPr>
          <w:rFonts w:ascii="Times New Roman;serif" w:hAnsi="Times New Roman;serif"/>
          <w:b w:val="false"/>
          <w:color w:val="000000"/>
          <w:sz w:val="22"/>
          <w:u w:val="single"/>
        </w:rPr>
        <w:t>provided</w:t>
      </w:r>
      <w:r>
        <w:rPr>
          <w:rFonts w:ascii="Times New Roman;serif" w:hAnsi="Times New Roman;serif"/>
          <w:b w:val="false"/>
          <w:color w:val="000000"/>
          <w:sz w:val="22"/>
        </w:rPr>
        <w:t>, that the successor or acquiring Person agrees in writing to assume all of Parent’s rights and obligations under this Agreement. A Stockholder may assign its rights under this Agreement solely to any Affiliate of a Stockholder (the “</w:t>
      </w:r>
      <w:r>
        <w:rPr>
          <w:rFonts w:ascii="Times New Roman;serif" w:hAnsi="Times New Roman;serif"/>
          <w:b/>
          <w:i/>
          <w:color w:val="000000"/>
          <w:sz w:val="22"/>
        </w:rPr>
        <w:t>Permitted Assignee</w:t>
      </w:r>
      <w:r>
        <w:rPr>
          <w:color w:val="000000"/>
        </w:rPr>
        <w:t>”</w:t>
      </w:r>
      <w:r>
        <w:rPr>
          <w:rFonts w:ascii="Times New Roman;serif" w:hAnsi="Times New Roman;serif"/>
          <w:b w:val="false"/>
          <w:color w:val="000000"/>
          <w:sz w:val="22"/>
        </w:rPr>
        <w:t xml:space="preserve">). The Parent shall be given written notice prior to any such assignment, stating the name and address of such Permitted Assignee and identifying the Registrable Securities being transferred and, unless already bound hereby, as a condition to the effectiveness of such assignment, each such Permitted Assignee shall, as a condition to the effectiveness of such assignment, assume in writing responsibility for its rights and obligations under this Agreement, by executing a joinder agreement in the form attached hereto as </w:t>
      </w:r>
      <w:r>
        <w:rPr>
          <w:rFonts w:ascii="Times New Roman;serif" w:hAnsi="Times New Roman;serif"/>
          <w:b w:val="false"/>
          <w:color w:val="000000"/>
          <w:sz w:val="22"/>
          <w:u w:val="single"/>
        </w:rPr>
        <w:t>Exhibit 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15.    </w:t>
      </w:r>
      <w:r>
        <w:rPr>
          <w:rFonts w:ascii="Times New Roman;serif" w:hAnsi="Times New Roman;serif"/>
          <w:b w:val="false"/>
          <w:color w:val="000000"/>
          <w:sz w:val="22"/>
          <w:u w:val="single"/>
        </w:rPr>
        <w:t>No Third-Party Beneficiaries</w:t>
      </w:r>
      <w:r>
        <w:rPr>
          <w:rFonts w:ascii="Times New Roman;serif" w:hAnsi="Times New Roman;serif"/>
          <w:b w:val="false"/>
          <w:color w:val="000000"/>
          <w:sz w:val="22"/>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the Parties hereto hereby acknowledge that the Persons set forth in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are express third-party beneficiaries of the obligations of the Parties hereto set forth in </w:t>
      </w:r>
      <w:r>
        <w:rPr>
          <w:rFonts w:ascii="Times New Roman;serif" w:hAnsi="Times New Roman;serif"/>
          <w:b w:val="false"/>
          <w:color w:val="000000"/>
          <w:sz w:val="22"/>
          <w:u w:val="single"/>
        </w:rPr>
        <w:t>Section 7</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16.    </w:t>
      </w:r>
      <w:r>
        <w:rPr>
          <w:rFonts w:ascii="Times New Roman;serif" w:hAnsi="Times New Roman;serif"/>
          <w:b w:val="false"/>
          <w:color w:val="000000"/>
          <w:sz w:val="22"/>
          <w:u w:val="single"/>
        </w:rPr>
        <w:t>Headings</w:t>
      </w:r>
      <w:r>
        <w:rPr>
          <w:rFonts w:ascii="Times New Roman;serif" w:hAnsi="Times New Roman;serif"/>
          <w:b w:val="false"/>
          <w:color w:val="000000"/>
          <w:sz w:val="22"/>
        </w:rPr>
        <w:t>. The headings in this Agreement are for reference only and shall not affect the interpretation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17.    </w:t>
      </w:r>
      <w:r>
        <w:rPr>
          <w:rFonts w:ascii="Times New Roman;serif" w:hAnsi="Times New Roman;serif"/>
          <w:b w:val="false"/>
          <w:color w:val="000000"/>
          <w:sz w:val="22"/>
          <w:u w:val="single"/>
        </w:rPr>
        <w:t>Amendments and Waivers</w:t>
      </w:r>
      <w:r>
        <w:rPr>
          <w:rFonts w:ascii="Times New Roman;serif" w:hAnsi="Times New Roman;serif"/>
          <w:b w:val="false"/>
          <w:color w:val="000000"/>
          <w:sz w:val="22"/>
        </w:rPr>
        <w:t xml:space="preserve">. No amendment of any provision of this Agreement shall be valid unless the same shall be in writing and signed by Parent and the holders of a majority of the then-outstanding Registrable Securities;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however</w:t>
      </w:r>
      <w:r>
        <w:rPr>
          <w:rFonts w:ascii="Times New Roman;serif" w:hAnsi="Times New Roman;serif"/>
          <w:b w:val="false"/>
          <w:color w:val="000000"/>
          <w:sz w:val="22"/>
        </w:rPr>
        <w:t xml:space="preserve">, that no amendment that would disproportionately and adversely affect the rights of any holder of Registrable Securities relative to other holders of Registrable Securities shall be effective without the prior written consent of such affected holder. For the avoidance of doubt, no amendment of any provision of </w:t>
      </w:r>
      <w:r>
        <w:rPr>
          <w:rFonts w:ascii="Times New Roman;serif" w:hAnsi="Times New Roman;serif"/>
          <w:b w:val="false"/>
          <w:color w:val="000000"/>
          <w:sz w:val="22"/>
          <w:u w:val="single"/>
        </w:rPr>
        <w:t>Section 7</w:t>
      </w:r>
      <w:r>
        <w:rPr>
          <w:color w:val="000000"/>
        </w:rPr>
        <w:t xml:space="preserve"> </w:t>
      </w:r>
      <w:r>
        <w:rPr>
          <w:rFonts w:ascii="Times New Roman;serif" w:hAnsi="Times New Roman;serif"/>
          <w:b w:val="false"/>
          <w:color w:val="000000"/>
          <w:sz w:val="22"/>
        </w:rPr>
        <w:t xml:space="preserve">shall apply to any holder without their prior written consent. No waiver by any Party hereto of any default, misrepresentation or breach of warranty or covenant hereunder, regardless of whether intentional, shall be deemed to extend to any prior </w:t>
      </w:r>
    </w:p>
    <w:p>
      <w:pPr>
        <w:pStyle w:val="TextBody"/>
        <w:bidi w:val="0"/>
        <w:spacing w:before="0" w:after="24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6" name="Frame2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subsequent default, misrepresentation or breach of warranty or covenant hereunder or affect in any way any rights arising by virtue of any prior or subsequent such occurrence.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18.    </w:t>
      </w:r>
      <w:r>
        <w:rPr>
          <w:rFonts w:ascii="Times New Roman;serif" w:hAnsi="Times New Roman;serif"/>
          <w:b w:val="false"/>
          <w:color w:val="000000"/>
          <w:sz w:val="22"/>
          <w:u w:val="single"/>
        </w:rPr>
        <w:t>Severability</w:t>
      </w:r>
      <w:r>
        <w:rPr>
          <w:rFonts w:ascii="Times New Roman;serif" w:hAnsi="Times New Roman;serif"/>
          <w:b w:val="false"/>
          <w:color w:val="000000"/>
          <w:sz w:val="22"/>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19.    </w:t>
      </w:r>
      <w:r>
        <w:rPr>
          <w:rFonts w:ascii="Times New Roman;serif" w:hAnsi="Times New Roman;serif"/>
          <w:b w:val="false"/>
          <w:color w:val="000000"/>
          <w:sz w:val="22"/>
          <w:u w:val="single"/>
        </w:rPr>
        <w:t>Remedies</w:t>
      </w:r>
      <w:r>
        <w:rPr>
          <w:rFonts w:ascii="Times New Roman;serif" w:hAnsi="Times New Roman;serif"/>
          <w:b w:val="false"/>
          <w:color w:val="000000"/>
          <w:sz w:val="22"/>
        </w:rPr>
        <w:t>. Each holder of Registrable Securities that is a Party hereto in addition to being entitled to exercise all rights granted by law, including recovery of damages, shall be entitled to specific performance of its rights under this Agreement. Parent acknowledges that monetary damages would not be adequate compensation for any loss incurred by reason of a breach by it of the provisions of this Agreement and Parent hereby agrees to waive the defense in any action for specific performance that a remedy at law would be adequate.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20.    </w:t>
      </w:r>
      <w:r>
        <w:rPr>
          <w:rFonts w:ascii="Times New Roman;serif" w:hAnsi="Times New Roman;serif"/>
          <w:b w:val="false"/>
          <w:color w:val="000000"/>
          <w:sz w:val="22"/>
          <w:u w:val="single"/>
        </w:rPr>
        <w:t>Governing Law; Submission to Jurisdiction</w:t>
      </w:r>
      <w:r>
        <w:rPr>
          <w:rFonts w:ascii="Times New Roman;serif" w:hAnsi="Times New Roman;serif"/>
          <w:b w:val="false"/>
          <w:color w:val="000000"/>
          <w:sz w:val="22"/>
        </w:rPr>
        <w:t>. This Agreement shall be governed by and construed in accordance with the laws of the State of Delaware. Any legal suit, action or proceeding arising out of or based upon this Agreement or the transactions contemplated hereby may be instituted in the Delaware Chancery Courts located in Wilmington, Delaware, or, if such court shall not have jurisdiction, any federal court of the United States of America or other Delaware state court located in Wilmington, Delaware, and appropriate appellate courts therefrom, and each Party irrevocably submits to the exclusive jurisdiction of such courts in any such suit, action or proceeding. Service of process, summons, notice or other document by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lineRule="auto" w:line="288" w:before="0" w:after="240"/>
        <w:ind w:left="0" w:right="0" w:firstLine="720"/>
        <w:jc w:val="both"/>
        <w:rPr/>
      </w:pPr>
      <w:r>
        <w:rPr>
          <w:rFonts w:ascii="Times New Roman;serif" w:hAnsi="Times New Roman;serif"/>
          <w:b w:val="false"/>
          <w:color w:val="000000"/>
          <w:sz w:val="24"/>
        </w:rPr>
        <w:t>21.    </w:t>
      </w:r>
      <w:r>
        <w:rPr>
          <w:rFonts w:ascii="Times New Roman;serif" w:hAnsi="Times New Roman;serif"/>
          <w:b w:val="false"/>
          <w:color w:val="000000"/>
          <w:sz w:val="22"/>
          <w:u w:val="single"/>
        </w:rPr>
        <w:t>Waiver of Jury Trial</w:t>
      </w:r>
      <w:r>
        <w:rPr>
          <w:rFonts w:ascii="Times New Roman;serif" w:hAnsi="Times New Roman;serif"/>
          <w:b w:val="false"/>
          <w:color w:val="000000"/>
          <w:sz w:val="22"/>
        </w:rPr>
        <w:t xml:space="preserve">. Each Party acknowledges and agrees that any controversy which may arise under this Agreement is likely to involve complicated and difficult issues and, therefore, each such Party irrevocably and unconditionally waives any right it may have to a trial by jury in respect of any legal action arising out of or relating to this Agreement or the transactions contemplated hereby. Each Party to this Agreement certifies and acknowledges that (a) no representative of the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serif" w:hAnsi="Times New Roman;serif"/>
          <w:b w:val="false"/>
          <w:color w:val="000000"/>
          <w:sz w:val="22"/>
          <w:u w:val="single"/>
        </w:rPr>
        <w:t>Section 21</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22.    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may be executed in counterparts, each of which shall be deemed an original but which together shall constitute one and the same instrument. A signed copy of this Agreement delivered by e-mail or other means of electronic transmission shall be deemed to have the same legal effect as delivery of an original signed copy of this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23.    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 Each of the Parties to this Agreement shall, and shall cause their controlled Affiliates to, execute and deliver such additional documents, instruments, conveyances and assurances and take such further actions as may be reasonably required to carry out the provisions hereof and to give effect to the transactions contemplated hereby.</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Pages Follow</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7" name="Frame2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this Agreement has been executed and delivered as of the date first written above.</w: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KLX ENERGY SERVICES HOLDINGS, INC.</w:t>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Max Bouthillette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Max Bouthillette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Executive Vice President, General Counsel and </w:t>
      </w:r>
    </w:p>
    <w:p>
      <w:pPr>
        <w:pStyle w:val="TextBody"/>
        <w:bidi w:val="0"/>
        <w:spacing w:lineRule="auto" w:line="288"/>
        <w:jc w:val="both"/>
        <w:rPr>
          <w:color w:val="000000"/>
        </w:rPr>
      </w:pPr>
      <w:r>
        <w:rPr>
          <w:color w:val="000000"/>
        </w:rPr>
        <w:t>    </w:t>
      </w:r>
      <w:r>
        <w:rPr>
          <w:rFonts w:ascii="Times New Roman;serif" w:hAnsi="Times New Roman;serif"/>
          <w:b w:val="false"/>
          <w:color w:val="000000"/>
          <w:sz w:val="22"/>
        </w:rPr>
        <w:t>Chief Compliance Officer</w:t>
      </w:r>
    </w:p>
    <w:p>
      <w:pPr>
        <w:pStyle w:val="TextBody"/>
        <w:bidi w:val="0"/>
        <w:spacing w:before="0" w:after="24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8"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ALDASCO FLORIDA ASSOCIATES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49"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Algebris (UK) Limited, acting solely as agent for and on behalf of Algebris UCITS Funds plc – Algebris Global Credit Opportunities Fund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60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0"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AMZAK CAPITAL MANAGEMENT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60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1"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Concise Short Term High Yield Master Fund, SPC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Mercer QIF Fund PLC - Mercer Investment Fund 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Concise Short Term High Yield Fund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Cardinal Insurance LLC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Restoration Risk Retention Group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before="0" w:after="24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2"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CROSS OCEAN PARTNERS MANAGEMENT LP, on behalf of certain of its advised funds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3"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DEANS KNIGHT INCOME FUND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4"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DK STRATEGIC YIELD MASTER FUND 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5"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EACH ENTITY LISTED ON APPENDIX A – PART 1 HERETO, EACH</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SEVERALLY AND NOT JOINTLY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Fidelity Investments Canada ULC, its Manager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EACH ENTITY LISTED ON APPENDIX A – PART 2 HERETO, EACH</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SEVERALLY AND NOT JOINTLY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FIAM LLC, as Investment Manager, Sub-Advisor or as otherwise</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authorized</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EACH ENTITY LISTED ON APPENDIX A – PART 3 HERETO, EACH</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SEVERALLY AND NOT JOINTLY</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18"/>
        </w:rPr>
      </w:pPr>
      <w:r>
        <w:rPr>
          <w:rFonts w:ascii="Times New Roman;serif" w:hAnsi="Times New Roman;serif"/>
          <w:b w:val="false"/>
          <w:color w:val="000000"/>
          <w:sz w:val="18"/>
        </w:rPr>
        <w:t>*Notwithstanding anything in the Agreement to the contrary, each above signed entity is executing this Agreement solely on behalf of the funds and accounts indicated on the corresponding Appendix listed in its signature block and only such funds and accounts shall be Parties hereunder and the obligations, covenants, representations, warranties and other provisions of this Agreement (including any schedules, exhibits and annexes thereto) shall only apply to such funds and accounts severally and not jointly and shall not apply to any investment advisor signing on behalf of any funds or accounts or any funds or accounts managed or advised by such investment advisor that are not listed on an Appendix hereto or other Affiliates of any above signed entity. Execution of this Agreement by the above signed entity shall not, and shall not be deemed to, bind or inure to the benefit of any other Affiliates of such entity. This signature page has been executed and delivered solely in reliance on the foregoing limitations*</w:t>
      </w:r>
    </w:p>
    <w:p>
      <w:pPr>
        <w:pStyle w:val="TextBody"/>
        <w:bidi w:val="0"/>
        <w:spacing w:before="0" w:after="24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6"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 1</w:t>
      </w:r>
    </w:p>
    <w:p>
      <w:pPr>
        <w:pStyle w:val="TextBody"/>
        <w:bidi w:val="0"/>
        <w:spacing w:before="0" w:after="0"/>
        <w:jc w:val="both"/>
        <w:rPr/>
      </w:pPr>
      <w:r>
        <w:rPr/>
      </w:r>
    </w:p>
    <w:tbl>
      <w:tblPr>
        <w:tblW w:w="6449" w:type="dxa"/>
        <w:jc w:val="left"/>
        <w:tblInd w:w="0" w:type="dxa"/>
        <w:tblLayout w:type="fixed"/>
        <w:tblCellMar>
          <w:top w:w="28" w:type="dxa"/>
          <w:left w:w="28" w:type="dxa"/>
          <w:bottom w:w="28" w:type="dxa"/>
          <w:right w:w="28" w:type="dxa"/>
        </w:tblCellMar>
      </w:tblPr>
      <w:tblGrid>
        <w:gridCol w:w="1884"/>
        <w:gridCol w:w="1654"/>
        <w:gridCol w:w="1667"/>
        <w:gridCol w:w="364"/>
        <w:gridCol w:w="364"/>
        <w:gridCol w:w="516"/>
      </w:tblGrid>
      <w:tr>
        <w:trPr/>
        <w:tc>
          <w:tcPr>
            <w:tcW w:w="1884"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Fund Legal Name</w:t>
            </w:r>
          </w:p>
        </w:tc>
        <w:tc>
          <w:tcPr>
            <w:tcW w:w="124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Fidelity ID</w:t>
            </w:r>
          </w:p>
        </w:tc>
      </w:tr>
      <w:tr>
        <w:trPr/>
        <w:tc>
          <w:tcPr>
            <w:tcW w:w="52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American High Yield Multi-Asset Base Fund</w:t>
            </w:r>
          </w:p>
        </w:tc>
        <w:tc>
          <w:tcPr>
            <w:tcW w:w="12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20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American High Yield Fund</w:t>
            </w:r>
          </w:p>
        </w:tc>
        <w:tc>
          <w:tcPr>
            <w:tcW w:w="12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520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U.S. High Yield Institutional Trust</w:t>
            </w:r>
          </w:p>
        </w:tc>
        <w:tc>
          <w:tcPr>
            <w:tcW w:w="12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 2</w:t>
      </w:r>
    </w:p>
    <w:p>
      <w:pPr>
        <w:pStyle w:val="TextBody"/>
        <w:bidi w:val="0"/>
        <w:spacing w:before="0" w:after="0"/>
        <w:jc w:val="both"/>
        <w:rPr/>
      </w:pPr>
      <w:r>
        <w:rPr/>
      </w:r>
    </w:p>
    <w:tbl>
      <w:tblPr>
        <w:tblW w:w="9058" w:type="dxa"/>
        <w:jc w:val="left"/>
        <w:tblInd w:w="0" w:type="dxa"/>
        <w:tblLayout w:type="fixed"/>
        <w:tblCellMar>
          <w:top w:w="28" w:type="dxa"/>
          <w:left w:w="28" w:type="dxa"/>
          <w:bottom w:w="28" w:type="dxa"/>
          <w:right w:w="28" w:type="dxa"/>
        </w:tblCellMar>
      </w:tblPr>
      <w:tblGrid>
        <w:gridCol w:w="2829"/>
        <w:gridCol w:w="2483"/>
        <w:gridCol w:w="2502"/>
        <w:gridCol w:w="364"/>
        <w:gridCol w:w="364"/>
        <w:gridCol w:w="516"/>
      </w:tblGrid>
      <w:tr>
        <w:trPr/>
        <w:tc>
          <w:tcPr>
            <w:tcW w:w="282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7814"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Fund Legal Name</w:t>
            </w:r>
          </w:p>
        </w:tc>
        <w:tc>
          <w:tcPr>
            <w:tcW w:w="124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Fidelity ID</w:t>
            </w:r>
          </w:p>
        </w:tc>
      </w:tr>
      <w:tr>
        <w:trPr/>
        <w:tc>
          <w:tcPr>
            <w:tcW w:w="78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Strategic Income Mother Fund</w:t>
            </w:r>
          </w:p>
        </w:tc>
        <w:tc>
          <w:tcPr>
            <w:tcW w:w="12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8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Master Trust Bank of Japan Ltd. Re: Fidelity US High Yield Open Mother Fund </w:t>
            </w:r>
          </w:p>
        </w:tc>
        <w:tc>
          <w:tcPr>
            <w:tcW w:w="12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PART 3</w:t>
      </w:r>
    </w:p>
    <w:p>
      <w:pPr>
        <w:pStyle w:val="TextBody"/>
        <w:bidi w:val="0"/>
        <w:spacing w:before="0" w:after="0"/>
        <w:jc w:val="both"/>
        <w:rPr/>
      </w:pPr>
      <w:r>
        <w:rPr/>
      </w:r>
    </w:p>
    <w:tbl>
      <w:tblPr>
        <w:tblW w:w="8879" w:type="dxa"/>
        <w:jc w:val="left"/>
        <w:tblInd w:w="0" w:type="dxa"/>
        <w:tblLayout w:type="fixed"/>
        <w:tblCellMar>
          <w:top w:w="28" w:type="dxa"/>
          <w:left w:w="28" w:type="dxa"/>
          <w:bottom w:w="28" w:type="dxa"/>
          <w:right w:w="28" w:type="dxa"/>
        </w:tblCellMar>
      </w:tblPr>
      <w:tblGrid>
        <w:gridCol w:w="2764"/>
        <w:gridCol w:w="2426"/>
        <w:gridCol w:w="2445"/>
        <w:gridCol w:w="364"/>
        <w:gridCol w:w="364"/>
        <w:gridCol w:w="516"/>
      </w:tblGrid>
      <w:tr>
        <w:trPr/>
        <w:tc>
          <w:tcPr>
            <w:tcW w:w="2764"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7635" w:type="dxa"/>
            <w:gridSpan w:val="3"/>
            <w:tcBorders>
              <w:top w:val="single" w:sz="4" w:space="0" w:color="000000"/>
              <w:left w:val="single" w:sz="4" w:space="0" w:color="000000"/>
            </w:tcBorders>
            <w:shd w:fill="BFBFBF" w:val="clear"/>
            <w:tcMar>
              <w:top w:w="3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Fund Legal Name</w:t>
            </w:r>
          </w:p>
        </w:tc>
        <w:tc>
          <w:tcPr>
            <w:tcW w:w="1244" w:type="dxa"/>
            <w:gridSpan w:val="3"/>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Fidelity ID</w:t>
            </w:r>
          </w:p>
        </w:tc>
      </w:tr>
      <w:tr>
        <w:trPr/>
        <w:tc>
          <w:tcPr>
            <w:tcW w:w="763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Central Investment Portfolios LLC: Fidelity High Income Central Fund</w:t>
            </w:r>
          </w:p>
        </w:tc>
        <w:tc>
          <w:tcPr>
            <w:tcW w:w="124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r>
        <w:trPr/>
        <w:tc>
          <w:tcPr>
            <w:tcW w:w="763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Advisor Series I:</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Fidelity Advisor Capital &amp; Income Fund</w:t>
            </w:r>
          </w:p>
        </w:tc>
        <w:tc>
          <w:tcPr>
            <w:tcW w:w="124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t>
            </w:r>
          </w:p>
        </w:tc>
      </w:tr>
    </w:tbl>
    <w:p>
      <w:pPr>
        <w:pStyle w:val="TextBody"/>
        <w:bidi w:val="0"/>
        <w:spacing w:before="0" w:after="24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7"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Boothbay Absolute Return Strategies, 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8"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Meteora Select Trading Opportunities Master, 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60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9"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NEWPORT GLOBAL ADVISORS LP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600"/>
        <w:jc w:val="both"/>
        <w:rPr/>
      </w:pPr>
      <w:r>
        <w:rPr/>
      </w:r>
    </w:p>
    <w:p>
      <w:pPr>
        <w:pStyle w:val="TextBody"/>
        <w:bidi w:val="0"/>
        <w:spacing w:before="0" w:after="24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0"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CHICAGO TITLE INSURANCE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1"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WHITEBOX ADVISORS LLC, on behalf of certain of its advised funds</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Title: [*]</w:t>
      </w:r>
    </w:p>
    <w:p>
      <w:pPr>
        <w:pStyle w:val="TextBody"/>
        <w:bidi w:val="0"/>
        <w:spacing w:before="0" w:after="24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2"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600"/>
        <w:jc w:val="both"/>
        <w:rPr>
          <w:rFonts w:ascii="Times New Roman;serif" w:hAnsi="Times New Roman;serif"/>
          <w:b/>
          <w:color w:val="000000"/>
          <w:sz w:val="22"/>
        </w:rPr>
      </w:pPr>
      <w:r>
        <w:rPr>
          <w:rFonts w:ascii="Times New Roman;serif" w:hAnsi="Times New Roman;serif"/>
          <w:b/>
          <w:color w:val="000000"/>
          <w:sz w:val="22"/>
        </w:rPr>
        <w:t>WINDERMERE INVESTMENT CORP.</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[*]____________________________</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3"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pPr>
                      <w:r>
                        <w:rPr>
                          <w:color w:val="000000"/>
                        </w:rPr>
                        <w:t>    </w:t>
                      </w:r>
                      <w:r>
                        <w:rPr>
                          <w:rFonts w:ascii="Times New Roman;serif" w:hAnsi="Times New Roman;serif"/>
                          <w:b w:val="false"/>
                          <w:color w:val="000000"/>
                          <w:sz w:val="22"/>
                        </w:rPr>
                        <w:t>[</w:t>
                      </w:r>
                      <w:r>
                        <w:rPr>
                          <w:rFonts w:ascii="Times New Roman;serif" w:hAnsi="Times New Roman;serif"/>
                          <w:b w:val="false"/>
                          <w:i/>
                          <w:color w:val="000000"/>
                          <w:sz w:val="22"/>
                        </w:rPr>
                        <w:t>Signature Page to Registration Rights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FORM OF JOINDER AGREEMENT TO</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REGISTRATION RIGHTS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The undersigned hereby agrees to be bound by the terms and provisions of that certain Registration Rights Agreement, dated as of September 29, 2026 (the “</w:t>
      </w:r>
      <w:r>
        <w:rPr>
          <w:rFonts w:ascii="Times New Roman;serif" w:hAnsi="Times New Roman;serif"/>
          <w:b/>
          <w:i/>
          <w:color w:val="000000"/>
          <w:sz w:val="22"/>
        </w:rPr>
        <w:t>Registration Rights Agreement</w:t>
      </w:r>
      <w:r>
        <w:rPr>
          <w:color w:val="000000"/>
        </w:rPr>
        <w:t>”</w:t>
      </w:r>
      <w:r>
        <w:rPr>
          <w:rFonts w:ascii="Times New Roman;serif" w:hAnsi="Times New Roman;serif"/>
          <w:b w:val="false"/>
          <w:color w:val="000000"/>
          <w:sz w:val="22"/>
        </w:rPr>
        <w:t>), by and among KLX Energy Services Holdings, Inc., a Delaware corporation (“</w:t>
      </w:r>
      <w:r>
        <w:rPr>
          <w:rFonts w:ascii="Times New Roman;serif" w:hAnsi="Times New Roman;serif"/>
          <w:b/>
          <w:i/>
          <w:color w:val="000000"/>
          <w:sz w:val="22"/>
        </w:rPr>
        <w:t>Parent</w:t>
      </w:r>
      <w:r>
        <w:rPr>
          <w:color w:val="000000"/>
        </w:rPr>
        <w:t>”</w:t>
      </w:r>
      <w:r>
        <w:rPr>
          <w:rFonts w:ascii="Times New Roman;serif" w:hAnsi="Times New Roman;serif"/>
          <w:b w:val="false"/>
          <w:color w:val="000000"/>
          <w:sz w:val="22"/>
        </w:rPr>
        <w:t>), the stockholders listed on the signature pages thereto, and any Permitted Assignee (as defined in the Registration Rights Agreement) who may become party thereto from time to time, and to join in the Registration Rights Agreement as if the undersigned were originally a Party thereto.</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Follows</w:t>
      </w:r>
      <w:r>
        <w:rPr>
          <w:rFonts w:ascii="Times New Roman;serif" w:hAnsi="Times New Roman;serif"/>
          <w:b w:val="false"/>
          <w:color w:val="000000"/>
          <w:sz w:val="22"/>
        </w:rPr>
        <w:t>]</w:t>
      </w:r>
    </w:p>
    <w:p>
      <w:pPr>
        <w:pStyle w:val="TextBody"/>
        <w:bidi w:val="0"/>
        <w:spacing w:before="0" w:after="24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85445"/>
                <wp:effectExtent l="0" t="0" r="0" b="0"/>
                <wp:wrapNone/>
                <wp:docPr id="264" name="Frame2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undersigned has executed this joinder agreement as of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color w:val="000000"/>
          <w:u w:val="single"/>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Name: </w:t>
      </w:r>
    </w:p>
    <w:p>
      <w:pPr>
        <w:pStyle w:val="TextBody"/>
        <w:bidi w:val="0"/>
        <w:spacing w:lineRule="auto" w:line="288" w:before="0" w:after="240"/>
        <w:jc w:val="both"/>
        <w:rPr/>
      </w:pPr>
      <w:r>
        <w:rPr>
          <w:rFonts w:ascii="Times New Roman;serif" w:hAnsi="Times New Roman;serif"/>
          <w:b w:val="false"/>
          <w:color w:val="000000"/>
          <w:sz w:val="22"/>
        </w:rPr>
        <w:t>Address:</w:t>
      </w:r>
      <w:r>
        <w:rPr>
          <w:color w:val="000000"/>
        </w:rPr>
        <w:t xml:space="preserv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85445"/>
                <wp:effectExtent l="0" t="0" r="0" b="0"/>
                <wp:wrapNone/>
                <wp:docPr id="265" name="Frame2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2"/>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2743200" cy="1057275"/>
            <wp:effectExtent l="0" t="0" r="0" b="0"/>
            <wp:docPr id="26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 descr=""/>
                    <pic:cNvPicPr>
                      <a:picLocks noChangeAspect="1" noChangeArrowheads="1"/>
                    </pic:cNvPicPr>
                  </pic:nvPicPr>
                  <pic:blipFill>
                    <a:blip r:embed="rId2"/>
                    <a:stretch>
                      <a:fillRect/>
                    </a:stretch>
                  </pic:blipFill>
                  <pic:spPr bwMode="auto">
                    <a:xfrm>
                      <a:off x="0" y="0"/>
                      <a:ext cx="2743200" cy="1057275"/>
                    </a:xfrm>
                    <a:prstGeom prst="rect">
                      <a:avLst/>
                    </a:prstGeom>
                  </pic:spPr>
                </pic:pic>
              </a:graphicData>
            </a:graphic>
          </wp:inline>
        </w:drawing>
      </w:r>
      <w:r>
        <w:rPr>
          <w:color w:val="000000"/>
        </w:rPr>
        <w:t>                </w:t>
      </w:r>
      <w:r>
        <w:rPr>
          <w:rFonts w:ascii="Times New Roman;serif" w:hAnsi="Times New Roman;serif"/>
          <w:b/>
          <w:i/>
          <w:color w:val="000000"/>
          <w:sz w:val="30"/>
        </w:rPr>
        <w:t>NEWS RELEASE</w:t>
      </w:r>
    </w:p>
    <w:p>
      <w:pPr>
        <w:pStyle w:val="TextBody"/>
        <w:bidi w:val="0"/>
        <w:spacing w:before="0" w:after="0"/>
        <w:jc w:val="left"/>
        <w:rPr/>
      </w:pPr>
      <w:r>
        <w:rPr/>
      </w:r>
    </w:p>
    <w:p>
      <w:pPr>
        <w:pStyle w:val="TextBody"/>
        <w:bidi w:val="0"/>
        <w:spacing w:lineRule="auto" w:line="240" w:before="0" w:after="0"/>
        <w:jc w:val="left"/>
        <w:rPr/>
      </w:pPr>
      <w:r>
        <w:rPr>
          <w:rFonts w:ascii="Times New Roman;serif" w:hAnsi="Times New Roman;serif"/>
          <w:b w:val="false"/>
          <w:color w:val="000000"/>
          <w:sz w:val="18"/>
        </w:rPr>
        <w:t xml:space="preserve">Contacts:                 </w:t>
      </w:r>
      <w:r>
        <w:rPr>
          <w:rFonts w:ascii="Times New Roman;serif" w:hAnsi="Times New Roman;serif"/>
          <w:b w:val="false"/>
          <w:color w:val="000000"/>
          <w:sz w:val="18"/>
          <w:u w:val="single"/>
        </w:rPr>
        <w:t>KLX Energy Services</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Geoffrey C. Stanford, SVP, CAO &amp; Interim CFO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(832) 930-8066</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IR@klx.com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Dennard Lascar Investor Relations</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Ken Dennard / Natalie Hairston</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(713) 529-6600</w:t>
      </w:r>
    </w:p>
    <w:p>
      <w:pPr>
        <w:pStyle w:val="TextBody"/>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KLXE@dennardlascar.com</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 xml:space="preserve">KLX Energy Services Announces Completion of Subscription Rights Offering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2"/>
        </w:rPr>
        <w:t>HOUSTON, TX – September 30, 2026 – KLX Energy Services Holdings, Inc.</w:t>
      </w:r>
      <w:r>
        <w:rPr>
          <w:color w:val="000000"/>
        </w:rPr>
        <w:t xml:space="preserve"> </w:t>
      </w:r>
      <w:r>
        <w:rPr>
          <w:rFonts w:ascii="Times New Roman;serif" w:hAnsi="Times New Roman;serif"/>
          <w:b w:val="false"/>
          <w:color w:val="000000"/>
          <w:sz w:val="22"/>
        </w:rPr>
        <w:t>(NASDAQ: KLXE) (“KLX” or the “Company”) announced today that, on September 29, 2026, it completed its previously announced subscription rights offering (the “Rights Offering”), which expired at 5:00 p.m., New York City time, on September 23, 2026, and closed the Backstop Exchange (as defined below). Pursuant to the terms of the Rights Offering, 24,975,001 shares of the Company’s common stock, par value $0.01 per share (the “Common Stock”), were purchased pursuant to the exercise of subscription rights at the subscription price of $1.49 per whole share (the “Subscription Price”) for gross proceeds of $37.2 million to the Company. Of the $37.2 million gross cash proceeds from the Rights Offering, the Company expects to use $31.0 million for general corporate purposes, including to pay fees and expenses in connection with the Rights Offering, and $6.2 million to redeem the 2030 Notes (as defined below) at par, plus accrued and unpaid interest. After giving effect to the Rights Offering and the Backstop Exchange, the Company expects to have 105,677,168 shares of Common Stock issued and outstanding. In connection with the Backstop Exchange, the outstanding principal amount of the 2030 Notes will be reduced by $94.0 million as a result of the combination of par redemptions from excess proceeds in the Rights Offering and the exchange of 2030 Notes for Common Stock in the Backstop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Rights Offering was backstopped by the existing holders (the “Backstop Parties”) of the Company’s Senior Secured Floating Rate Cash / PIK Notes due 2030 (the “2030 Notes”) in an aggregate backstop commitment amount of $94.0 million pursuant to a Rights Offering Backstop Agreement (the “Backstop Agreement”), which will be reduced to $87.8 million as a result of $6.2 million of 2030 Notes redeemed with Rights Offering proceeds, with each individual Backstop Party subject to an aggregate 30% ownership limitation on a pro forma fully diluted basis. The Backstop Parties committed to purchase their respective backstop commitment amounts through an exchange of their 2030 Notes (at 100% of the principal amount thereof plus accrued and unpaid interest) for shares of Common Stock at the Subscription Price (the “Backstop Exchange”). An aggregate of 59,273,445 shares of Common Stock will be issued to the Backstop Parties in the Backstop Exchange. In connection with the closing of the Backstop Exchange, the Company entered into an amended and restated indenture governing the 2030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Subscription rights holders who have participated in the Rights Offering should expect to see the shares of Common Stock issued to them in uncertificated book-entry form. Any excess subscription payments received by Computershare Trust Company, N.A. (the “Subscription Agent”) will be returned by the Subscription Agent to such subscription rights holder via check without interest or deduction.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7"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Rights Offering was made pursuant to the Company’s existing effective shelf registration statement on Form S-3 (Reg. No. 333-295905) on file with the Securities and Exchange Commission (the “SEC”) and the prospectus supplement (and the accompanying base prospectus) filed with the SEC on August 24, 2026 (collectively, the “Prospectus”). Additional information regarding the Rights Offering is set forth in the Prospectus.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press release does not constitute an offer to sell or the solicitation of an offer to buy any of the subscription rights, Common Stock or any other securities, nor will there be any sale of the subscription rights, Common Stock or any other securities in any state or other jurisdiction in which such offer, solicitation or sale would be unlawful prior to registration or qualification under the securities laws of any such state or other jurisdiction.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About KLX Energy Services Holdings, Inc.</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KLX is a growth-oriented provider of diversified oilfield services to leading onshore oil and natural gas exploration and production companies operating in both conventional and unconventional plays in all of the active major basins throughout the United States. The Company delivers mission critical oilfield services focused on drilling, completion, production, and intervention activities for technically demanding wells from over 60 service and support facilities located throughout the United States. KLX’s complementary suite of proprietary products and specialized services is supported by technically skilled personnel and a broad portfolio of innovative in-house manufacturing, repair and maintenance capabilities. More information is available at </w:t>
      </w:r>
      <w:r>
        <w:rPr>
          <w:rFonts w:ascii="Times New Roman;serif" w:hAnsi="Times New Roman;serif"/>
          <w:b w:val="false"/>
          <w:color w:val="0000FF"/>
          <w:sz w:val="22"/>
          <w:u w:val="single"/>
        </w:rPr>
        <w:t>www.klx.com</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Cautionary Statement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release and the documents to which the Company refers you to in this release, as well as oral statements made or to be made by the Company, include certain “forward-looking statements” within the meaning of, and subject to the safe harbor created by, the Private Securities Litigation Reform Act of 1995 and other federal securities laws, which are referred to as the safe harbor provisions, with respect to the transactions described herein, the businesses, strategies and plans of the Company and its expectations relating to its future financial condition and performance. Statements included in this release that are not historical facts are forward-looking statements, including, without limitation, statements about the Company’s beliefs and expectations regarding the Rights Offering, including the use of proceeds therefrom, and the Backstop Exchange. Words such as “believe,” “expect,” “plan,” “intend,” “anticipate,” “estimate,” “predict,” “forecast,” “potential,” “project,” “continue,” “may,” “might,” “should,” “could,” “would,” “will” or the negative thereof and similar expressions are intended to identify such forward-looking statements that are intended to be covered by the safe harbor provisions.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Any forward-looking statements in this release and the information incorporated by reference in this release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prevailing market conditions, as well as, without limitation, those risks described under the heading “Risk Factors” in our most recent Annual Report on Form 10-K filed with the SEC, as supplemented by our Quarterly Reports on Form 10-Q or our Current Reports on Form 8-K, and discussed elsewhere in this release, and the information incorporated by reference in this release. Given these uncertainties, you should not place undue reliance on these forward-looking statements.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All subsequent written or oral forward-looking statements attributable to the Company or any person acting on behalf of the Company are expressly qualified in their entirety by the cautionary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8"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contained or referred to in this section. The Company is not under any obligation, and the Company expressly disclaims any obligation, to update, alter, or otherwise revise any forward-looking statements, whether written or oral, that may be made from time to time, whether as a result of new information, future events or otherwise, except as may be required by law.</w:t>
      </w:r>
    </w:p>
    <w:p>
      <w:pPr>
        <w:pStyle w:val="TextBody"/>
        <w:bidi w:val="0"/>
        <w:spacing w:before="0" w:after="0"/>
        <w:jc w:val="both"/>
        <w:rPr/>
      </w:pPr>
      <w:r>
        <w:rPr/>
      </w:r>
    </w:p>
    <w:p>
      <w:pPr>
        <w:pStyle w:val="TextBody"/>
        <w:bidi w:val="0"/>
        <w:spacing w:lineRule="auto" w:line="362"/>
        <w:jc w:val="center"/>
        <w:rPr>
          <w:rFonts w:ascii="TimesNewRomanPS;sans-serif" w:hAnsi="TimesNewRomanPS;sans-serif"/>
          <w:b w:val="false"/>
          <w:color w:val="000000"/>
          <w:sz w:val="22"/>
        </w:rPr>
      </w:pPr>
      <w:r>
        <w:rPr>
          <w:rFonts w:ascii="TimesNewRomanPS;sans-serif" w:hAnsi="TimesNewRomanPS;sans-serif"/>
          <w:b w:val="false"/>
          <w:color w:val="000000"/>
          <w:sz w:val="22"/>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9"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TimesNewRomanP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264</Pages>
  <Words>114012</Words>
  <Characters>601478</Characters>
  <CharactersWithSpaces>717556</CharactersWithSpaces>
  <Paragraphs>2836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