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September 30, 2023</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tbl>
      <w:tblPr>
        <w:tblW w:w="3974" w:type="dxa"/>
        <w:jc w:val="center"/>
        <w:tblInd w:w="0" w:type="dxa"/>
        <w:tblLayout w:type="fixed"/>
        <w:tblCellMar>
          <w:top w:w="28" w:type="dxa"/>
          <w:left w:w="28" w:type="dxa"/>
          <w:bottom w:w="28" w:type="dxa"/>
          <w:right w:w="28" w:type="dxa"/>
        </w:tblCellMar>
      </w:tblPr>
      <w:tblGrid>
        <w:gridCol w:w="1271"/>
        <w:gridCol w:w="1117"/>
        <w:gridCol w:w="158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40" w:after="40"/>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Commission File No. 001-38609 </w:t>
      </w:r>
    </w:p>
    <w:p>
      <w:pPr>
        <w:pStyle w:val="TextBody"/>
        <w:bidi w:val="0"/>
        <w:spacing w:lineRule="auto" w:line="288" w:before="0" w:after="0"/>
        <w:jc w:val="center"/>
        <w:rPr/>
      </w:pPr>
      <w:r>
        <w:rPr>
          <w:color w:val="000000"/>
        </w:rPr>
        <w:t> </w:t>
      </w:r>
      <w:r>
        <w:rPr>
          <w:rFonts w:ascii="Times New Roman;sans-serif" w:hAnsi="Times New Roman;sans-serif"/>
          <w:b/>
          <w:color w:val="000000"/>
          <w:sz w:val="40"/>
        </w:rPr>
        <w:t xml:space="preserve">KLX Energy Services Holdings, Inc.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4500" w:type="dxa"/>
        <w:jc w:val="left"/>
        <w:tblInd w:w="0" w:type="dxa"/>
        <w:tblLayout w:type="fixed"/>
        <w:tblCellMar>
          <w:top w:w="28" w:type="dxa"/>
          <w:left w:w="28" w:type="dxa"/>
          <w:bottom w:w="28" w:type="dxa"/>
          <w:right w:w="28" w:type="dxa"/>
        </w:tblCellMar>
      </w:tblPr>
      <w:tblGrid>
        <w:gridCol w:w="646"/>
        <w:gridCol w:w="566"/>
        <w:gridCol w:w="573"/>
        <w:gridCol w:w="791"/>
        <w:gridCol w:w="791"/>
        <w:gridCol w:w="1133"/>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36-4904146</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of Incorporation)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3040 Post Oak Boulevard, 15th Floor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Houston, TX 77056</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(832) 844-1015</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(Address, including zip code, and telephone number, including area code, of principal executive offices of registrant)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362"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519"/>
        <w:gridCol w:w="519"/>
        <w:gridCol w:w="521"/>
        <w:gridCol w:w="109"/>
        <w:gridCol w:w="109"/>
        <w:gridCol w:w="109"/>
        <w:gridCol w:w="1074"/>
        <w:gridCol w:w="1074"/>
        <w:gridCol w:w="152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7"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8"/>
        <w:gridCol w:w="678"/>
        <w:gridCol w:w="685"/>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 has one class of common stock, $0.01 par value, of which 16,407,432 shares were outstanding as of October 31, 2023.</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KLX Energy Services Holdings,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591"/>
        <w:gridCol w:w="520"/>
        <w:gridCol w:w="520"/>
        <w:gridCol w:w="2745"/>
        <w:gridCol w:w="2719"/>
        <w:gridCol w:w="2736"/>
        <w:gridCol w:w="109"/>
        <w:gridCol w:w="109"/>
        <w:gridCol w:w="15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5707fbbb085f4d969edb01013b9045d2_10">
              <w:r>
                <w:rPr>
                  <w:rStyle w:val="InternetLink"/>
                  <w:rFonts w:ascii="Arial;sans-serif" w:hAnsi="Arial;sans-serif"/>
                  <w:b/>
                  <w:color w:val="0000FF"/>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10">
              <w:r>
                <w:rPr>
                  <w:rStyle w:val="InternetLink"/>
                  <w:rFonts w:ascii="Arial;sans-serif" w:hAnsi="Arial;sans-serif"/>
                  <w:b w:val="false"/>
                  <w:color w:val="0000FF"/>
                  <w:sz w:val="20"/>
                  <w:u w:val="single"/>
                </w:rPr>
                <w:t>3</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31">
              <w:r>
                <w:rPr>
                  <w:rStyle w:val="InternetLink"/>
                  <w:color w:val="0000FF"/>
                  <w:u w:val="single"/>
                </w:rPr>
                <w:t> </w:t>
              </w:r>
            </w:hyperlink>
            <w:hyperlink w:anchor="i5707fbbb085f4d969edb01013b9045d2_31">
              <w:r>
                <w:rPr>
                  <w:rStyle w:val="InternetLink"/>
                  <w:rFonts w:ascii="Arial;sans-serif" w:hAnsi="Arial;sans-serif"/>
                  <w:b w:val="false"/>
                  <w:color w:val="0000FF"/>
                  <w:sz w:val="20"/>
                  <w:u w:val="single"/>
                </w:rPr>
                <w:t>Item 1. Condensed Consolidated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13">
              <w:r>
                <w:rPr>
                  <w:rStyle w:val="InternetLink"/>
                  <w:rFonts w:ascii="Arial;sans-serif" w:hAnsi="Arial;sans-serif"/>
                  <w:b w:val="false"/>
                  <w:color w:val="0000FF"/>
                  <w:sz w:val="20"/>
                  <w:u w:val="single"/>
                </w:rPr>
                <w:t>3</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13">
              <w:r>
                <w:rPr>
                  <w:rStyle w:val="InternetLink"/>
                  <w:rFonts w:ascii="Arial;sans-serif" w:hAnsi="Arial;sans-serif"/>
                  <w:b w:val="false"/>
                  <w:color w:val="0000FF"/>
                  <w:sz w:val="20"/>
                  <w:u w:val="single"/>
                </w:rPr>
                <w:t>Balance Sheets as of September 30, 2023 and December 31, 2022</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13">
              <w:r>
                <w:rPr>
                  <w:rStyle w:val="InternetLink"/>
                  <w:rFonts w:ascii="Arial;sans-serif" w:hAnsi="Arial;sans-serif"/>
                  <w:b w:val="false"/>
                  <w:color w:val="0000FF"/>
                  <w:sz w:val="20"/>
                  <w:u w:val="single"/>
                </w:rPr>
                <w:t>3</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19">
              <w:r>
                <w:rPr>
                  <w:rStyle w:val="InternetLink"/>
                  <w:rFonts w:ascii="Arial;sans-serif" w:hAnsi="Arial;sans-serif"/>
                  <w:b w:val="false"/>
                  <w:color w:val="0000FF"/>
                  <w:sz w:val="20"/>
                  <w:u w:val="single"/>
                </w:rPr>
                <w:t>Statements of Operations for the Three and Nine Months Ended September 30, 2023 and 2022</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19">
              <w:r>
                <w:rPr>
                  <w:rStyle w:val="InternetLink"/>
                  <w:rFonts w:ascii="Arial;sans-serif" w:hAnsi="Arial;sans-serif"/>
                  <w:b w:val="false"/>
                  <w:color w:val="0000FF"/>
                  <w:sz w:val="20"/>
                  <w:u w:val="single"/>
                </w:rPr>
                <w:t>4</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25">
              <w:r>
                <w:rPr>
                  <w:rStyle w:val="InternetLink"/>
                  <w:rFonts w:ascii="Arial;sans-serif" w:hAnsi="Arial;sans-serif"/>
                  <w:b w:val="false"/>
                  <w:color w:val="0000FF"/>
                  <w:sz w:val="20"/>
                  <w:u w:val="single"/>
                </w:rPr>
                <w:t>Statements of Stockholders' Equity (Deficit) for the Nine Months Ended September 30, 2023 and 2022</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25">
              <w:r>
                <w:rPr>
                  <w:rStyle w:val="InternetLink"/>
                  <w:rFonts w:ascii="Arial;sans-serif" w:hAnsi="Arial;sans-serif"/>
                  <w:b w:val="false"/>
                  <w:color w:val="0000FF"/>
                  <w:sz w:val="20"/>
                  <w:u w:val="single"/>
                </w:rPr>
                <w:t>5</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28">
              <w:r>
                <w:rPr>
                  <w:rStyle w:val="InternetLink"/>
                  <w:rFonts w:ascii="Arial;sans-serif" w:hAnsi="Arial;sans-serif"/>
                  <w:b w:val="false"/>
                  <w:color w:val="0000FF"/>
                  <w:sz w:val="20"/>
                  <w:u w:val="single"/>
                </w:rPr>
                <w:t>Statements of Cash Flows for the Nine Months Ended September 30, 2023 and 2022</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28">
              <w:r>
                <w:rPr>
                  <w:rStyle w:val="InternetLink"/>
                  <w:rFonts w:ascii="Arial;sans-serif" w:hAnsi="Arial;sans-serif"/>
                  <w:b w:val="false"/>
                  <w:color w:val="0000FF"/>
                  <w:sz w:val="20"/>
                  <w:u w:val="single"/>
                </w:rPr>
                <w:t>6</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31">
              <w:r>
                <w:rPr>
                  <w:rStyle w:val="InternetLink"/>
                  <w:rFonts w:ascii="Arial;sans-serif" w:hAnsi="Arial;sans-serif"/>
                  <w:b w:val="false"/>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31">
              <w:r>
                <w:rPr>
                  <w:rStyle w:val="InternetLink"/>
                  <w:rFonts w:ascii="Arial;sans-serif" w:hAnsi="Arial;sans-serif"/>
                  <w:b w:val="false"/>
                  <w:color w:val="0000FF"/>
                  <w:sz w:val="20"/>
                  <w:u w:val="single"/>
                </w:rPr>
                <w:t>7</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73">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73">
              <w:r>
                <w:rPr>
                  <w:rStyle w:val="InternetLink"/>
                  <w:rFonts w:ascii="Arial;sans-serif" w:hAnsi="Arial;sans-serif"/>
                  <w:b w:val="false"/>
                  <w:color w:val="0000FF"/>
                  <w:sz w:val="20"/>
                  <w:u w:val="single"/>
                </w:rPr>
                <w:t>19</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88">
              <w:r>
                <w:rPr>
                  <w:rStyle w:val="InternetLink"/>
                  <w:rFonts w:ascii="Arial;sans-serif" w:hAnsi="Arial;sans-serif"/>
                  <w:b w:val="false"/>
                  <w:color w:val="0000FF"/>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88">
              <w:r>
                <w:rPr>
                  <w:rStyle w:val="InternetLink"/>
                  <w:rFonts w:ascii="Arial;sans-serif" w:hAnsi="Arial;sans-serif"/>
                  <w:b w:val="false"/>
                  <w:color w:val="0000FF"/>
                  <w:sz w:val="20"/>
                  <w:u w:val="single"/>
                </w:rPr>
                <w:t>31</w:t>
              </w:r>
            </w:hyperlink>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820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91">
              <w:r>
                <w:rPr>
                  <w:rStyle w:val="InternetLink"/>
                  <w:rFonts w:ascii="Arial;sans-serif" w:hAnsi="Arial;sans-serif"/>
                  <w:b w:val="false"/>
                  <w:color w:val="0000FF"/>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91">
              <w:r>
                <w:rPr>
                  <w:rStyle w:val="InternetLink"/>
                  <w:rFonts w:ascii="Arial;sans-serif" w:hAnsi="Arial;sans-serif"/>
                  <w:b w:val="false"/>
                  <w:color w:val="0000FF"/>
                  <w:sz w:val="20"/>
                  <w:u w:val="single"/>
                </w:rPr>
                <w:t>32</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94">
              <w:r>
                <w:rPr>
                  <w:rStyle w:val="InternetLink"/>
                  <w:rFonts w:ascii="Arial;sans-serif" w:hAnsi="Arial;sans-serif"/>
                  <w:b/>
                  <w:color w:val="0000FF"/>
                  <w:sz w:val="20"/>
                  <w:u w:val="single"/>
                </w:rPr>
                <w:t>PART II -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94">
              <w:r>
                <w:rPr>
                  <w:rStyle w:val="InternetLink"/>
                  <w:rFonts w:ascii="Arial;sans-serif" w:hAnsi="Arial;sans-serif"/>
                  <w:b w:val="false"/>
                  <w:color w:val="0000FF"/>
                  <w:sz w:val="20"/>
                  <w:u w:val="single"/>
                </w:rPr>
                <w:t>32</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97">
              <w:r>
                <w:rPr>
                  <w:rStyle w:val="InternetLink"/>
                  <w:rFonts w:ascii="Arial;sans-serif" w:hAnsi="Arial;sans-serif"/>
                  <w:b w:val="false"/>
                  <w:color w:val="0000FF"/>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97">
              <w:r>
                <w:rPr>
                  <w:rStyle w:val="InternetLink"/>
                  <w:rFonts w:ascii="Arial;sans-serif" w:hAnsi="Arial;sans-serif"/>
                  <w:b w:val="false"/>
                  <w:color w:val="0000FF"/>
                  <w:sz w:val="20"/>
                  <w:u w:val="single"/>
                </w:rPr>
                <w:t>32</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100">
              <w:r>
                <w:rPr>
                  <w:rStyle w:val="InternetLink"/>
                  <w:rFonts w:ascii="Arial;sans-serif" w:hAnsi="Arial;sans-serif"/>
                  <w:b w:val="false"/>
                  <w:color w:val="0000FF"/>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100">
              <w:r>
                <w:rPr>
                  <w:rStyle w:val="InternetLink"/>
                  <w:rFonts w:ascii="Arial;sans-serif" w:hAnsi="Arial;sans-serif"/>
                  <w:b w:val="false"/>
                  <w:color w:val="0000FF"/>
                  <w:sz w:val="20"/>
                  <w:u w:val="single"/>
                </w:rPr>
                <w:t>32</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103">
              <w:r>
                <w:rPr>
                  <w:rStyle w:val="InternetLink"/>
                  <w:rFonts w:ascii="Arial;sans-serif" w:hAnsi="Arial;sans-serif"/>
                  <w:b w:val="false"/>
                  <w:color w:val="0000FF"/>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103">
              <w:r>
                <w:rPr>
                  <w:rStyle w:val="InternetLink"/>
                  <w:rFonts w:ascii="Arial;sans-serif" w:hAnsi="Arial;sans-serif"/>
                  <w:b w:val="false"/>
                  <w:color w:val="0000FF"/>
                  <w:sz w:val="20"/>
                  <w:u w:val="single"/>
                </w:rPr>
                <w:t>32</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106">
              <w:r>
                <w:rPr>
                  <w:rStyle w:val="InternetLink"/>
                  <w:rFonts w:ascii="Arial;sans-serif" w:hAnsi="Arial;sans-serif"/>
                  <w:b w:val="false"/>
                  <w:color w:val="0000FF"/>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106">
              <w:r>
                <w:rPr>
                  <w:rStyle w:val="InternetLink"/>
                  <w:rFonts w:ascii="Arial;sans-serif" w:hAnsi="Arial;sans-serif"/>
                  <w:b w:val="false"/>
                  <w:color w:val="0000FF"/>
                  <w:sz w:val="20"/>
                  <w:u w:val="single"/>
                </w:rPr>
                <w:t>33</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109">
              <w:r>
                <w:rPr>
                  <w:rStyle w:val="InternetLink"/>
                  <w:rFonts w:ascii="Arial;sans-serif" w:hAnsi="Arial;sans-serif"/>
                  <w:b w:val="false"/>
                  <w:color w:val="0000FF"/>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109">
              <w:r>
                <w:rPr>
                  <w:rStyle w:val="InternetLink"/>
                  <w:rFonts w:ascii="Arial;sans-serif" w:hAnsi="Arial;sans-serif"/>
                  <w:b w:val="false"/>
                  <w:color w:val="0000FF"/>
                  <w:sz w:val="20"/>
                  <w:u w:val="single"/>
                </w:rPr>
                <w:t>33</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112">
              <w:r>
                <w:rPr>
                  <w:rStyle w:val="InternetLink"/>
                  <w:rFonts w:ascii="Arial;sans-serif" w:hAnsi="Arial;sans-serif"/>
                  <w:b w:val="false"/>
                  <w:color w:val="0000FF"/>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115">
              <w:r>
                <w:rPr>
                  <w:rStyle w:val="InternetLink"/>
                  <w:rFonts w:ascii="Arial;sans-serif" w:hAnsi="Arial;sans-serif"/>
                  <w:b w:val="false"/>
                  <w:color w:val="0000FF"/>
                  <w:sz w:val="20"/>
                  <w:u w:val="single"/>
                </w:rPr>
                <w:t>34</w:t>
              </w:r>
            </w:hyperlink>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07fbbb085f4d969edb01013b9045d2_115">
              <w:r>
                <w:rPr>
                  <w:rStyle w:val="InternetLink"/>
                  <w:rFonts w:ascii="Arial;sans-serif" w:hAnsi="Arial;sans-serif"/>
                  <w:b w:val="false"/>
                  <w:color w:val="0000FF"/>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115">
              <w:r>
                <w:rPr>
                  <w:rStyle w:val="InternetLink"/>
                  <w:rFonts w:ascii="Arial;sans-serif" w:hAnsi="Arial;sans-serif"/>
                  <w:b w:val="false"/>
                  <w:color w:val="0000FF"/>
                  <w:sz w:val="20"/>
                  <w:u w:val="single"/>
                </w:rPr>
                <w:t>34</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5707fbbb085f4d969edb01013b9045d2_118">
              <w:r>
                <w:rPr>
                  <w:rStyle w:val="InternetLink"/>
                  <w:rFonts w:ascii="Arial;sans-serif" w:hAnsi="Arial;sans-serif"/>
                  <w:b/>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07fbbb085f4d969edb01013b9045d2_118">
              <w:r>
                <w:rPr>
                  <w:rStyle w:val="InternetLink"/>
                  <w:rFonts w:ascii="Arial;sans-serif" w:hAnsi="Arial;sans-serif"/>
                  <w:b w:val="false"/>
                  <w:color w:val="0000FF"/>
                  <w:sz w:val="20"/>
                  <w:u w:val="singl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50850"/>
                <wp:effectExtent l="0" t="0" r="0" b="0"/>
                <wp:wrapNone/>
                <wp:docPr id="2" name="Frame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and shares, except per share data)</w:t>
      </w:r>
    </w:p>
    <w:tbl>
      <w:tblPr>
        <w:tblW w:w="10134" w:type="dxa"/>
        <w:jc w:val="center"/>
        <w:tblInd w:w="0" w:type="dxa"/>
        <w:tblLayout w:type="fixed"/>
        <w:tblCellMar>
          <w:top w:w="28" w:type="dxa"/>
          <w:left w:w="28" w:type="dxa"/>
          <w:bottom w:w="28" w:type="dxa"/>
          <w:right w:w="28" w:type="dxa"/>
        </w:tblCellMar>
      </w:tblPr>
      <w:tblGrid>
        <w:gridCol w:w="2235"/>
        <w:gridCol w:w="1963"/>
        <w:gridCol w:w="1981"/>
        <w:gridCol w:w="407"/>
        <w:gridCol w:w="1193"/>
        <w:gridCol w:w="214"/>
        <w:gridCol w:w="109"/>
        <w:gridCol w:w="109"/>
        <w:gridCol w:w="109"/>
        <w:gridCol w:w="390"/>
        <w:gridCol w:w="1138"/>
        <w:gridCol w:w="286"/>
      </w:tblGrid>
      <w:tr>
        <w:trPr/>
        <w:tc>
          <w:tcPr>
            <w:tcW w:w="2235"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i/>
                <w:color w:val="000000"/>
                <w:sz w:val="18"/>
              </w:rPr>
            </w:pPr>
            <w:r>
              <w:rPr>
                <w:rFonts w:ascii="Arial;sans-serif" w:hAnsi="Arial;sans-serif"/>
                <w:b/>
                <w:i/>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receivable–trade, net of allowance of $6.1 and $5.7</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and equipment, net </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465.9 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1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 (DEFICIT)</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obligations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obligations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contingencies and off-balance sheet arrangements (Note 8)</w:t>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(deficit):</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$0.01 par value; 110.0 authorized; 16.8 and 14.3 issued </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Treasury stock, at cost, 0.4 shares and 0.4 shares </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 (deficit)</w:t>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465.9 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0850"/>
                <wp:effectExtent l="0" t="0" r="0" b="0"/>
                <wp:wrapNone/>
                <wp:docPr id="3" name="Frame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except per share data)</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87"/>
        <w:gridCol w:w="770"/>
        <w:gridCol w:w="769"/>
        <w:gridCol w:w="348"/>
        <w:gridCol w:w="1021"/>
        <w:gridCol w:w="183"/>
        <w:gridCol w:w="109"/>
        <w:gridCol w:w="109"/>
        <w:gridCol w:w="109"/>
        <w:gridCol w:w="348"/>
        <w:gridCol w:w="1021"/>
        <w:gridCol w:w="183"/>
        <w:gridCol w:w="109"/>
        <w:gridCol w:w="109"/>
        <w:gridCol w:w="109"/>
        <w:gridCol w:w="348"/>
        <w:gridCol w:w="1021"/>
        <w:gridCol w:w="183"/>
        <w:gridCol w:w="109"/>
        <w:gridCol w:w="109"/>
        <w:gridCol w:w="109"/>
        <w:gridCol w:w="348"/>
        <w:gridCol w:w="1021"/>
        <w:gridCol w:w="183"/>
        <w:gridCol w:w="109"/>
        <w:gridCol w:w="109"/>
        <w:gridCol w:w="109"/>
        <w:gridCol w:w="163"/>
      </w:tblGrid>
      <w:tr>
        <w:trPr/>
        <w:tc>
          <w:tcPr>
            <w:tcW w:w="98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Bargain purchase gain</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income</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before income tax</w:t>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expense</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share-basic</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share-diluted</w:t>
            </w:r>
          </w:p>
        </w:tc>
        <w:tc>
          <w:tcPr>
            <w:tcW w:w="3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1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0.96 </w:t>
            </w:r>
          </w:p>
        </w:tc>
        <w:tc>
          <w:tcPr>
            <w:tcW w:w="1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before="2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0850"/>
                <wp:effectExtent l="0" t="0" r="0" b="0"/>
                <wp:wrapNone/>
                <wp:docPr id="4" name="Frame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KLX Energy Services Holdings,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Condensed Consolidated Statements of Stockholders' Equity (Deficit)</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Nine Months Ended September 30, 2023 and 2022</w:t>
      </w:r>
    </w:p>
    <w:p>
      <w:pPr>
        <w:pStyle w:val="TextBody"/>
        <w:bidi w:val="0"/>
        <w:spacing w:lineRule="auto" w:line="288" w:before="0" w:after="0"/>
        <w:jc w:val="center"/>
        <w:rPr/>
      </w:pPr>
      <w:r>
        <w:rPr>
          <w:rFonts w:ascii="Arial;sans-serif" w:hAnsi="Arial;sans-serif"/>
          <w:b/>
          <w:color w:val="000000"/>
          <w:sz w:val="16"/>
        </w:rPr>
        <w:t>(</w:t>
      </w:r>
      <w:r>
        <w:rPr>
          <w:rFonts w:ascii="Arial;sans-serif" w:hAnsi="Arial;sans-serif"/>
          <w:b/>
          <w:i/>
          <w:color w:val="000000"/>
          <w:sz w:val="16"/>
        </w:rPr>
        <w:t>In millions of U.S. dollars and shares</w:t>
      </w:r>
      <w:r>
        <w:rPr>
          <w:rFonts w:ascii="Arial;sans-serif" w:hAnsi="Arial;sans-serif"/>
          <w:b/>
          <w:color w:val="000000"/>
          <w:sz w:val="16"/>
        </w:rPr>
        <w:t>)</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623"/>
        <w:gridCol w:w="531"/>
        <w:gridCol w:w="533"/>
        <w:gridCol w:w="196"/>
        <w:gridCol w:w="466"/>
        <w:gridCol w:w="109"/>
        <w:gridCol w:w="109"/>
        <w:gridCol w:w="109"/>
        <w:gridCol w:w="109"/>
        <w:gridCol w:w="216"/>
        <w:gridCol w:w="414"/>
        <w:gridCol w:w="121"/>
        <w:gridCol w:w="109"/>
        <w:gridCol w:w="109"/>
        <w:gridCol w:w="109"/>
        <w:gridCol w:w="313"/>
        <w:gridCol w:w="894"/>
        <w:gridCol w:w="176"/>
        <w:gridCol w:w="109"/>
        <w:gridCol w:w="109"/>
        <w:gridCol w:w="109"/>
        <w:gridCol w:w="275"/>
        <w:gridCol w:w="553"/>
        <w:gridCol w:w="153"/>
        <w:gridCol w:w="109"/>
        <w:gridCol w:w="109"/>
        <w:gridCol w:w="109"/>
        <w:gridCol w:w="304"/>
        <w:gridCol w:w="889"/>
        <w:gridCol w:w="171"/>
        <w:gridCol w:w="109"/>
        <w:gridCol w:w="109"/>
        <w:gridCol w:w="109"/>
        <w:gridCol w:w="382"/>
        <w:gridCol w:w="941"/>
        <w:gridCol w:w="310"/>
      </w:tblGrid>
      <w:tr>
        <w:trPr/>
        <w:tc>
          <w:tcPr>
            <w:tcW w:w="62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2022</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net of forfeitures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treasury stock</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Greene's acquisition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net of cost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2023</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net of forfeitures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2023</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(507.8)</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net of forfeitures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net of cost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(500.2)</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53"/>
        <w:gridCol w:w="720"/>
        <w:gridCol w:w="722"/>
        <w:gridCol w:w="235"/>
        <w:gridCol w:w="235"/>
        <w:gridCol w:w="236"/>
        <w:gridCol w:w="109"/>
        <w:gridCol w:w="109"/>
        <w:gridCol w:w="109"/>
        <w:gridCol w:w="215"/>
        <w:gridCol w:w="414"/>
        <w:gridCol w:w="122"/>
        <w:gridCol w:w="109"/>
        <w:gridCol w:w="109"/>
        <w:gridCol w:w="109"/>
        <w:gridCol w:w="282"/>
        <w:gridCol w:w="804"/>
        <w:gridCol w:w="159"/>
        <w:gridCol w:w="109"/>
        <w:gridCol w:w="109"/>
        <w:gridCol w:w="109"/>
        <w:gridCol w:w="224"/>
        <w:gridCol w:w="448"/>
        <w:gridCol w:w="125"/>
        <w:gridCol w:w="109"/>
        <w:gridCol w:w="109"/>
        <w:gridCol w:w="109"/>
        <w:gridCol w:w="258"/>
        <w:gridCol w:w="753"/>
        <w:gridCol w:w="145"/>
        <w:gridCol w:w="109"/>
        <w:gridCol w:w="109"/>
        <w:gridCol w:w="109"/>
        <w:gridCol w:w="364"/>
        <w:gridCol w:w="895"/>
        <w:gridCol w:w="204"/>
        <w:gridCol w:w="157"/>
      </w:tblGrid>
      <w:tr>
        <w:trPr/>
        <w:tc>
          <w:tcPr>
            <w:tcW w:w="85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Deficit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2021</w:t>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(525.3)</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 to beginning period Retained Earnings as a result of Topic 326 adoption</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net of forfeitures</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treasury stock</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net of cost</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2022</w:t>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net of forfeitures</w:t>
            </w:r>
          </w:p>
        </w:tc>
        <w:tc>
          <w:tcPr>
            <w:tcW w:w="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net of cost</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2022</w:t>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(552.9)</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net of forfeitures</w:t>
            </w:r>
          </w:p>
        </w:tc>
        <w:tc>
          <w:tcPr>
            <w:tcW w:w="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net of cost</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2022</w:t>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(541.8)</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0850"/>
                <wp:effectExtent l="0" t="0" r="0" b="0"/>
                <wp:wrapNone/>
                <wp:docPr id="5" name="Frame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24"/>
        <w:gridCol w:w="2010"/>
        <w:gridCol w:w="2023"/>
        <w:gridCol w:w="439"/>
        <w:gridCol w:w="1068"/>
        <w:gridCol w:w="229"/>
        <w:gridCol w:w="109"/>
        <w:gridCol w:w="109"/>
        <w:gridCol w:w="109"/>
        <w:gridCol w:w="420"/>
        <w:gridCol w:w="1052"/>
        <w:gridCol w:w="313"/>
      </w:tblGrid>
      <w:tr>
        <w:trPr/>
        <w:tc>
          <w:tcPr>
            <w:tcW w:w="2324"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6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2022</w:t>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flows from operating activities</w:t>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635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financing fees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inventory reserve</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disposal of property, equipment and other</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Bargain purchase gain</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receivable</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Prepaid expenses and other current and non-current assets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current and non-current liabilities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provided by operating activities</w:t>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from acquisition</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used in investing activities</w:t>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ABL Facility</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issuance, net of costs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 issuance costs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finance lease refinancing</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financed payables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(used in) provided by financing activities</w:t>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change in cash and cash equivalents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period for:</w:t>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 of refunds</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schedule of non-cash activities:</w:t>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deposits on capital expenditures</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accrued capital expenditures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850"/>
                <wp:effectExtent l="0" t="0" r="0" b="0"/>
                <wp:wrapNone/>
                <wp:docPr id="6" name="Frame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U.S. dollars in millions, except per share data)</w: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1 - Description of Business and 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Description of Business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50 service and support facilities located throughout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 an all-stock transaction, including $1.7 in cash, which was subsequently adjusted to $1.1. Greene’s is a leading provider of wellhead protection, flowback and well testing services. The acquisition of Greene’s, which has been accretive to KLXE in 2023, augments the KLXE frac rental and flowback offerings, providing KLXE with a broader presence in the Permian and Eagle Ford basins. See Note 3 - Business Combinations.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year 2023 or for any future period. The information included in these condensed consolidated financial statements should be read in conjunction with the condensed consolidated financial statements and accompanying notes included in the Company’s 2022 Annual Report on Form 10-K filed with the SEC on March 9,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and related disclosures.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0850"/>
                <wp:effectExtent l="0" t="0" r="0" b="0"/>
                <wp:wrapNone/>
                <wp:docPr id="7" name="Frame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2 - Recent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Recently Adopted Accounting Standard Updates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July 2023, the Financial Accounting Standards Board (“FASB”) issued Accounting Standards Update (“ASU”) 2023-03, Presentation of Financial Statements (Topic 205), Income Statement—Reporting Comprehensive Income (Topic 220), Distinguishing Liabilities from Equity (Topic 480), Equity (Topic 505), and Compensation—Stock Compensation (Topic 718): Amendments to SEC Paragraphs Pursuant to SEC Staff Accounting Bulletin No. 120, SEC Staff Announcement at the March 24, 2022 EITF Meeting, and Staff Accounting Bulletin Topic 6.B, Accounting Series Release 280—General Revision of Regulation S-X: Income or Loss Applicable to Common Stock. This ASU provides guidance for the valuation of spring-loaded stock-based compensation awards. We have adopted ASU 2023-03 effective immediately. The changes in the guidance are currently not applicable to our calculation of stock-based compensation awards, but we continue to evaluate and will comply with the updated guidance for any stock-based compensation awards, where it might be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3 - Business Combinations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in an all-stock transaction, including $1.7 in cash, which was subsequently adjusted to $1.1. The total consideration for the acquisition consisted of the issuance of approximately 2.4 million shares of KLXE common stock, par value $0.01 per share (the “Common Stock”), subject to customary post-closing adjustments, with an implied enterprise value of approximately $30.3 based on a 30-day volume weighted average price as of March 7, 2023 and less acquired cash. Following the closing of the transaction, former shareholders of Greene’s held approximately 14.7% of the fully diluted Common Stock of the Company, as of March 8, 2023. As of the date of this filing, the integration is complete.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transaction was accounted for as a purchase under the FASB Accounting Standards Codification Topic 805, Business Combinations (“ASC 805”). The results of operations for the acquisition are included in the accompanying condensed consolidated statements of operations from the respective date of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 This has been presented as a separate line item on the consolidated statements of operations for the three and nine months ended September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0850"/>
                <wp:effectExtent l="0" t="0" r="0" b="0"/>
                <wp:wrapNone/>
                <wp:docPr id="8" name="Frame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values assigned to certain assets acquired and liabilities assumed in relation to the Company’s acquisition have been prepared on a preliminary basis with information currently available and are subject to change. The Company expects to finalize its analysis by the first quarter of 2024. The following table summarizes the fair values of assets acquired and liabilities assumed in the acquisition in accordance with ASC 805:</w:t>
      </w:r>
    </w:p>
    <w:tbl>
      <w:tblPr>
        <w:tblW w:w="4231" w:type="dxa"/>
        <w:jc w:val="left"/>
        <w:tblInd w:w="0" w:type="dxa"/>
        <w:tblLayout w:type="fixed"/>
        <w:tblCellMar>
          <w:top w:w="28" w:type="dxa"/>
          <w:left w:w="28" w:type="dxa"/>
          <w:bottom w:w="28" w:type="dxa"/>
          <w:right w:w="28" w:type="dxa"/>
        </w:tblCellMar>
      </w:tblPr>
      <w:tblGrid>
        <w:gridCol w:w="1190"/>
        <w:gridCol w:w="1047"/>
        <w:gridCol w:w="1063"/>
        <w:gridCol w:w="224"/>
        <w:gridCol w:w="543"/>
        <w:gridCol w:w="164"/>
      </w:tblGrid>
      <w:tr>
        <w:trPr/>
        <w:tc>
          <w:tcPr>
            <w:tcW w:w="11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Greene's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w:t>
            </w:r>
            <w:r>
              <w:rPr>
                <w:rFonts w:ascii="Arial;sans-serif" w:hAnsi="Arial;sans-serif"/>
                <w:b w:val="false"/>
                <w:color w:val="000000"/>
                <w:sz w:val="12"/>
              </w:rPr>
              <w:t>(1)</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receivable-trade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Bargain purchase</w:t>
            </w:r>
            <w:r>
              <w:rPr>
                <w:rFonts w:ascii="Arial;sans-serif" w:hAnsi="Arial;sans-serif"/>
                <w:b w:val="false"/>
                <w:color w:val="000000"/>
                <w:sz w:val="12"/>
              </w:rPr>
              <w:t>(2)</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Total purchase price</w:t>
            </w:r>
            <w:r>
              <w:rPr>
                <w:rFonts w:ascii="Arial;sans-serif" w:hAnsi="Arial;sans-serif"/>
                <w:b w:val="false"/>
                <w:color w:val="000000"/>
                <w:sz w:val="12"/>
              </w:rPr>
              <w:t>(3)</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pPr>
      <w:r>
        <w:rPr>
          <w:rFonts w:ascii="Arial;sans-serif" w:hAnsi="Arial;sans-serif"/>
          <w:b w:val="false"/>
          <w:color w:val="000000"/>
          <w:sz w:val="10"/>
        </w:rPr>
        <w:t>(1)</w:t>
      </w:r>
      <w:r>
        <w:rPr>
          <w:rFonts w:ascii="Arial;sans-serif" w:hAnsi="Arial;sans-serif"/>
          <w:b w:val="false"/>
          <w:color w:val="000000"/>
          <w:sz w:val="16"/>
        </w:rPr>
        <w:t>Net of working capital adjustment of $0.6</w:t>
      </w:r>
      <w:r>
        <w:rPr>
          <w:color w:val="000000"/>
        </w:rPr>
        <w:t xml:space="preserve"> </w:t>
      </w:r>
    </w:p>
    <w:p>
      <w:pPr>
        <w:pStyle w:val="TextBody"/>
        <w:bidi w:val="0"/>
        <w:spacing w:lineRule="auto" w:line="288" w:before="100" w:after="283"/>
        <w:ind w:left="0" w:right="0" w:hanging="270"/>
        <w:jc w:val="both"/>
        <w:rPr/>
      </w:pPr>
      <w:r>
        <w:rPr>
          <w:rFonts w:ascii="Arial;sans-serif" w:hAnsi="Arial;sans-serif"/>
          <w:b w:val="false"/>
          <w:color w:val="000000"/>
          <w:sz w:val="10"/>
        </w:rPr>
        <w:t>(2)</w:t>
      </w:r>
      <w:r>
        <w:rPr>
          <w:rFonts w:ascii="Arial;sans-serif" w:hAnsi="Arial;sans-serif"/>
          <w:b w:val="false"/>
          <w:color w:val="000000"/>
          <w:sz w:val="16"/>
        </w:rPr>
        <w:t>Net of deferred taxes</w:t>
      </w:r>
    </w:p>
    <w:p>
      <w:pPr>
        <w:pStyle w:val="TextBody"/>
        <w:bidi w:val="0"/>
        <w:spacing w:lineRule="auto" w:line="288" w:before="100" w:after="283"/>
        <w:ind w:left="0" w:right="0" w:hanging="270"/>
        <w:jc w:val="both"/>
        <w:rPr/>
      </w:pPr>
      <w:r>
        <w:rPr>
          <w:rFonts w:ascii="Arial;sans-serif" w:hAnsi="Arial;sans-serif"/>
          <w:b w:val="false"/>
          <w:color w:val="000000"/>
          <w:sz w:val="10"/>
        </w:rPr>
        <w:t>(3)</w:t>
      </w:r>
      <w:r>
        <w:rPr>
          <w:rFonts w:ascii="Arial;sans-serif" w:hAnsi="Arial;sans-serif"/>
          <w:b w:val="false"/>
          <w:color w:val="000000"/>
          <w:sz w:val="16"/>
        </w:rPr>
        <w:t>The total consideration of the acquisition was approximately $34.0, which was comprised of 2.4 million shares of the Company's Common Stock.</w:t>
      </w:r>
    </w:p>
    <w:p>
      <w:pPr>
        <w:pStyle w:val="TextBody"/>
        <w:bidi w:val="0"/>
        <w:spacing w:before="100" w:after="283"/>
        <w:ind w:left="0" w:right="0" w:hanging="27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Unaudited Supplemental Pro Forma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actual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 pro forma basis to give effect to the acquisition, as if it occurred on January 1, 2022, revenues and net income (loss) for the three and nine months ended September 30, 2023 and 2022 would have been as follows:</w:t>
      </w:r>
    </w:p>
    <w:tbl>
      <w:tblPr>
        <w:tblW w:w="9827" w:type="dxa"/>
        <w:jc w:val="center"/>
        <w:tblInd w:w="0" w:type="dxa"/>
        <w:tblLayout w:type="fixed"/>
        <w:tblCellMar>
          <w:top w:w="28" w:type="dxa"/>
          <w:left w:w="28" w:type="dxa"/>
          <w:bottom w:w="28" w:type="dxa"/>
          <w:right w:w="28" w:type="dxa"/>
        </w:tblCellMar>
      </w:tblPr>
      <w:tblGrid>
        <w:gridCol w:w="558"/>
        <w:gridCol w:w="491"/>
        <w:gridCol w:w="495"/>
        <w:gridCol w:w="407"/>
        <w:gridCol w:w="1193"/>
        <w:gridCol w:w="214"/>
        <w:gridCol w:w="109"/>
        <w:gridCol w:w="109"/>
        <w:gridCol w:w="109"/>
        <w:gridCol w:w="407"/>
        <w:gridCol w:w="1193"/>
        <w:gridCol w:w="214"/>
        <w:gridCol w:w="109"/>
        <w:gridCol w:w="109"/>
        <w:gridCol w:w="109"/>
        <w:gridCol w:w="407"/>
        <w:gridCol w:w="1193"/>
        <w:gridCol w:w="214"/>
        <w:gridCol w:w="109"/>
        <w:gridCol w:w="109"/>
        <w:gridCol w:w="109"/>
        <w:gridCol w:w="399"/>
        <w:gridCol w:w="1168"/>
        <w:gridCol w:w="293"/>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 Pro Forma</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2022</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611.1 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0850"/>
                <wp:effectExtent l="0" t="0" r="0" b="0"/>
                <wp:wrapNone/>
                <wp:docPr id="9" name="Frame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4 - Inventories,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6294" w:type="dxa"/>
        <w:jc w:val="left"/>
        <w:tblInd w:w="0" w:type="dxa"/>
        <w:tblLayout w:type="fixed"/>
        <w:tblCellMar>
          <w:top w:w="28" w:type="dxa"/>
          <w:left w:w="28" w:type="dxa"/>
          <w:bottom w:w="28" w:type="dxa"/>
          <w:right w:w="28" w:type="dxa"/>
        </w:tblCellMar>
      </w:tblPr>
      <w:tblGrid>
        <w:gridCol w:w="727"/>
        <w:gridCol w:w="639"/>
        <w:gridCol w:w="644"/>
        <w:gridCol w:w="109"/>
        <w:gridCol w:w="109"/>
        <w:gridCol w:w="109"/>
        <w:gridCol w:w="459"/>
        <w:gridCol w:w="1116"/>
        <w:gridCol w:w="240"/>
        <w:gridCol w:w="109"/>
        <w:gridCol w:w="109"/>
        <w:gridCol w:w="109"/>
        <w:gridCol w:w="437"/>
        <w:gridCol w:w="1059"/>
        <w:gridCol w:w="319"/>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Spare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Inventory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Inventories are made up of spare parts, composite and dissolvable plugs, consumables (including thru-tubing accessory tools, chemicals and cement) and other (including fluid ends) used to perform services for customers. The Company values inventories at the lower of cost or net realizable value. Inventories are reported net of inventory reserve of $4.2 and $4.4 as of September 30,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5 - Property and Equipment,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consisted of the following:</w:t>
      </w:r>
    </w:p>
    <w:tbl>
      <w:tblPr>
        <w:tblW w:w="9020" w:type="dxa"/>
        <w:jc w:val="left"/>
        <w:tblInd w:w="0" w:type="dxa"/>
        <w:tblLayout w:type="fixed"/>
        <w:tblCellMar>
          <w:top w:w="28" w:type="dxa"/>
          <w:left w:w="28" w:type="dxa"/>
          <w:bottom w:w="28" w:type="dxa"/>
          <w:right w:w="28" w:type="dxa"/>
        </w:tblCellMar>
      </w:tblPr>
      <w:tblGrid>
        <w:gridCol w:w="1102"/>
        <w:gridCol w:w="969"/>
        <w:gridCol w:w="974"/>
        <w:gridCol w:w="188"/>
        <w:gridCol w:w="188"/>
        <w:gridCol w:w="188"/>
        <w:gridCol w:w="188"/>
        <w:gridCol w:w="188"/>
        <w:gridCol w:w="188"/>
        <w:gridCol w:w="188"/>
        <w:gridCol w:w="188"/>
        <w:gridCol w:w="189"/>
        <w:gridCol w:w="109"/>
        <w:gridCol w:w="109"/>
        <w:gridCol w:w="109"/>
        <w:gridCol w:w="407"/>
        <w:gridCol w:w="1193"/>
        <w:gridCol w:w="214"/>
        <w:gridCol w:w="109"/>
        <w:gridCol w:w="109"/>
        <w:gridCol w:w="109"/>
        <w:gridCol w:w="390"/>
        <w:gridCol w:w="1138"/>
        <w:gridCol w:w="286"/>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Useful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buildings and improvements</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and furniture</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ROU assets - finance leases</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Construction in progress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 net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Depreciation expense related to non-leased fixed assets was $14.8 and $12.2 for the three months ended September 30, 2023 and 2022, respectively, and $42.3 and $36.7 for the nine months ended September 30, 2023 and 2022, respectively. Finance lease amortization expense was $3.9 and $1.9 for the three months ended September 30, 2023 and 2022, respectively, and $10.4 and $5.0 for the nine months ended September 30, 2023 and 2022, respectively.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Assets Held for Sale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2023, the Company’s condensed consolidated balance sheet included assets classified as held for sale of $2.3. The assets held for sale are reported within prepaid expenses and other current assets on the condensed consolidated balance sheet and represent the value of one operational facility and select equipment. These assets were being actively marketed for sale as of September 30, 2023 and are recorded at the lower of their carrying value or fair value less costs to sell.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0850"/>
                <wp:effectExtent l="0" t="0" r="0" b="0"/>
                <wp:wrapNone/>
                <wp:docPr id="10" name="Frame1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6 - Long-Term Debt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Outstanding long-term debt consisted of the following:</w:t>
      </w:r>
    </w:p>
    <w:tbl>
      <w:tblPr>
        <w:tblW w:w="7255" w:type="dxa"/>
        <w:jc w:val="left"/>
        <w:tblInd w:w="0" w:type="dxa"/>
        <w:tblLayout w:type="fixed"/>
        <w:tblCellMar>
          <w:top w:w="28" w:type="dxa"/>
          <w:left w:w="28" w:type="dxa"/>
          <w:bottom w:w="28" w:type="dxa"/>
          <w:right w:w="28" w:type="dxa"/>
        </w:tblCellMar>
      </w:tblPr>
      <w:tblGrid>
        <w:gridCol w:w="1196"/>
        <w:gridCol w:w="1050"/>
        <w:gridCol w:w="1054"/>
        <w:gridCol w:w="407"/>
        <w:gridCol w:w="1193"/>
        <w:gridCol w:w="214"/>
        <w:gridCol w:w="109"/>
        <w:gridCol w:w="109"/>
        <w:gridCol w:w="109"/>
        <w:gridCol w:w="390"/>
        <w:gridCol w:w="1138"/>
        <w:gridCol w:w="286"/>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Facility</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outstanding</w:t>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September 30, 2023, long-term debt consisted of $237.3 principal amount of 11.5% senior secured notes due 2025 (the “Senior Secured Notes”) offered pursuant to Rule 144A under the Securities Act of 1933 (as amended, the “Securities Act”) and to certain non-U.S. persons outside the United States in compliance with Regulation S under the Securities Act. On a net basis, after taking into consideration unamortized debt issuance costs for the Senior Secured Notes, total debt related to the Senior Secured Notes as of September 30, 2023 was $234.1. The Senior Secured Notes bear interest at an annual rate of 11.5%, payable semi-annually in arrears on May 1 and November 1. Accrued interest related to the Senior Secured Notes was $11.4 as of September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20, 2023, the Company entered into a Fourth Amendment to the ABL Facility, with certain of its subsidiaries party thereto, as guarantors, with JPMorgan Chase Bank, N.A., as administrative agent, collateral agent and an issuing lender, and the other lenders and issuing lenders party thereto from time to time (the “ABL Amendment”).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Amendment, among other things, (i) extends the maturity date of the ABL Facility from September 15, 2024 to the earlier of (A) September 15, 2025 or (B) August 1, 2025, if the Company's Senior Secured Notes are still outstanding as of such date (the earlier of the foregoing item (A) or item (B), the “ABL Maturity Date”) and (ii) increases the revolving credit commitment from $100.0 to $120.0.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2023, the Company had a $120.0 asset-based revolving credit facility pursuant to a senior secured credit agreement dated August 10, 2018, as amended by the ABL Amendment and other amendments (the “ABL Facility”). The ABL Facility matures on the ABL Maturity Date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Borrowings outstanding under the ABL Facility were $50.0 as of September 30, 2023 and bear interest at a rate equal to SOFR plus the applicable margin (as defined in the ABL Facility). The effective interest rate under the ABL Facility was approximately 7.9% on September 30, 2023. Total letters of credit outstanding under the ABL Facility were $5.6 both at September 30, 2023 and at December 31, 2022. Accrued interest under the ABL Facility was $0.1 as of September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funds available under the ABL Facility of $64.4 on the September 2023 borrowing base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7 - Fair Value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0850"/>
                <wp:effectExtent l="0" t="0" r="0" b="0"/>
                <wp:wrapNone/>
                <wp:docPr id="11" name="Frame1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Level 1 – quoted prices in active markets for identical assets and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2 – quoted prices for identical assets and liabilities in markets that are not active or observable inputs other than quoted prices in active markets for identical assets and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3 – unobservable inputs in which there is little or no market data available, which require the reporting entity to develop its own assumptions.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carrying amounts of cash and cash equivalents, accounts receivable-trade and accounts payable represent their respective fair values due to their short-term nature. There was $50.0 debt outstanding under the ABL Facility as of September 30, 2023. The fair value of the ABL Facility approximates its carrying value as of September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the Senior Secured Notes, based on market prices for publicly traded debt, as of September 30, 2023 and December 31, 2022:</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83"/>
        <w:gridCol w:w="1214"/>
        <w:gridCol w:w="1217"/>
        <w:gridCol w:w="402"/>
        <w:gridCol w:w="1179"/>
        <w:gridCol w:w="211"/>
        <w:gridCol w:w="109"/>
        <w:gridCol w:w="109"/>
        <w:gridCol w:w="109"/>
        <w:gridCol w:w="291"/>
        <w:gridCol w:w="561"/>
        <w:gridCol w:w="150"/>
        <w:gridCol w:w="150"/>
        <w:gridCol w:w="150"/>
        <w:gridCol w:w="150"/>
        <w:gridCol w:w="291"/>
        <w:gridCol w:w="852"/>
        <w:gridCol w:w="150"/>
        <w:gridCol w:w="150"/>
        <w:gridCol w:w="150"/>
        <w:gridCol w:w="150"/>
        <w:gridCol w:w="291"/>
        <w:gridCol w:w="561"/>
        <w:gridCol w:w="225"/>
      </w:tblGrid>
      <w:tr>
        <w:trPr/>
        <w:tc>
          <w:tcPr>
            <w:tcW w:w="138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3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 11.5 Percent Due 2025</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93"/>
        <w:gridCol w:w="1222"/>
        <w:gridCol w:w="1226"/>
        <w:gridCol w:w="393"/>
        <w:gridCol w:w="1155"/>
        <w:gridCol w:w="205"/>
        <w:gridCol w:w="109"/>
        <w:gridCol w:w="109"/>
        <w:gridCol w:w="109"/>
        <w:gridCol w:w="292"/>
        <w:gridCol w:w="563"/>
        <w:gridCol w:w="151"/>
        <w:gridCol w:w="151"/>
        <w:gridCol w:w="151"/>
        <w:gridCol w:w="151"/>
        <w:gridCol w:w="292"/>
        <w:gridCol w:w="854"/>
        <w:gridCol w:w="151"/>
        <w:gridCol w:w="151"/>
        <w:gridCol w:w="151"/>
        <w:gridCol w:w="151"/>
        <w:gridCol w:w="292"/>
        <w:gridCol w:w="563"/>
        <w:gridCol w:w="220"/>
      </w:tblGrid>
      <w:tr>
        <w:trPr/>
        <w:tc>
          <w:tcPr>
            <w:tcW w:w="139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3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 11.5 Percent Due 2025</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Assets Held for Sale, as disclosed in Note 5 - Property and Equipment, Net based on sales contracts and comparative price quotes, as of September 30, 2023 and December 31, 2022:</w:t>
      </w:r>
    </w:p>
    <w:p>
      <w:pPr>
        <w:pStyle w:val="TextBody"/>
        <w:bidi w:val="0"/>
        <w:spacing w:before="0" w:after="0"/>
        <w:jc w:val="both"/>
        <w:rPr/>
      </w:pPr>
      <w:r>
        <w:rPr/>
      </w:r>
    </w:p>
    <w:tbl>
      <w:tblPr>
        <w:tblW w:w="8662" w:type="dxa"/>
        <w:jc w:val="left"/>
        <w:tblInd w:w="0" w:type="dxa"/>
        <w:tblLayout w:type="fixed"/>
        <w:tblCellMar>
          <w:top w:w="28" w:type="dxa"/>
          <w:left w:w="28" w:type="dxa"/>
          <w:bottom w:w="28" w:type="dxa"/>
          <w:right w:w="28" w:type="dxa"/>
        </w:tblCellMar>
      </w:tblPr>
      <w:tblGrid>
        <w:gridCol w:w="803"/>
        <w:gridCol w:w="705"/>
        <w:gridCol w:w="712"/>
        <w:gridCol w:w="527"/>
        <w:gridCol w:w="1014"/>
        <w:gridCol w:w="274"/>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17" w:type="dxa"/>
        <w:jc w:val="left"/>
        <w:tblInd w:w="0" w:type="dxa"/>
        <w:tblLayout w:type="fixed"/>
        <w:tblCellMar>
          <w:top w:w="28" w:type="dxa"/>
          <w:left w:w="28" w:type="dxa"/>
          <w:bottom w:w="28" w:type="dxa"/>
          <w:right w:w="28" w:type="dxa"/>
        </w:tblCellMar>
      </w:tblPr>
      <w:tblGrid>
        <w:gridCol w:w="803"/>
        <w:gridCol w:w="705"/>
        <w:gridCol w:w="712"/>
        <w:gridCol w:w="514"/>
        <w:gridCol w:w="989"/>
        <w:gridCol w:w="267"/>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2023, the before-tax loss related to Assets Held for Sale was $0.1 and $0.1, respectively. During the three and nine months ended September 30, 2022, the before-tax loss (gain) related to Assets Held for Sale was $0.1 and $(0.3),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0850"/>
                <wp:effectExtent l="0" t="0" r="0" b="0"/>
                <wp:wrapNone/>
                <wp:docPr id="12" name="Frame1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8 - Commitments, Contingencies and Off-Balance-Sheet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Environmental Regulations &amp;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our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9 - Stockholders' Equity (Deficit)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Equity Distribution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 On November 16, 2022, the Company entered into Amendment No. 1 to the Equity Distribution Agreement (the “EDA Amendment”). Among other things, the EDA Amendment allows for debt-for-equity exchanges in accordance with Section 3(a)(9) of the Securities Act.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0850"/>
                <wp:effectExtent l="0" t="0" r="0" b="0"/>
                <wp:wrapNone/>
                <wp:docPr id="13" name="Frame1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plans to use any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2023, the Company did not sell any shares of Common Stock and incurred legal and administrative fees of $0.3 and $0.4,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2022, the Company sold 241,551 and 1,826,199 shares of Common Stock, respectively, in exchange for gross proceeds of approximately $1.7 and $10.1, respectively, and incurred legal and administrative fees of $0.1 and $0.2,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10, 2023, the stockholders of KLXE approved the Second Amended and Restated KLX Energy Services Holdings, Inc. Long-Term Incentive Plan (Amended and Restated as of March 8, 2023) (the “Amended and Restated LTIP”), which, among other things, increased the total number of shares of Company Common Stock, par value $0.01 per share, for issuance by 1,200,000 shares, resulting in an increase of the total number of shares of our Common Stock reserved for issuance to 1,256,289, and extended the expiration date to March 8, 2033. A description of the Amended and Restated LTIP is included in the Company’s proxy statement, filed with the SEC on March 28,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Compensation cost recognized during the three and nine months ended September 30, 2023 and September 30, 2022 was related to grants of restricted stock as approved by the Compensation Committee. Stock-based compensation was $0.8 and $0.7 for the three months ended September 30, 2023 and 2022, respectively, and $2.3 and $2.2 for the nine months ended September 30, 2023 and 2022, respectively. Unrecognized compensation cost related to restricted stock awards made by the Company was $4.2 at September 30, 2023 and $4.2 at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10 -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 expense was $0.3 and $0.2 for the three and nine months ended September 30, 2023, respectively, and was comprised primarily of state and local taxes, offset by a deferred tax benefit recognized from a reduction in the valuation allowance related to the Greene's acquisition. Comparatively, income tax expense was $0.3 and $0.6 for the three and nine months ended September 30, 2022, respectively, and was comprised primarily of state and local taxes. The Company was unable to recognize any federal tax expense on its year-to-date income primarily due to having a valuation allowance against its deferred tax balances.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continues to monitor additional guidance issued by the U.S. Treasury Department, the Internal Revenue Service and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11 - Segment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organized on a geographic basis. The Company’s reportable segments, which are also its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results of operations and make requests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0850"/>
                <wp:effectExtent l="0" t="0" r="0" b="0"/>
                <wp:wrapNone/>
                <wp:docPr id="14" name="Frame1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capital expenditures and acquisition funding to the Company's chief operational decision-making group. As a result, the Company has three reportable segments.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revenues and operating income (loss) by reportable segment:</w:t>
      </w:r>
    </w:p>
    <w:tbl>
      <w:tblPr>
        <w:tblW w:w="10205" w:type="dxa"/>
        <w:jc w:val="left"/>
        <w:tblInd w:w="0" w:type="dxa"/>
        <w:tblLayout w:type="fixed"/>
        <w:tblCellMar>
          <w:top w:w="28" w:type="dxa"/>
          <w:left w:w="28" w:type="dxa"/>
          <w:bottom w:w="28" w:type="dxa"/>
          <w:right w:w="28" w:type="dxa"/>
        </w:tblCellMar>
      </w:tblPr>
      <w:tblGrid>
        <w:gridCol w:w="938"/>
        <w:gridCol w:w="788"/>
        <w:gridCol w:w="758"/>
        <w:gridCol w:w="395"/>
        <w:gridCol w:w="962"/>
        <w:gridCol w:w="206"/>
        <w:gridCol w:w="109"/>
        <w:gridCol w:w="109"/>
        <w:gridCol w:w="109"/>
        <w:gridCol w:w="395"/>
        <w:gridCol w:w="962"/>
        <w:gridCol w:w="206"/>
        <w:gridCol w:w="109"/>
        <w:gridCol w:w="109"/>
        <w:gridCol w:w="109"/>
        <w:gridCol w:w="350"/>
        <w:gridCol w:w="1028"/>
        <w:gridCol w:w="184"/>
        <w:gridCol w:w="109"/>
        <w:gridCol w:w="109"/>
        <w:gridCol w:w="109"/>
        <w:gridCol w:w="350"/>
        <w:gridCol w:w="1028"/>
        <w:gridCol w:w="184"/>
        <w:gridCol w:w="109"/>
        <w:gridCol w:w="109"/>
        <w:gridCol w:w="109"/>
        <w:gridCol w:w="163"/>
      </w:tblGrid>
      <w:tr>
        <w:trPr/>
        <w:tc>
          <w:tcPr>
            <w:tcW w:w="93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income</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before income tax</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revenues by service offering by reportable segment:</w:t>
      </w:r>
    </w:p>
    <w:p>
      <w:pPr>
        <w:pStyle w:val="TextBody"/>
        <w:bidi w:val="0"/>
        <w:spacing w:before="0" w:after="0"/>
        <w:jc w:val="both"/>
        <w:rPr/>
      </w:pPr>
      <w:r>
        <w:rPr/>
      </w:r>
    </w:p>
    <w:tbl>
      <w:tblPr>
        <w:tblW w:w="10933" w:type="dxa"/>
        <w:jc w:val="left"/>
        <w:tblInd w:w="0" w:type="dxa"/>
        <w:tblLayout w:type="fixed"/>
        <w:tblCellMar>
          <w:top w:w="28" w:type="dxa"/>
          <w:left w:w="28" w:type="dxa"/>
          <w:bottom w:w="28" w:type="dxa"/>
          <w:right w:w="28" w:type="dxa"/>
        </w:tblCellMar>
      </w:tblPr>
      <w:tblGrid>
        <w:gridCol w:w="390"/>
        <w:gridCol w:w="343"/>
        <w:gridCol w:w="348"/>
        <w:gridCol w:w="244"/>
        <w:gridCol w:w="590"/>
        <w:gridCol w:w="127"/>
        <w:gridCol w:w="109"/>
        <w:gridCol w:w="109"/>
        <w:gridCol w:w="109"/>
        <w:gridCol w:w="244"/>
        <w:gridCol w:w="590"/>
        <w:gridCol w:w="127"/>
        <w:gridCol w:w="109"/>
        <w:gridCol w:w="109"/>
        <w:gridCol w:w="109"/>
        <w:gridCol w:w="228"/>
        <w:gridCol w:w="554"/>
        <w:gridCol w:w="119"/>
        <w:gridCol w:w="109"/>
        <w:gridCol w:w="109"/>
        <w:gridCol w:w="109"/>
        <w:gridCol w:w="211"/>
        <w:gridCol w:w="616"/>
        <w:gridCol w:w="109"/>
        <w:gridCol w:w="109"/>
        <w:gridCol w:w="109"/>
        <w:gridCol w:w="109"/>
        <w:gridCol w:w="244"/>
        <w:gridCol w:w="590"/>
        <w:gridCol w:w="127"/>
        <w:gridCol w:w="109"/>
        <w:gridCol w:w="109"/>
        <w:gridCol w:w="109"/>
        <w:gridCol w:w="244"/>
        <w:gridCol w:w="590"/>
        <w:gridCol w:w="127"/>
        <w:gridCol w:w="109"/>
        <w:gridCol w:w="109"/>
        <w:gridCol w:w="109"/>
        <w:gridCol w:w="228"/>
        <w:gridCol w:w="554"/>
        <w:gridCol w:w="119"/>
        <w:gridCol w:w="109"/>
        <w:gridCol w:w="109"/>
        <w:gridCol w:w="109"/>
        <w:gridCol w:w="211"/>
        <w:gridCol w:w="616"/>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Drilling</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Completion</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Production</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Intervention</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revenues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1003" w:type="dxa"/>
        <w:jc w:val="left"/>
        <w:tblInd w:w="0" w:type="dxa"/>
        <w:tblLayout w:type="fixed"/>
        <w:tblCellMar>
          <w:top w:w="28" w:type="dxa"/>
          <w:left w:w="28" w:type="dxa"/>
          <w:bottom w:w="28" w:type="dxa"/>
          <w:right w:w="28" w:type="dxa"/>
        </w:tblCellMar>
      </w:tblPr>
      <w:tblGrid>
        <w:gridCol w:w="390"/>
        <w:gridCol w:w="343"/>
        <w:gridCol w:w="348"/>
        <w:gridCol w:w="216"/>
        <w:gridCol w:w="632"/>
        <w:gridCol w:w="113"/>
        <w:gridCol w:w="109"/>
        <w:gridCol w:w="109"/>
        <w:gridCol w:w="109"/>
        <w:gridCol w:w="216"/>
        <w:gridCol w:w="632"/>
        <w:gridCol w:w="113"/>
        <w:gridCol w:w="109"/>
        <w:gridCol w:w="109"/>
        <w:gridCol w:w="109"/>
        <w:gridCol w:w="211"/>
        <w:gridCol w:w="616"/>
        <w:gridCol w:w="109"/>
        <w:gridCol w:w="109"/>
        <w:gridCol w:w="109"/>
        <w:gridCol w:w="109"/>
        <w:gridCol w:w="211"/>
        <w:gridCol w:w="616"/>
        <w:gridCol w:w="109"/>
        <w:gridCol w:w="109"/>
        <w:gridCol w:w="109"/>
        <w:gridCol w:w="109"/>
        <w:gridCol w:w="216"/>
        <w:gridCol w:w="632"/>
        <w:gridCol w:w="113"/>
        <w:gridCol w:w="109"/>
        <w:gridCol w:w="109"/>
        <w:gridCol w:w="109"/>
        <w:gridCol w:w="216"/>
        <w:gridCol w:w="632"/>
        <w:gridCol w:w="113"/>
        <w:gridCol w:w="109"/>
        <w:gridCol w:w="109"/>
        <w:gridCol w:w="109"/>
        <w:gridCol w:w="211"/>
        <w:gridCol w:w="616"/>
        <w:gridCol w:w="109"/>
        <w:gridCol w:w="109"/>
        <w:gridCol w:w="109"/>
        <w:gridCol w:w="109"/>
        <w:gridCol w:w="211"/>
        <w:gridCol w:w="616"/>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Drilling</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Production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Intervention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revenues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0850"/>
                <wp:effectExtent l="0" t="0" r="0" b="0"/>
                <wp:wrapNone/>
                <wp:docPr id="15" name="Frame1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capital expenditures by reportable segment:</w:t>
      </w:r>
    </w:p>
    <w:tbl>
      <w:tblPr>
        <w:tblW w:w="10205" w:type="dxa"/>
        <w:jc w:val="left"/>
        <w:tblInd w:w="0" w:type="dxa"/>
        <w:tblLayout w:type="fixed"/>
        <w:tblCellMar>
          <w:top w:w="28" w:type="dxa"/>
          <w:left w:w="28" w:type="dxa"/>
          <w:bottom w:w="28" w:type="dxa"/>
          <w:right w:w="28" w:type="dxa"/>
        </w:tblCellMar>
      </w:tblPr>
      <w:tblGrid>
        <w:gridCol w:w="776"/>
        <w:gridCol w:w="628"/>
        <w:gridCol w:w="630"/>
        <w:gridCol w:w="425"/>
        <w:gridCol w:w="1030"/>
        <w:gridCol w:w="220"/>
        <w:gridCol w:w="110"/>
        <w:gridCol w:w="110"/>
        <w:gridCol w:w="110"/>
        <w:gridCol w:w="425"/>
        <w:gridCol w:w="1030"/>
        <w:gridCol w:w="220"/>
        <w:gridCol w:w="109"/>
        <w:gridCol w:w="109"/>
        <w:gridCol w:w="109"/>
        <w:gridCol w:w="425"/>
        <w:gridCol w:w="1030"/>
        <w:gridCol w:w="220"/>
        <w:gridCol w:w="109"/>
        <w:gridCol w:w="109"/>
        <w:gridCol w:w="109"/>
        <w:gridCol w:w="425"/>
        <w:gridCol w:w="1030"/>
        <w:gridCol w:w="220"/>
        <w:gridCol w:w="109"/>
        <w:gridCol w:w="109"/>
        <w:gridCol w:w="109"/>
        <w:gridCol w:w="160"/>
      </w:tblGrid>
      <w:tr>
        <w:trPr/>
        <w:tc>
          <w:tcPr>
            <w:tcW w:w="77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capital expenditures</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total assets by segment:</w:t>
      </w:r>
    </w:p>
    <w:tbl>
      <w:tblPr>
        <w:tblW w:w="5906" w:type="dxa"/>
        <w:jc w:val="left"/>
        <w:tblInd w:w="0" w:type="dxa"/>
        <w:tblLayout w:type="fixed"/>
        <w:tblCellMar>
          <w:top w:w="28" w:type="dxa"/>
          <w:left w:w="28" w:type="dxa"/>
          <w:bottom w:w="28" w:type="dxa"/>
          <w:right w:w="28" w:type="dxa"/>
        </w:tblCellMar>
      </w:tblPr>
      <w:tblGrid>
        <w:gridCol w:w="640"/>
        <w:gridCol w:w="564"/>
        <w:gridCol w:w="566"/>
        <w:gridCol w:w="432"/>
        <w:gridCol w:w="1263"/>
        <w:gridCol w:w="224"/>
        <w:gridCol w:w="109"/>
        <w:gridCol w:w="109"/>
        <w:gridCol w:w="109"/>
        <w:gridCol w:w="405"/>
        <w:gridCol w:w="1186"/>
        <w:gridCol w:w="299"/>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1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433.9 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408.5 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524.3 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465.9 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12 - Net Income (Loss) Per Common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net income (loss) per common share is computed using the weighted average common shares outstanding during the period. Diluted net income (loss) per common share is computed by using the weighted average common shares outstanding, including the dilutive effect of restricted shares based on an average share price during the period. For the three months ended September 30, 2023 and 2022, 0.0 and 0.5 million shares of the Company’s Common Stock, respectively, and for the nine months ended September 30, 2023 and 2022, 0.0 and 0.5 million shares of the Company’s Common Stock, respectively, were excluded from the determination of diluted net income (loss) per common share because their effect would have been anti-dilutive. The computations of basic and diluted net income (loss) per share for the three and nine months ended September 30, 2023 and 2022 are as follows:</w:t>
      </w:r>
    </w:p>
    <w:tbl>
      <w:tblPr>
        <w:tblW w:w="10205" w:type="dxa"/>
        <w:jc w:val="left"/>
        <w:tblInd w:w="0" w:type="dxa"/>
        <w:tblLayout w:type="fixed"/>
        <w:tblCellMar>
          <w:top w:w="28" w:type="dxa"/>
          <w:left w:w="28" w:type="dxa"/>
          <w:bottom w:w="28" w:type="dxa"/>
          <w:right w:w="28" w:type="dxa"/>
        </w:tblCellMar>
      </w:tblPr>
      <w:tblGrid>
        <w:gridCol w:w="1009"/>
        <w:gridCol w:w="824"/>
        <w:gridCol w:w="831"/>
        <w:gridCol w:w="384"/>
        <w:gridCol w:w="934"/>
        <w:gridCol w:w="200"/>
        <w:gridCol w:w="109"/>
        <w:gridCol w:w="109"/>
        <w:gridCol w:w="109"/>
        <w:gridCol w:w="384"/>
        <w:gridCol w:w="934"/>
        <w:gridCol w:w="200"/>
        <w:gridCol w:w="109"/>
        <w:gridCol w:w="109"/>
        <w:gridCol w:w="109"/>
        <w:gridCol w:w="384"/>
        <w:gridCol w:w="934"/>
        <w:gridCol w:w="200"/>
        <w:gridCol w:w="109"/>
        <w:gridCol w:w="109"/>
        <w:gridCol w:w="109"/>
        <w:gridCol w:w="378"/>
        <w:gridCol w:w="944"/>
        <w:gridCol w:w="196"/>
        <w:gridCol w:w="109"/>
        <w:gridCol w:w="109"/>
        <w:gridCol w:w="109"/>
        <w:gridCol w:w="161"/>
      </w:tblGrid>
      <w:tr>
        <w:trPr/>
        <w:tc>
          <w:tcPr>
            <w:tcW w:w="10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in millions)</w:t>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common shares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 - dilutive securities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income (loss) per common share</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 (loss) per common share</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Private Securities Litigation Reform Act of 1995 provides a “safe harbor” for forward-looking statements to encourage companies to provide prospective information to investors.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0850"/>
                <wp:effectExtent l="0" t="0" r="0" b="0"/>
                <wp:wrapNone/>
                <wp:docPr id="16" name="Frame1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 Factors” in our Annual Report on Form 10-K for the year ended December 31, 2022 and in this Quarterly Report, including the following factors:</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general economic conditions, such as inflation and government efforts to reduce inflation, including increases in interest rates, or a recession;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market environment and impacts resulting from the novel coronavirus (“COVID-19”) pandemic and subsequent variants, including the global supply chain disruptions and the government interventions into the financial market and economy, among other factors;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persistent volatility in national and global crude oil demand and crude oil prices;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costs and other changes in supply, demand and costs of equipment;</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inefficiencies, curtailments or shutdowns in our customers’ operations whether in response to reductions in demand or other factors;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uncertainty regarding our future operating results;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regulation of and dependence upon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cyclical nature of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fluctuations in market prices for fuel, oil and natural gas;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credit profile and our ability to renew or refinance our indebtedness;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overall domestic and global political and economic conditions, including the imposition of tariffs or trade or other economic sanctions, political instability or armed conflict, including the ongoing conflict in Ukraine and Israel;</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ability to maintain acceptable pricing for our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competitive conditions within the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loss of or interruption in operations of one or more key suppliers;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legislative or regulatory changes and potential liability under federal and state laws and regulations;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decreases in the rate at which oil and/or natural gas reserves are discovered and/or developed;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technological advances on the demand for our products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customers' delays in obtaining permits for their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hazards and operational risks that may not be fully covered by insurance;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write-off of a significant portion of intangible assets;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need to obtain additional capital or financing, and the availability and/or cost of obtaining such capital or financing;</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oilfield anti-indemnity provisions;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seasonal and adverse weather conditions that can affect oil and natural gas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reliance on information technology resources and the inability to implement new technology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international conflicts, terrorist or cyber-attacks and the consequences of any such events;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labor costs or our ability to employ, or maintain the employment of, a sufficient number of key employees, technical personnel, and other skilled and qualified workers;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0850"/>
                <wp:effectExtent l="0" t="0" r="0" b="0"/>
                <wp:wrapNone/>
                <wp:docPr id="17" name="Frame1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inability to successfully consummate or integrate our acquisitions or inability to manage potential growth; and</w:t>
      </w:r>
    </w:p>
    <w:p>
      <w:pPr>
        <w:pStyle w:val="TextBody"/>
        <w:bidi w:val="0"/>
        <w:spacing w:lineRule="auto" w:line="276" w:before="0" w:after="0"/>
        <w:ind w:left="0" w:right="0" w:hanging="180"/>
        <w:jc w:val="both"/>
        <w:rPr/>
      </w:pPr>
      <w:r>
        <w:rPr>
          <w:color w:val="000000"/>
        </w:rPr>
        <w:t>•</w:t>
      </w:r>
      <w:r>
        <w:rPr>
          <w:rFonts w:ascii="Arial;sans-serif" w:hAnsi="Arial;sans-serif"/>
          <w:b w:val="false"/>
          <w:color w:val="000000"/>
          <w:sz w:val="20"/>
        </w:rPr>
        <w:t>our ability to remediate any material weakness in, or to maintain effective, internal controls over financial reporting and disclosure controls and procedures.</w:t>
      </w:r>
    </w:p>
    <w:p>
      <w:pPr>
        <w:pStyle w:val="TextBody"/>
        <w:bidi w:val="0"/>
        <w:spacing w:before="0" w:after="0"/>
        <w:ind w:left="0" w:right="0" w:firstLine="18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0850"/>
                <wp:effectExtent l="0" t="0" r="0" b="0"/>
                <wp:wrapNone/>
                <wp:docPr id="18" name="Frame1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 (U.S. dollars in millions, except per share data)</w:t>
      </w:r>
    </w:p>
    <w:p>
      <w:pPr>
        <w:pStyle w:val="TextBody"/>
        <w:bidi w:val="0"/>
        <w:spacing w:before="0" w:after="0"/>
        <w:ind w:left="0" w:right="0" w:hanging="720"/>
        <w:jc w:val="left"/>
        <w:rPr/>
      </w:pPr>
      <w:r>
        <w:rPr/>
      </w:r>
    </w:p>
    <w:p>
      <w:pPr>
        <w:pStyle w:val="TextBody"/>
        <w:bidi w:val="0"/>
        <w:spacing w:lineRule="auto" w:line="256" w:before="0" w:after="0"/>
        <w:jc w:val="both"/>
        <w:rPr/>
      </w:pPr>
      <w:r>
        <w:rPr>
          <w:rFonts w:ascii="Arial;sans-serif" w:hAnsi="Arial;sans-serif"/>
          <w:b w:val="false"/>
          <w:i/>
          <w:color w:val="000000"/>
          <w:sz w:val="20"/>
        </w:rPr>
        <w:t>The following discussion and analysis should be read in conjunction with the historical condensed consolidated financial statements and related notes included elsewhere in this Quarterly Report as well as our Annual Report on Form 10-K for the year ended December 31, 2022</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following discussion and analysis addresses the results of our operations for the three and nine months ended September 30, 2023, as compared to our results of operations for the three and nine months ended September 30, 2022. In addition, the discussion and analysis addresses our liquidity, financial condition and other matters for these periods.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Company History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was initially formed from the combination of several private oilfield service companies beginning in 2013, followed by its initial public offering in 2018, and ultimately by merging in July 2020 with its publicly traded peer Quintana Energy Services Inc. (“QES”). Today, KLXE is strategically positioned to serve a blue-chip customer base across the onshore oil and gas basins in the United States and continues to grow both organically and through acquisitions.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 an all-stock transaction, including $1.7 in cash, which was subsequently adjusted to $1.1. As of the date of this filing, the integration is complete, and the Company fully implemented approximately $3.0 in annual cost synergies. See Note 3 - Business Combinations.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the Company expects to continue to pursue opportunistic, strategic, accretive acquisitions that would be expected to further strengthen the Company’s competitive positioning and capital structure, drive efficiencies, accelerate growth and create long</w:t>
        <w:noBreakHyphen/>
        <w:t>term stockholder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50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and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0850"/>
                <wp:effectExtent l="0" t="0" r="0" b="0"/>
                <wp:wrapNone/>
                <wp:docPr id="19" name="Frame1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related service activity and will allow us to opportunistically pursue new business in basins with active drilling environments.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36 patents and 9 pending patent applications, which we believe differentiate us from our regional competitors and allow us to deliver more focused service and better outcomes in our specialized services than larger national competitors that do not discretely dedicate their resources to the services we provide.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 Trends and Outlook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Over the last year, market demand for our services has been experiencing a recovery from the lows of the last three years that were heavily impacted by COVID-19. The ongoing conflict in Ukraine has contributed to a growing price resurgence for crude oil and was a major factor behind the increased demand for drilling, completion and production activities in 2022 and early 2023. However, recent inflation has put pressure on and is expected to continue to negatively impact global demand.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0850"/>
                <wp:effectExtent l="0" t="0" r="0" b="0"/>
                <wp:wrapNone/>
                <wp:docPr id="20" name="Frame2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West Texas Intermediate (“WTI”) average prices decreased by 11.2% during the first two quarters of 2023, WTI average prices increased by 11.8% during the third quarter and have remained elevated in response to current events such as supplier production cuts and the recent conflict in Israel. On the domestic production side, as an initial response to the rising oil prices in 2022 and as a response to the energy crisis resulting from the ongoing conflict in Ukraine, the United States has continued to increase drilling and completion activity levels, although the United States has moderated the pace of increase through 2023. As of September 30, 2023, U.S. rig count was 623, a decrease of 20.0% since December 31, 2022, according to a report from Baker Hughes.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noted above, commodity prices have recently declined slightly from the highs experienced in the prior year and the demand for commodities could decline further due to, among other things, uncertainty and volatility arising from the ongoing conflict in Ukraine, release of sanctions on Russia, increasing inflation and government efforts to reduce inflation, speculation as to future actions by OPEC+, higher gas prices, or possible changes in the overall health of the global economy, including a prolonged recession. Although current forward strip for commodity prices indicate expectations of relatively high commodity prices over the next twelve months or longer, the current commodity price environment remains uncertain and the extent to which commodity prices and our operating and financial results of future periods will be impacted by the above-mentioned factors will depend largely on future developments, which are highly uncertain and cannot be accurately predicted.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has been significant inflation across the cost of goods and services in 2023. During the quarter ended September 30, 2023, the Producer Price Index as measured by the Bureau of Labor Statistics increased by 1.8%, which is by far the highest quarterly increase in a year. Accordingly, we have continued to experience higher costs for goods used in providing services to our customers. In addition, we face increased competition for labor, as turnover in the industry is still fairly high. We are spending more to attract and retain employees in the field, especially as we plan for continued growth for the remainder of this fiscal year. At the same time, we have seen increased demand for our services, which has allowed us to implement price increases with our customers across all regions to offset these higher costs.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remains focused on providing the highest level of customer service across our regions and different service offerings, which has allowed us to make meaningful positive impacts to our revenue, operating margins, cash flows and Adjusted EBITDA (as defined below). We are taking steps to hire essential personnel and increase capital expenditures as activity rebounds, but we are measured in our growth and focused on returns.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diverse product and service offerings uniquely position KLXE to respond to a rapidly evolving marketplace where we can provide a comprehensive suite of engineered solutions for our customers with one call and one master services agreement.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Generate Revenue and the Costs of Conducting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We remain focused on serving the needs of our customers by providing a broad portfolio of product service lines across major basins, while preserving a solid balance sheet, maintaining sufficient operating liquidity and prudently managing our capital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believe we have strong management systems in place, which will allow us to manage our operating resources and associated expenses relative to market conditions. The required investment in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0850"/>
                <wp:effectExtent l="0" t="0" r="0" b="0"/>
                <wp:wrapNone/>
                <wp:docPr id="21" name="Frame2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includes both working capital (principally for accounts receivable, inventory and accounts payable growth tied to increasing activity and revenues) and capital expenditures for both maintenance of existing assets and ultimately growth when economic returns justify the spending. Our required maintenance capital expenditures tend to be lower than other oilfield service providers due to the asset-light nature of some of our services, the lower average age of our assets and our ability to charge back a portion of asset maintenance to customers for a number of our assets.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0850"/>
                <wp:effectExtent l="0" t="0" r="0" b="0"/>
                <wp:wrapNone/>
                <wp:docPr id="22" name="Frame2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Three Months Ended September 30, 2023 Compared to Three Months Ended September 30, 2022</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8120"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418"/>
        <w:gridCol w:w="1282"/>
        <w:gridCol w:w="219"/>
        <w:gridCol w:w="109"/>
        <w:gridCol w:w="109"/>
        <w:gridCol w:w="109"/>
        <w:gridCol w:w="418"/>
        <w:gridCol w:w="1282"/>
        <w:gridCol w:w="219"/>
        <w:gridCol w:w="109"/>
        <w:gridCol w:w="109"/>
        <w:gridCol w:w="109"/>
        <w:gridCol w:w="299"/>
        <w:gridCol w:w="30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00" w:after="283"/>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September 30, 2023, revenues were $220.6, a decrease of $(1.0), or (0.5)%, as compared with the prior year period. The slight decrease in revenues reflects a slowdown in activity in the Northeast/Mid-Con, offset by increases in the Rocky Mountains and Southwest segments. This decrease was driven entirely by a decrease in weighted average volume. On a segment basis, Rocky Mountains segment revenue increased by $10.5 or 15.8%, which was driven entirely by increased weighted average price. Southwest segment revenue increased by $9.3 or 13.6%, which was driven entirely by increased weighted average volume. Northeast/Mid-Con segment revenue decreased by $(20.8) or (24.0)%. Decreased weighted average price contributed to approximately 21% of the dollar decrease, and decreased weighted average volume contributed to the remaining approximately 79%.</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quarter ended September 30, 2023, cost of sales were $166.2, or 75.3% of sales, as compared to the three months ended September 30, 2022 of $168.8, or 76.2% of sales. Cost of sales as a percentage of revenues decreased due to both improvement in pricing and decreased cost of labor during the quarter. The two largest components of cost of sales are labor and repair and maintenance. As cost of sales as a percentage of revenues decreased, labor costs per employee decreased by 6.4% as compared with the three months ended September 30, 2022. Repair and maintenance costs as a percentage of revenues increased by 1.7% as compared to the three months ended September 30, 2022.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quarter ended September 30, 2023, SG&amp;A expenses were $18.6, or 8.4% of revenues, as compared with $18.0, or 8.1% of revenues, in the prior year period. The increase in percentage of revenues and dollar amount is due to professional and administrative fees, increased headcount as well as other costs related to the Greene's acquisition along with general market inflation in the three months ended September 30, 2023 as compared to the three months ended September 30, 2022.</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0850"/>
                <wp:effectExtent l="0" t="0" r="0" b="0"/>
                <wp:wrapNone/>
                <wp:docPr id="23" name="Frame2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pPr>
      <w:r>
        <w:rPr>
          <w:rFonts w:ascii="Arial;sans-serif" w:hAnsi="Arial;sans-serif"/>
          <w:b/>
          <w:i/>
          <w:color w:val="000000"/>
          <w:sz w:val="20"/>
        </w:rPr>
        <w:t>Operating income (loss)</w:t>
      </w:r>
      <w:r>
        <w:rPr>
          <w:rFonts w:ascii="Arial;sans-serif" w:hAnsi="Arial;sans-serif"/>
          <w:b w:val="false"/>
          <w:color w:val="000000"/>
          <w:sz w:val="20"/>
        </w:rPr>
        <w:t>. The following is a summary of operating income (loss) by segment:</w:t>
      </w:r>
    </w:p>
    <w:tbl>
      <w:tblPr>
        <w:tblW w:w="8802"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470"/>
        <w:gridCol w:w="1206"/>
        <w:gridCol w:w="243"/>
        <w:gridCol w:w="109"/>
        <w:gridCol w:w="109"/>
        <w:gridCol w:w="109"/>
        <w:gridCol w:w="470"/>
        <w:gridCol w:w="1206"/>
        <w:gridCol w:w="243"/>
        <w:gridCol w:w="109"/>
        <w:gridCol w:w="109"/>
        <w:gridCol w:w="109"/>
        <w:gridCol w:w="299"/>
        <w:gridCol w:w="301"/>
        <w:gridCol w:w="597"/>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September 30, 2023, operating income was $16.4 compared to $20.4 in the prior year period, due to improvements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Rocky Mountains segment's operating results improved significantly compared to the prior year period. Rocky Mountains segment operating income was $17.7, Southwest segment operating income was $4.8, and Northeast/Mid-Con segment operating income was $5.2 for the three months ended September 30, 2023. The driving factor for the improvement in the Rocky Mountains was higher pricing and activity during the period. The driving factor for the lower operating income is higher costs in the Southwest and lower activity in the Northeast/Mid-Con. Note that operating loss for Corporate and other decreased due to higher efficiencies in the current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expense</w:t>
      </w:r>
      <w:r>
        <w:rPr>
          <w:rFonts w:ascii="Arial;sans-serif" w:hAnsi="Arial;sans-serif"/>
          <w:b w:val="false"/>
          <w:color w:val="000000"/>
          <w:sz w:val="20"/>
        </w:rPr>
        <w:t>. For the quarter ended September 30, 2023, income tax expense was $0.3, as compared to income tax expense of $0.3 in the prior year period, and was comprised of state and local taxes. The Company did not recognize federal tax expense on its quarter-to-date income primarily due to the valuation allowance recorded against its deferred tax balances.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income</w:t>
      </w:r>
      <w:r>
        <w:rPr>
          <w:rFonts w:ascii="Arial;sans-serif" w:hAnsi="Arial;sans-serif"/>
          <w:b w:val="false"/>
          <w:color w:val="000000"/>
          <w:sz w:val="20"/>
        </w:rPr>
        <w:t>. For the quarter ended September 30, 2023, net income was $7.6, as compared to net income of $11.1 in the prior year period, decreasing primarily as a result of lower operating income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0850"/>
                <wp:effectExtent l="0" t="0" r="0" b="0"/>
                <wp:wrapNone/>
                <wp:docPr id="24" name="Frame2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Nine Months Ended September 30, 2023 Compared to Nine Months Ended September 30, 2022</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8061"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418"/>
        <w:gridCol w:w="1282"/>
        <w:gridCol w:w="219"/>
        <w:gridCol w:w="109"/>
        <w:gridCol w:w="109"/>
        <w:gridCol w:w="109"/>
        <w:gridCol w:w="418"/>
        <w:gridCol w:w="1282"/>
        <w:gridCol w:w="219"/>
        <w:gridCol w:w="109"/>
        <w:gridCol w:w="109"/>
        <w:gridCol w:w="109"/>
        <w:gridCol w:w="270"/>
        <w:gridCol w:w="27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00" w:after="283"/>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nine months ended September 30, 2023, revenues were $694.2, an increase of $135.9, or 24.3%, as compared with the prior year period. The overall increase in revenues reflects the recovery in economic activity during the year, leading to increased demand for our services and a positive pricing environment. Increased weighted average price contributed to approximately 94% of the $135.9 increase, and increased weighted average volume contributed to the remaining approximately 6%. On a segment basis, Rocky Mountains segment revenue increased by $48.4 or 29.7%. Increased weighted average price contributed to approximately 80% of the dollar increase, and increased weighted average volume contributed to the remaining approximately 20%. Southwest segment revenue increased by $57.1 or 31.7%. Increased weighted average price contributed to approximately 85% of the dollar increase, and increased weighted average volume contributed to the remaining approximately 15%. Northeast/Mid-Con segment revenue increased by $30.4 or 14.1%. Increased weighted average price contributed to approximately 65% of the dollar increase, and increased weighted average volume contributed to the remaining approximately 35%.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nine months ended September 30, 2023, cost of sales were $520.4, or 75.0% of sales, as compared to the nine months ended September 30, 2022 of $454.7, or 81.4% of sales. Cost of sales as a percentage of revenues decreased primarily due to improvement in pricing that outpaced the increasing cost of labor during the period. The two largest components of cost of sales are labor and repair and maintenance. Although cost of sales as a percentage of revenues decreased, labor costs per employee increased by 6.3% as compared with the nine months ended September 30, 2022. Repair and maintenance costs as a percentage of revenues decreased by 2.6% as compared to the nine months ended September 30, 2022.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nine months ended September 30, 2023, SG&amp;A expenses were $66.8, or 9.6% of revenues, as compared with $51.0, or 9.1% of revenues, in the prior year period. The increase in percentage of revenues and dollar amount is due to professional and administrative fees, increased headcount as well as other costs related to the Greene's acquisition along with general market inflation in the nine months ended September 30, 2023 as compared to the nine months ended September 30, 2022.</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0850"/>
                <wp:effectExtent l="0" t="0" r="0" b="0"/>
                <wp:wrapNone/>
                <wp:docPr id="25" name="Frame2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pPr>
      <w:r>
        <w:rPr>
          <w:rFonts w:ascii="Arial;sans-serif" w:hAnsi="Arial;sans-serif"/>
          <w:b/>
          <w:i/>
          <w:color w:val="000000"/>
          <w:sz w:val="20"/>
        </w:rPr>
        <w:t>Operating income (loss)</w:t>
      </w:r>
      <w:r>
        <w:rPr>
          <w:rFonts w:ascii="Arial;sans-serif" w:hAnsi="Arial;sans-serif"/>
          <w:b w:val="false"/>
          <w:color w:val="000000"/>
          <w:sz w:val="20"/>
        </w:rPr>
        <w:t>. The following is a summary of operating income (loss) by segment:</w:t>
      </w:r>
    </w:p>
    <w:tbl>
      <w:tblPr>
        <w:tblW w:w="8848"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470"/>
        <w:gridCol w:w="1206"/>
        <w:gridCol w:w="243"/>
        <w:gridCol w:w="109"/>
        <w:gridCol w:w="109"/>
        <w:gridCol w:w="109"/>
        <w:gridCol w:w="470"/>
        <w:gridCol w:w="1206"/>
        <w:gridCol w:w="243"/>
        <w:gridCol w:w="109"/>
        <w:gridCol w:w="109"/>
        <w:gridCol w:w="109"/>
        <w:gridCol w:w="323"/>
        <w:gridCol w:w="323"/>
        <w:gridCol w:w="597"/>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160.3 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nine months ended September 30, 2023, operating income was $54.9 compared to operating income of $10.3 in the prior year period, due to improvements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operating segment's operating results improved significantly compared to the prior year period. Rocky Mountains segment operating income was $39.4, Southwest segment operating income was $17.7, and Northeast/Mid-Con segment operating income was $36.5 for the nine months ended September 30, 2023. The driving factor for the improvement in each case was higher pricing and activity during the period. Note that operating loss for Corporate and other increased due to non-recurring costs related to the Greene's acquisition.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expense</w:t>
      </w:r>
      <w:r>
        <w:rPr>
          <w:rFonts w:ascii="Arial;sans-serif" w:hAnsi="Arial;sans-serif"/>
          <w:b w:val="false"/>
          <w:color w:val="000000"/>
          <w:sz w:val="20"/>
        </w:rPr>
        <w:t>. For the nine months ended September 30, 2023, income tax expense was $0.2, as compared to income tax expense of $0.6 in the prior year period, and was comprised of state and local taxes, offset by a deferred tax benefit recognized from the reduction in the valuation allowance. The Company did not recognize federal tax expense on its year-to-date income primarily due to the valuation allowance recorded against its deferred tax balances.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income (loss)</w:t>
      </w:r>
      <w:r>
        <w:rPr>
          <w:rFonts w:ascii="Arial;sans-serif" w:hAnsi="Arial;sans-serif"/>
          <w:b w:val="false"/>
          <w:color w:val="000000"/>
          <w:sz w:val="20"/>
        </w:rPr>
        <w:t>. For the nine months ended September 30, 2023, net income was $28.4, as compared to net loss of $16.3 in the prior year period, increasing primarily as a result of improving operating income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the Company’s asset-based revolving credit facility, as amended by the ABL Amendment (as defined below) and other amendments (the “ABL Facility”) and cash flows from operations. At September 30, 2023, we had $90.4 of cash and cash equivalents and $64.4 available on the September 2023 ABL Facility Borrowing Base Certificate, which resulted in liquidity of $154.8.</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material cash commitments from known contractual and other obligations consist primarily of obligations for long-term debt and related interest as well as leases for property and equipment and purchase obligations as part of normal operations. See below “— ABL Facility” and “— Senior Secured Notes” for information regarding scheduled maturities of our long-term debt. See “Note 7 - Leases” of Item 8 in our 2022 Annual Report on Form 10-K filed with the SEC on March 9, 2023 for information regarding scheduled maturities of our operating and financing leases.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0850"/>
                <wp:effectExtent l="0" t="0" r="0" b="0"/>
                <wp:wrapNone/>
                <wp:docPr id="26" name="Frame2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taken several actions to continue to improve our liquidity position. Despite ongoing volatility in commodity prices and increased inflation, continued higher oil prices over 2022 and 2023 relative to those over 2020 and 2021 have resulted in an increase in demand for our services and an improvement in our operating cash flows in the nine months ended September 30, 2023 as compared to the nine months ended September 30, 2022. We believe based on our current forecasts, our cash on hand, continued draws under the ABL Facility, together with our cash flows, will provide us with the ability to fund our operations, including planned capital expenditures, for at least the next twelve months. Based on current trends, we believe that our liquidity beyond the next twelve months will increase as our operational results continue to improve. However, we are unable to quantify or guarantee this increase, and there can be no certainty that current trends will continue and that our liquidity and financial position will continue to improve.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2023, we had total outstanding long-term indebtedness of $284.1 under our ABL Facility and Senior Secured Notes as described in greater detail under “— ABL Facility” and “—Senior Secured Notes” below. Our ability to pay the principal and interest on our long-term debt and to satisfy our other liabilities will depend on our future operating performance and ability to refinance our debt as it becomes due. Our future operating performance and ability to satisfy our liquidity requirements and refinance such indebtedness will be affected by prevailing economic and political conditions, the level of drilling, completion, production and intervention services activity for North American onshore oil and natural gas resources and related pricing for our services, increasing inflation and government efforts to reduce inflation, the willingness of capital providers to lend to our industry, and other financial and business factors, many of which are beyond our control.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Our ABL Facility matures on the ABL Maturity Date (as defined below) in 2025 and our Senior Secured Notes (as defined below) mature in 2025. Our ability to refinance or restructure our debt will depend on the condition of the public and private debt markets and our financial condition at such time, among other things. Any refinancing of our debt could be at higher interest rates and may require us to comply with covenants, which could further restrict our business operations.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may result in dilution to our current stockholders.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Subject to market conditions, our contractual restrictions and other factors, we have and may continue to explore various alternatives to recapitalize, refinance or otherwise restructure our capital structure. We may accomplish this through open market or privately negotiated transactions or otherwise, which may include, among other things, a mix of refinancings, private or public equity or debt raises and rights offerings, retirement or repurchases of our outstanding Senior Secured Notes, debt-for-debt or debt-for-equity exchanges or conversions that if successful could result in the dilution of ownership by existing stockholders. Some of these alternatives may require the consent of current lenders, stockholders or noteholders and the amounts involved may be material.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ABL Facility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entered into a $100.0 ABL Facility on August 10, 2018. The ABL Facility became effective on September 14, 2018 and, prior to the effectiveness of the ABL Amendment (as defined below), was scheduled to mature in September 2024. $50.0 was outstanding under the ABL Facility as of September 30, 2023. The effective interest rate under the ABL Facility was approximately 7.9% on September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20, 2023, the Company entered into a Fourth Amendment to the ABL Facility, with certain of its subsidiaries party thereto, as guarantors, with JPMorgan Chase Bank, N.A., as administrative agent, collateral agent and an issuing lender, and the other lenders and issuing lenders party thereto from time to time (the “ABL Amendment”).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0850"/>
                <wp:effectExtent l="0" t="0" r="0" b="0"/>
                <wp:wrapNone/>
                <wp:docPr id="27" name="Frame2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Amendment, among other things, (i) extends the maturity date of the ABL Facility from September 15, 2024 to the earlier of (A) September 15, 2025 or (B) August 1, 2025, if the Company's Senior Secured Notes are still outstanding as of such date (the earlier of the foregoing item (A) or item (B), the “ABL Maturity Date”) and (ii) increases the revolving credit commitment from $100.0 to $120.0.</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Senior Secured Notes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conjunction with the acquisition of Motley in 2018, we issued $250.0 principal amount of 11.5% senior secured notes due 2025 (the “Senior Secured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Senior Secured Notes, total debt related to the Senior Secured Notes as of September 30, 2023 was $234.1. The Senior Secured Notes bear interest at an annual rate of 11.5%, payable semi-annually in arrears on May 1 and November 1 and mature in 2025. Accrued interest related to the Senior Secured Notes was $11.4 as of September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 also contains customary events of default including, among other things, the failure to pay interest for 30 days, failure to pay principal when due, failure to observe or perform any other covenants or agreement in the indenture subject to grace periods, cross-acceleration to indebtedness with an aggregate principal amount in excess of $50.0, material impairment of liens, failure to pay certain material judgments and certain events of bankruptcy.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Capital Expenditures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capital expenditures were $44.3 during the nine months ended September 30, 2023, compared to $26.1 in the nine months ended September 30, 2022. Based on current industry conditions and our significant investments in capital expenditures over the past several years, we expect to incur between $45.0 and $55.0 in total capital expenditures for the year ending December 31, 2023, out of which $35.0 to $45.0 will be attributable to maintenance capital spending.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0850"/>
                <wp:effectExtent l="0" t="0" r="0" b="0"/>
                <wp:wrapNone/>
                <wp:docPr id="28" name="Frame2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Equity Distribution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 On November 16, 2022, the Company entered into Amendment No. 1 to the Equity Distribution Agreement (the “EDA Amendment”). Among other things, the EDA Amendment allows for debt-for-equity exchanges in accordance with Section 3(a)(9) of the Securities Act.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2023, the Company did not sell any shares of Common Stock and incurred legal and administrative fees of $0.3 and $0.4,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2022, the Company sold 241,551 and 1,826,199 shares of Common Stock, respectively, in exchange for gross proceeds of approximately $1.7 and $10.1, respectively, and incurred legal and administrative fees of $0.1 and $0.2,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liquidity requirements consist of working capital needs, debt service obligations and ongoing capital expenditure requirements. Our primary requirements for working capital are directly related to the activity level of our operations. Our operating cash flows are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sets forth our cash flows for the periods presented below:</w:t>
      </w:r>
    </w:p>
    <w:tbl>
      <w:tblPr>
        <w:tblW w:w="10205" w:type="dxa"/>
        <w:jc w:val="left"/>
        <w:tblInd w:w="0" w:type="dxa"/>
        <w:tblLayout w:type="fixed"/>
        <w:tblCellMar>
          <w:top w:w="28" w:type="dxa"/>
          <w:left w:w="28" w:type="dxa"/>
          <w:bottom w:w="28" w:type="dxa"/>
          <w:right w:w="28" w:type="dxa"/>
        </w:tblCellMar>
      </w:tblPr>
      <w:tblGrid>
        <w:gridCol w:w="1899"/>
        <w:gridCol w:w="1664"/>
        <w:gridCol w:w="1676"/>
        <w:gridCol w:w="109"/>
        <w:gridCol w:w="109"/>
        <w:gridCol w:w="109"/>
        <w:gridCol w:w="468"/>
        <w:gridCol w:w="1203"/>
        <w:gridCol w:w="242"/>
        <w:gridCol w:w="109"/>
        <w:gridCol w:w="109"/>
        <w:gridCol w:w="109"/>
        <w:gridCol w:w="468"/>
        <w:gridCol w:w="1203"/>
        <w:gridCol w:w="242"/>
        <w:gridCol w:w="109"/>
        <w:gridCol w:w="109"/>
        <w:gridCol w:w="109"/>
        <w:gridCol w:w="159"/>
      </w:tblGrid>
      <w:tr>
        <w:trPr/>
        <w:tc>
          <w:tcPr>
            <w:tcW w:w="189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provided by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provided by operating activities was $77.0 for the nine months ended September 30, 2023, as compared to net cash provided by operating activities of $3.9 for the nine months ended September 30, 2022. The increase in operating cash flows was attributable to increased profitability and management of working capital.</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0850"/>
                <wp:effectExtent l="0" t="0" r="0" b="0"/>
                <wp:wrapNone/>
                <wp:docPr id="29" name="Frame2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investing activities was $29.9 for the nine months ended September 30, 2023, as compared to net cash used in investing activities of $14.3 for the nine months ended September 30, 2022. The cash flows used in investing activities were primarily driven by maintenance capital spending tied to the operation of our existing asset base offset by proceeds from lost in hole and sales of real property, trucks and other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provided by 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financing activities was $14.1 for the nine months ended September 30, 2023, compared to net cash provided by financing activities of $23.8 for the nine months ended September 30, 2022. During the nine months ended September 30, 2023, there were no additional borrowings under our ABL Facility and no sales under our ATM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Other than the critical accounting policy included below, we believe that our critical accounting policies are limited to those described in the Critical Accounting Estimates section of Management’s Discussion and Analysis of Financial Condition and Results of Operations included in our 2022 Annual Report on Form 10-K filed with the SEC on March 9, 2023.</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Business Combinations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completed our acquisition of Greene’s on March 8, 2023. Greene’s results of operations have been included in our financial results for the period subsequent to the acquisition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When determining the fair value of assets acquired and liabilities assumed, we make significant estimates and assumptions. Our estimates of fair value are based upon assumptions believed to be reasonable, but which are inherently uncertain and unpredictable and, as a result, actual results may differ from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measurement period, not to exceed one year from the date of acquisition, we may record adjustments to the assets acquired and liabilities assumed, with a corresponding offset to bargain purchase gain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0850"/>
                <wp:effectExtent l="0" t="0" r="0" b="0"/>
                <wp:wrapNone/>
                <wp:docPr id="30" name="Frame3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evaluate any recently issued accounting pronouncements for future adoption.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Evaluate Our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Key Financial Performance Indicators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recognize the highly cyclical nature of our business and the need for metrics to (1) best measure the trends in our operations and (2) provide baselines and targets to assess the performance of our managers.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measures we believe most effective to achieve the above stated goals include: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Revenue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Operating income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Adjusted Earnings before interest, taxes, depreciation and amortization (</w:t>
      </w:r>
      <w:r>
        <w:rPr>
          <w:color w:val="000000"/>
        </w:rPr>
        <w:t>“</w:t>
      </w:r>
      <w:r>
        <w:rPr>
          <w:rFonts w:ascii="Arial;sans-serif" w:hAnsi="Arial;sans-serif"/>
          <w:b w:val="false"/>
          <w:color w:val="000000"/>
          <w:sz w:val="20"/>
        </w:rPr>
        <w:t>Adjusted EBITDA”</w:t>
      </w:r>
      <w:r>
        <w:rPr>
          <w:rFonts w:ascii="Arial;sans-serif" w:hAnsi="Arial;sans-serif"/>
          <w:b w:val="false"/>
          <w:i/>
          <w:color w:val="000000"/>
          <w:sz w:val="20"/>
        </w:rPr>
        <w:t>)</w:t>
      </w:r>
      <w:r>
        <w:rPr>
          <w:rFonts w:ascii="Arial;sans-serif" w:hAnsi="Arial;sans-serif"/>
          <w:b w:val="false"/>
          <w:color w:val="000000"/>
          <w:sz w:val="20"/>
        </w:rPr>
        <w:t>: 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Adjusted EBITDA Margin: </w:t>
      </w:r>
      <w:r>
        <w:rPr>
          <w:rFonts w:ascii="Arial;sans-serif" w:hAnsi="Arial;sans-serif"/>
          <w:b w:val="false"/>
          <w:color w:val="000000"/>
          <w:sz w:val="20"/>
        </w:rPr>
        <w:t>Adjusted EBITDA Margin is defined as Adjusted EBITDA, as defined above, as a percentage of revenue.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18" w:type="dxa"/>
        <w:jc w:val="center"/>
        <w:tblInd w:w="0" w:type="dxa"/>
        <w:tblLayout w:type="fixed"/>
        <w:tblCellMar>
          <w:top w:w="28" w:type="dxa"/>
          <w:left w:w="28" w:type="dxa"/>
          <w:bottom w:w="28" w:type="dxa"/>
          <w:right w:w="28" w:type="dxa"/>
        </w:tblCellMar>
      </w:tblPr>
      <w:tblGrid>
        <w:gridCol w:w="319"/>
        <w:gridCol w:w="281"/>
        <w:gridCol w:w="284"/>
        <w:gridCol w:w="2060"/>
        <w:gridCol w:w="2060"/>
        <w:gridCol w:w="2914"/>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3. </w:t>
            </w:r>
          </w:p>
        </w:tc>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smaller reporting company,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0850"/>
                <wp:effectExtent l="0" t="0" r="0" b="0"/>
                <wp:wrapNone/>
                <wp:docPr id="31" name="Frame3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tbl>
      <w:tblPr>
        <w:tblW w:w="4005" w:type="dxa"/>
        <w:jc w:val="center"/>
        <w:tblInd w:w="0" w:type="dxa"/>
        <w:tblLayout w:type="fixed"/>
        <w:tblCellMar>
          <w:top w:w="28" w:type="dxa"/>
          <w:left w:w="28" w:type="dxa"/>
          <w:bottom w:w="28" w:type="dxa"/>
          <w:right w:w="28" w:type="dxa"/>
        </w:tblCellMar>
      </w:tblPr>
      <w:tblGrid>
        <w:gridCol w:w="320"/>
        <w:gridCol w:w="282"/>
        <w:gridCol w:w="283"/>
        <w:gridCol w:w="914"/>
        <w:gridCol w:w="914"/>
        <w:gridCol w:w="1292"/>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bidi w:val="0"/>
        <w:spacing w:before="0" w:after="0"/>
        <w:ind w:left="0" w:right="0" w:hanging="405"/>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ind w:left="0" w:right="0" w:hanging="405"/>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preparation of this Quarterly Report for the quarter ended September 30, 2023,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September 30, 2023.</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34" w:type="dxa"/>
        <w:jc w:val="center"/>
        <w:tblInd w:w="0" w:type="dxa"/>
        <w:tblLayout w:type="fixed"/>
        <w:tblCellMar>
          <w:top w:w="28" w:type="dxa"/>
          <w:left w:w="28" w:type="dxa"/>
          <w:bottom w:w="28" w:type="dxa"/>
          <w:right w:w="28" w:type="dxa"/>
        </w:tblCellMar>
      </w:tblPr>
      <w:tblGrid>
        <w:gridCol w:w="298"/>
        <w:gridCol w:w="262"/>
        <w:gridCol w:w="265"/>
        <w:gridCol w:w="676"/>
        <w:gridCol w:w="676"/>
        <w:gridCol w:w="95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PROCEEDINGS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64" w:type="dxa"/>
        <w:jc w:val="left"/>
        <w:tblInd w:w="0" w:type="dxa"/>
        <w:tblLayout w:type="fixed"/>
        <w:tblCellMar>
          <w:top w:w="28" w:type="dxa"/>
          <w:left w:w="28" w:type="dxa"/>
          <w:bottom w:w="28" w:type="dxa"/>
          <w:right w:w="28" w:type="dxa"/>
        </w:tblCellMar>
      </w:tblPr>
      <w:tblGrid>
        <w:gridCol w:w="346"/>
        <w:gridCol w:w="305"/>
        <w:gridCol w:w="308"/>
        <w:gridCol w:w="469"/>
        <w:gridCol w:w="469"/>
        <w:gridCol w:w="667"/>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the information set forth in this Quarterly Report, you should carefully consider the risk factors previously described in Part I, Item IA. “Risk Factors”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24" w:type="dxa"/>
        <w:jc w:val="center"/>
        <w:tblInd w:w="0" w:type="dxa"/>
        <w:tblLayout w:type="fixed"/>
        <w:tblCellMar>
          <w:top w:w="28" w:type="dxa"/>
          <w:left w:w="28" w:type="dxa"/>
          <w:bottom w:w="28" w:type="dxa"/>
          <w:right w:w="28" w:type="dxa"/>
        </w:tblCellMar>
      </w:tblPr>
      <w:tblGrid>
        <w:gridCol w:w="298"/>
        <w:gridCol w:w="262"/>
        <w:gridCol w:w="265"/>
        <w:gridCol w:w="2105"/>
        <w:gridCol w:w="2105"/>
        <w:gridCol w:w="298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UNREGISTERED SALES OF EQUITY SECURITIES AND USE OF PROCEEDS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Purchases of Equity Securities by the Issuer and Affiliated Purchasers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total number of shares of our Common Stock that we repurchased during the three months ended September 30,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0850"/>
                <wp:effectExtent l="0" t="0" r="0" b="0"/>
                <wp:wrapNone/>
                <wp:docPr id="32" name="Frame3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04"/>
        <w:gridCol w:w="387"/>
        <w:gridCol w:w="389"/>
        <w:gridCol w:w="491"/>
        <w:gridCol w:w="491"/>
        <w:gridCol w:w="492"/>
        <w:gridCol w:w="109"/>
        <w:gridCol w:w="109"/>
        <w:gridCol w:w="109"/>
        <w:gridCol w:w="350"/>
        <w:gridCol w:w="674"/>
        <w:gridCol w:w="182"/>
        <w:gridCol w:w="109"/>
        <w:gridCol w:w="109"/>
        <w:gridCol w:w="109"/>
        <w:gridCol w:w="754"/>
        <w:gridCol w:w="754"/>
        <w:gridCol w:w="756"/>
        <w:gridCol w:w="109"/>
        <w:gridCol w:w="109"/>
        <w:gridCol w:w="109"/>
        <w:gridCol w:w="393"/>
        <w:gridCol w:w="2015"/>
        <w:gridCol w:w="292"/>
      </w:tblGrid>
      <w:tr>
        <w:trPr/>
        <w:tc>
          <w:tcPr>
            <w:tcW w:w="8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price paid per share</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plans or programs</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dollar value of shares that may yet be purchased under the plans or programs</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1, 2023 - July 31, 2023</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1, 2023 - August 31, 2023</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1, 2023 - September 30, 2023</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9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Includes shares purchased from employees in connection with the settlement of income tax and related benefit withholding obligations arising from vesting of restricted stock grants under the Company’s Amended and Restated LTIP.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(2) The average price paid per share of Common Stock repurchased includes commissions paid to the brokers.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(3) In August 2019, our Board authorized a share repurchase program for the repurchase of outstanding shares of the Company’s Common Stock having an aggregate purchase price up to $50.</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79" w:type="dxa"/>
        <w:jc w:val="left"/>
        <w:tblInd w:w="0" w:type="dxa"/>
        <w:tblLayout w:type="fixed"/>
        <w:tblCellMar>
          <w:top w:w="28" w:type="dxa"/>
          <w:left w:w="28" w:type="dxa"/>
          <w:bottom w:w="28" w:type="dxa"/>
          <w:right w:w="28" w:type="dxa"/>
        </w:tblCellMar>
      </w:tblPr>
      <w:tblGrid>
        <w:gridCol w:w="298"/>
        <w:gridCol w:w="262"/>
        <w:gridCol w:w="265"/>
        <w:gridCol w:w="1128"/>
        <w:gridCol w:w="1128"/>
        <w:gridCol w:w="159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DEFAULTS UPON SENIOR SECURITIES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39" w:type="dxa"/>
        <w:jc w:val="left"/>
        <w:tblInd w:w="0" w:type="dxa"/>
        <w:tblLayout w:type="fixed"/>
        <w:tblCellMar>
          <w:top w:w="28" w:type="dxa"/>
          <w:left w:w="28" w:type="dxa"/>
          <w:bottom w:w="28" w:type="dxa"/>
          <w:right w:w="28" w:type="dxa"/>
        </w:tblCellMar>
      </w:tblPr>
      <w:tblGrid>
        <w:gridCol w:w="319"/>
        <w:gridCol w:w="281"/>
        <w:gridCol w:w="284"/>
        <w:gridCol w:w="865"/>
        <w:gridCol w:w="865"/>
        <w:gridCol w:w="1225"/>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MINE SAFETY DISCLOSURES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75" w:type="dxa"/>
        <w:jc w:val="left"/>
        <w:tblInd w:w="0" w:type="dxa"/>
        <w:tblLayout w:type="fixed"/>
        <w:tblCellMar>
          <w:top w:w="28" w:type="dxa"/>
          <w:left w:w="28" w:type="dxa"/>
          <w:bottom w:w="28" w:type="dxa"/>
          <w:right w:w="28" w:type="dxa"/>
        </w:tblCellMar>
      </w:tblPr>
      <w:tblGrid>
        <w:gridCol w:w="298"/>
        <w:gridCol w:w="262"/>
        <w:gridCol w:w="265"/>
        <w:gridCol w:w="659"/>
        <w:gridCol w:w="659"/>
        <w:gridCol w:w="93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0850"/>
                <wp:effectExtent l="0" t="0" r="0" b="0"/>
                <wp:wrapNone/>
                <wp:docPr id="33" name="Frame3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707fbbb085f4d969edb01013b9045d2_7">
        <w:r>
          <w:rPr>
            <w:rStyle w:val="InternetLink"/>
            <w:rFonts w:ascii="Arial;sans-serif" w:hAnsi="Arial;sans-serif"/>
            <w:b w:val="false"/>
            <w:color w:val="0563C1"/>
            <w:sz w:val="20"/>
            <w:u w:val="single"/>
          </w:rPr>
          <w:t>Table of Contents</w:t>
        </w:r>
      </w:hyperlink>
    </w:p>
    <w:tbl>
      <w:tblPr>
        <w:tblW w:w="1891" w:type="dxa"/>
        <w:jc w:val="left"/>
        <w:tblInd w:w="0" w:type="dxa"/>
        <w:tblLayout w:type="fixed"/>
        <w:tblCellMar>
          <w:top w:w="28" w:type="dxa"/>
          <w:left w:w="28" w:type="dxa"/>
          <w:bottom w:w="28" w:type="dxa"/>
          <w:right w:w="28" w:type="dxa"/>
        </w:tblCellMar>
      </w:tblPr>
      <w:tblGrid>
        <w:gridCol w:w="298"/>
        <w:gridCol w:w="262"/>
        <w:gridCol w:w="265"/>
        <w:gridCol w:w="312"/>
        <w:gridCol w:w="312"/>
        <w:gridCol w:w="44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62"/>
        <w:gridCol w:w="215"/>
        <w:gridCol w:w="221"/>
        <w:gridCol w:w="2896"/>
        <w:gridCol w:w="2730"/>
        <w:gridCol w:w="3881"/>
      </w:tblGrid>
      <w:tr>
        <w:trPr/>
        <w:tc>
          <w:tcPr>
            <w:tcW w:w="2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3881" w:type="dxa"/>
            <w:tcBorders/>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FF"/>
                  <w:sz w:val="20"/>
                  <w:u w:val="single"/>
                </w:rPr>
                <w:t>Amended and Restated Certificate of Incorporation of KLX Energy Services Holdings, Inc. (incorporated by reference to Exhibit 3.1 of KLX Energy Services Holdings, Inc.’s Quarterly Report on Form 10-Q, filed on September 8, 2020, File No. 001-38609).</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 xml:space="preserve">Fourth Amended and Restated Bylaws of KLX Energy Services Holdings, Inc. (incorporated by reference to Exhibit 3.1 of KLX Energy Services Holdings, Inc.'s Current Report on Form 8-K, filed on September 9, 2021, File No. 001-38609). </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fourthsupplementalind.htm">
              <w:r>
                <w:rPr>
                  <w:rStyle w:val="InternetLink"/>
                  <w:rFonts w:ascii="Arial;sans-serif" w:hAnsi="Arial;sans-serif"/>
                  <w:b w:val="false"/>
                  <w:color w:val="0000FF"/>
                  <w:sz w:val="20"/>
                  <w:u w:val="single"/>
                </w:rPr>
                <w:t>Fourth Supplemental Indenture, dated as of May 12, 2023, among KLX Energy Services Holdings, Inc., as the issuer, the Guaranteeing Subsidiaries named therein and Wilmington Trust, National Association, as trustee and collateral agent.</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3202310-qex311chrisklx.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32023ex312keeferklx.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3202310-qex321chrisklx.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32023ex322keeferklx.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600"/>
        <w:jc w:val="left"/>
        <w:rPr/>
      </w:pPr>
      <w:hyperlink w:anchor="i5707fbbb085f4d969edb01013b9045d2_7">
        <w:r>
          <w:rPr>
            <w:rStyle w:val="InternetLink"/>
            <w:rFonts w:ascii="Arial;sans-serif" w:hAnsi="Arial;sans-serif"/>
            <w:b w:val="false"/>
            <w:color w:val="0563C1"/>
            <w:sz w:val="20"/>
            <w:u w:val="single"/>
          </w:rPr>
          <w:t>Table of Contents</w:t>
        </w:r>
      </w:hyperlink>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16" w:type="dxa"/>
        <w:jc w:val="right"/>
        <w:tblInd w:w="0" w:type="dxa"/>
        <w:tblLayout w:type="fixed"/>
        <w:tblCellMar>
          <w:top w:w="28" w:type="dxa"/>
          <w:left w:w="28" w:type="dxa"/>
          <w:bottom w:w="28" w:type="dxa"/>
          <w:right w:w="28" w:type="dxa"/>
        </w:tblCellMar>
      </w:tblPr>
      <w:tblGrid>
        <w:gridCol w:w="482"/>
        <w:gridCol w:w="422"/>
        <w:gridCol w:w="422"/>
        <w:gridCol w:w="422"/>
        <w:gridCol w:w="422"/>
        <w:gridCol w:w="422"/>
        <w:gridCol w:w="1357"/>
        <w:gridCol w:w="1357"/>
        <w:gridCol w:w="2010"/>
      </w:tblGrid>
      <w:tr>
        <w:trPr/>
        <w:tc>
          <w:tcPr>
            <w:tcW w:w="48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KLX ENERGY SERVICES HOLDINGS, INC.</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President, Chief Executive Officer and Director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November 7, 2023</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November 7, 2023</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Senior Vice President and Chief Accounting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November 7, 2023</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4.1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0850"/>
                <wp:effectExtent l="0" t="0" r="0" b="0"/>
                <wp:wrapNone/>
                <wp:docPr id="35" name="Frame3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FOURTH SUPPLEMENTAL INDENTURE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Fourth Supplemental Indenture (this “</w:t>
      </w:r>
      <w:r>
        <w:rPr>
          <w:rFonts w:ascii="Times New Roman;sans-serif" w:hAnsi="Times New Roman;sans-serif"/>
          <w:b w:val="false"/>
          <w:i/>
          <w:color w:val="000000"/>
          <w:sz w:val="24"/>
        </w:rPr>
        <w:t>Supplemental Indenture</w:t>
      </w:r>
      <w:r>
        <w:rPr>
          <w:color w:val="000000"/>
        </w:rPr>
        <w:t>”</w:t>
      </w:r>
      <w:r>
        <w:rPr>
          <w:rFonts w:ascii="Times New Roman;sans-serif" w:hAnsi="Times New Roman;sans-serif"/>
          <w:b w:val="false"/>
          <w:color w:val="000000"/>
          <w:sz w:val="24"/>
        </w:rPr>
        <w:t>), dated as of May 12, 2023, among Greene’s Energy Group, LLC, a Texas limited liability company (the “</w:t>
      </w:r>
      <w:r>
        <w:rPr>
          <w:rFonts w:ascii="Times New Roman;sans-serif" w:hAnsi="Times New Roman;sans-serif"/>
          <w:b w:val="false"/>
          <w:i/>
          <w:color w:val="000000"/>
          <w:sz w:val="24"/>
        </w:rPr>
        <w:t>Guaranteeing Subsidiary</w:t>
      </w:r>
      <w:r>
        <w:rPr>
          <w:color w:val="000000"/>
        </w:rPr>
        <w:t>”</w:t>
      </w:r>
      <w:r>
        <w:rPr>
          <w:rFonts w:ascii="Times New Roman;sans-serif" w:hAnsi="Times New Roman;sans-serif"/>
          <w:b w:val="false"/>
          <w:color w:val="000000"/>
          <w:sz w:val="24"/>
        </w:rPr>
        <w:t>), a subsidiary of KLX Energy Services Holdings, Inc., a Delaware corporation (the “</w:t>
      </w:r>
      <w:r>
        <w:rPr>
          <w:rFonts w:ascii="Times New Roman;sans-serif" w:hAnsi="Times New Roman;sans-serif"/>
          <w:b w:val="false"/>
          <w:i/>
          <w:color w:val="000000"/>
          <w:sz w:val="24"/>
        </w:rPr>
        <w:t>Company</w:t>
      </w:r>
      <w:r>
        <w:rPr>
          <w:color w:val="000000"/>
        </w:rPr>
        <w:t>”</w:t>
      </w:r>
      <w:r>
        <w:rPr>
          <w:rFonts w:ascii="Times New Roman;sans-serif" w:hAnsi="Times New Roman;sans-serif"/>
          <w:b w:val="false"/>
          <w:color w:val="000000"/>
          <w:sz w:val="24"/>
        </w:rPr>
        <w:t>), Wilmington Trust, National Association, as trustee (the “</w:t>
      </w:r>
      <w:r>
        <w:rPr>
          <w:rFonts w:ascii="Times New Roman;sans-serif" w:hAnsi="Times New Roman;sans-serif"/>
          <w:b w:val="false"/>
          <w:i/>
          <w:color w:val="000000"/>
          <w:sz w:val="24"/>
        </w:rPr>
        <w:t>Trustee</w:t>
      </w:r>
      <w:r>
        <w:rPr>
          <w:color w:val="000000"/>
        </w:rPr>
        <w:t>”</w:t>
      </w:r>
      <w:r>
        <w:rPr>
          <w:rFonts w:ascii="Times New Roman;sans-serif" w:hAnsi="Times New Roman;sans-serif"/>
          <w:b w:val="false"/>
          <w:color w:val="000000"/>
          <w:sz w:val="24"/>
        </w:rPr>
        <w:t>) and notes collateral agent (the “</w:t>
      </w:r>
      <w:r>
        <w:rPr>
          <w:rFonts w:ascii="Times New Roman;sans-serif" w:hAnsi="Times New Roman;sans-serif"/>
          <w:b w:val="false"/>
          <w:i/>
          <w:color w:val="000000"/>
          <w:sz w:val="24"/>
        </w:rPr>
        <w:t>Collateral Agent</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 I T N E S S E T 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WHEREAS, each of the Issuer and the Guarantors (as defined in the Indenture referred to below) has heretofore executed and delivered to the Trustee an indenture, dated as of October 31, 2018 (as amended or supplemented to date, including by the First Supplemental Indenture, dated as of November 16, 2018, the Second Supplemental Indenture, dated as of May 13, 2019, and the Third Supplemental Indenture, dated as of August 25, 2020, the “</w:t>
      </w:r>
      <w:r>
        <w:rPr>
          <w:rFonts w:ascii="Times New Roman;sans-serif" w:hAnsi="Times New Roman;sans-serif"/>
          <w:b w:val="false"/>
          <w:i/>
          <w:color w:val="000000"/>
          <w:sz w:val="24"/>
        </w:rPr>
        <w:t>Indenture</w:t>
      </w:r>
      <w:r>
        <w:rPr>
          <w:color w:val="000000"/>
        </w:rPr>
        <w:t>”</w:t>
      </w:r>
      <w:r>
        <w:rPr>
          <w:rFonts w:ascii="Times New Roman;sans-serif" w:hAnsi="Times New Roman;sans-serif"/>
          <w:b w:val="false"/>
          <w:color w:val="000000"/>
          <w:sz w:val="24"/>
        </w:rPr>
        <w:t>), providing for the issuance of an unlimited aggregate principal amount of 11.500% Senior Secured Notes due 2025 (the “</w:t>
      </w:r>
      <w:r>
        <w:rPr>
          <w:rFonts w:ascii="Times New Roman;sans-serif" w:hAnsi="Times New Roman;sans-serif"/>
          <w:b w:val="false"/>
          <w:i/>
          <w:color w:val="000000"/>
          <w:sz w:val="24"/>
        </w:rPr>
        <w:t>Notes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and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pursuant to Section 9.1 of the Indenture, the Trustee and the Collateral Agent are authorized to execute and deliver this Supplemental Indenture.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for other good and valuable consideration, the receipt of which is hereby acknowledged, the parties mutually covenant and agree for the equal and ratable benefit of the Holders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Capitalized Terms</w:t>
      </w:r>
      <w:r>
        <w:rPr>
          <w:rFonts w:ascii="Times New Roman;sans-serif" w:hAnsi="Times New Roman;sans-serif"/>
          <w:b w:val="false"/>
          <w:color w:val="000000"/>
          <w:sz w:val="24"/>
        </w:rPr>
        <w:t>. Capitalized terms used herein without definition shall have the meanings assigned to them in the Indenture.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Guarantor</w:t>
      </w:r>
      <w:r>
        <w:rPr>
          <w:rFonts w:ascii="Times New Roman;sans-serif" w:hAnsi="Times New Roman;sans-serif"/>
          <w:b w:val="false"/>
          <w:color w:val="000000"/>
          <w:sz w:val="24"/>
        </w:rPr>
        <w:t>. The Guaranteeing Subsidiary hereby agrees to be a Guarantor under the Indenture and to be bound by the terms of the Indenture applicable to Guarantors, including Article XI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SUPPLEMENTAL INDENTURE WILL BE GOVERNED BY, AND CONSTRUED IN ACCORDANCE WITH, THE LAWS OF THE STATE OF NEW YORK.</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EACH OF THE GUARANTEEING SUBSIDIARY AND THE TRUSTEE HEREBY IRREVOCABLY WAIVES, TO THE FULLEST EXTENT PERMITTED BY APPLICABLE LAW, ANY AND ALL RIGHT TO TRIAL BY JURY IN ANY LEGAL PROCEEDING ARISING OUT OF OR RELATING TO THIS SUPPLEMENTAL INDENTURE, THE INDENTURE, THE NOTES, THE GUARANTEES OR THE TRANSACTIONS CONTEMPLATED HEREBY OR THEREBY.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The parties may sign any number of copies of this Supplemental Indenture. Each signed copy shall be an original, but all of them together represent the same agreement.</w:t>
      </w:r>
    </w:p>
    <w:p>
      <w:pPr>
        <w:pStyle w:val="TextBody"/>
        <w:bidi w:val="0"/>
        <w:spacing w:before="0" w:after="2"/>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headings of the Sections of this Supplemental Indenture have been inserted for convenience of reference only, are not to be considered a part of this Supplemental Indenture and shall in no way modify or restrict any of the terms or provisions hereof.</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Supplemental Indenture to be duly executed, all as of the date first above written.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GREENE’S ENERGY GROUP,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Max L. Bouthillette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Max L. Bouthillette</w:t>
      </w:r>
    </w:p>
    <w:p>
      <w:pPr>
        <w:pStyle w:val="TextBody"/>
        <w:bidi w:val="0"/>
        <w:spacing w:lineRule="auto" w:line="240"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 &amp; Secretary</w:t>
      </w:r>
    </w:p>
    <w:p>
      <w:pPr>
        <w:pStyle w:val="TextBody"/>
        <w:bidi w:val="0"/>
        <w:spacing w:lineRule="auto" w:line="240"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KLX ENERGY SERVICES HOLDINGS, INC., as Issuer</w:t>
      </w:r>
    </w:p>
    <w:p>
      <w:pPr>
        <w:pStyle w:val="TextBody"/>
        <w:bidi w:val="0"/>
        <w:spacing w:lineRule="auto" w:line="240"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Max L. Bouthillette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Max L. Bouthillette</w:t>
      </w:r>
    </w:p>
    <w:p>
      <w:pPr>
        <w:pStyle w:val="TextBody"/>
        <w:bidi w:val="0"/>
        <w:spacing w:lineRule="auto" w:line="240" w:before="0" w:after="48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Vice President, General Counsel, Chief Compliance Officer and Secretary</w:t>
      </w:r>
    </w:p>
    <w:p>
      <w:pPr>
        <w:pStyle w:val="TextBody"/>
        <w:bidi w:val="0"/>
        <w:spacing w:lineRule="auto" w:line="240"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WILMINGTON TRUST, NATIONAL ASSOCIATION, as Trustee and Collateral Agent</w:t>
      </w:r>
    </w:p>
    <w:p>
      <w:pPr>
        <w:pStyle w:val="TextBody"/>
        <w:bidi w:val="0"/>
        <w:spacing w:lineRule="auto" w:line="240"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Barry D. Somrock</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Barry D. Somrock</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0520"/>
                <wp:effectExtent l="0" t="0" r="0" b="0"/>
                <wp:wrapNone/>
                <wp:docPr id="38" name="Frame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i/>
                                <w:color w:val="000000"/>
                                <w:sz w:val="24"/>
                              </w:rPr>
                              <w:t xml:space="preserve">Signature Page to </w:t>
                            </w:r>
                          </w:p>
                          <w:p>
                            <w:pPr>
                              <w:pStyle w:val="TextBody"/>
                              <w:bidi w:val="0"/>
                              <w:spacing w:lineRule="auto" w:line="240" w:before="0" w:after="0"/>
                              <w:jc w:val="center"/>
                              <w:rPr/>
                            </w:pPr>
                            <w:r>
                              <w:rPr>
                                <w:rFonts w:ascii="Times New Roman;sans-serif" w:hAnsi="Times New Roman;sans-serif"/>
                                <w:b/>
                                <w:i/>
                                <w:color w:val="000000"/>
                                <w:sz w:val="24"/>
                              </w:rPr>
                              <w:t>Fourth Supplemental Indenture</w:t>
                            </w:r>
                            <w:r>
                              <w:rPr>
                                <w:rFonts w:ascii="Times New Roman;sans-serif" w:hAnsi="Times New Roman;sans-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i/>
                          <w:color w:val="000000"/>
                          <w:sz w:val="24"/>
                        </w:rPr>
                        <w:t xml:space="preserve">Signature Page to </w:t>
                      </w:r>
                    </w:p>
                    <w:p>
                      <w:pPr>
                        <w:pStyle w:val="TextBody"/>
                        <w:bidi w:val="0"/>
                        <w:spacing w:lineRule="auto" w:line="240" w:before="0" w:after="0"/>
                        <w:jc w:val="center"/>
                        <w:rPr/>
                      </w:pPr>
                      <w:r>
                        <w:rPr>
                          <w:rFonts w:ascii="Times New Roman;sans-serif" w:hAnsi="Times New Roman;sans-serif"/>
                          <w:b/>
                          <w:i/>
                          <w:color w:val="000000"/>
                          <w:sz w:val="24"/>
                        </w:rPr>
                        <w:t>Fourth Supplemental Indenture</w:t>
                      </w:r>
                      <w:r>
                        <w:rPr>
                          <w:rFonts w:ascii="Times New Roman;sans-serif" w:hAnsi="Times New Roman;sans-serif"/>
                          <w:b w:val="false"/>
                          <w:color w:val="000000"/>
                          <w:sz w:val="24"/>
                        </w:rPr>
                        <w:t>]</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AS AMENDED,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Christopher J. Baker,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for the quarter ended September 30, 2023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6943"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J. Baker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J. Baker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AS AMENDED,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Keefer M. Lehner,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for the quarter ended September 30, 2023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8174" w:type="dxa"/>
        <w:jc w:val="left"/>
        <w:tblInd w:w="0" w:type="dxa"/>
        <w:tblLayout w:type="fixed"/>
        <w:tblCellMar>
          <w:top w:w="28" w:type="dxa"/>
          <w:left w:w="28" w:type="dxa"/>
          <w:bottom w:w="28" w:type="dxa"/>
          <w:right w:w="28" w:type="dxa"/>
        </w:tblCellMar>
      </w:tblPr>
      <w:tblGrid>
        <w:gridCol w:w="761"/>
        <w:gridCol w:w="669"/>
        <w:gridCol w:w="670"/>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Keefer M. Lehner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Keefer M. Lehner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in connection with the Quarterly Report of KLX Energy Services Holdings, Inc. (the “Company”) on Form 10-Q for the period ended September 30, 2023, as filed with the Securities and Exchange Commission on the date hereof (the “Periodic Report”), I, Christopher J. Baker, as President and Chief Executive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tbl>
      <w:tblPr>
        <w:tblW w:w="6944" w:type="dxa"/>
        <w:jc w:val="left"/>
        <w:tblInd w:w="0" w:type="dxa"/>
        <w:tblLayout w:type="fixed"/>
        <w:tblCellMar>
          <w:top w:w="28" w:type="dxa"/>
          <w:left w:w="28" w:type="dxa"/>
          <w:bottom w:w="28" w:type="dxa"/>
          <w:right w:w="28" w:type="dxa"/>
        </w:tblCellMar>
      </w:tblPr>
      <w:tblGrid>
        <w:gridCol w:w="761"/>
        <w:gridCol w:w="669"/>
        <w:gridCol w:w="670"/>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J. Baker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J. Baker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in connection with the Quarterly Report of KLX Energy Services Holdings, Inc. (the “Company”) on Form 10-Q for the period ended September 30, 2023, as filed with the Securities and Exchange Commission on the date hereof (the “Periodic Report”), I, Keefer M. Lehner, as Executive Vice President and Chief Financial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tbl>
      <w:tblPr>
        <w:tblW w:w="8174" w:type="dxa"/>
        <w:jc w:val="left"/>
        <w:tblInd w:w="0" w:type="dxa"/>
        <w:tblLayout w:type="fixed"/>
        <w:tblCellMar>
          <w:top w:w="28" w:type="dxa"/>
          <w:left w:w="28" w:type="dxa"/>
          <w:bottom w:w="28" w:type="dxa"/>
          <w:right w:w="28" w:type="dxa"/>
        </w:tblCellMar>
      </w:tblPr>
      <w:tblGrid>
        <w:gridCol w:w="761"/>
        <w:gridCol w:w="669"/>
        <w:gridCol w:w="670"/>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Keefer M. Lehner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Keefer M. Lehner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38827/000173882720000004/klxenergy-archarter2020.htm" TargetMode="External"/><Relationship Id="rId3" Type="http://schemas.openxmlformats.org/officeDocument/2006/relationships/hyperlink" Target="https://www.sec.gov/Archives/edgar/data/0001738827/000173882721000031/fourthamendedandrestatedby.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16709</Words>
  <Characters>92203</Characters>
  <CharactersWithSpaces>108064</CharactersWithSpaces>
  <Paragraphs>1935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