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7"/>
        </w:rPr>
      </w:pPr>
      <w:bookmarkStart w:id="0" w:name="d63698ds3.htm"/>
      <w:bookmarkStart w:id="1" w:name="ksd63698ds3"/>
      <w:bookmarkEnd w:id="0"/>
      <w:bookmarkEnd w:id="1"/>
      <w:r>
        <w:rPr>
          <w:rFonts w:ascii="Times New Roman" w:hAnsi="Times New Roman"/>
          <w:b/>
          <w:sz w:val="17"/>
        </w:rPr>
        <w:t xml:space="preserve">As filed with the Securities and Exchange Commission on May 14,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28"/>
        </w:rPr>
      </w:pPr>
      <w:r>
        <w:rPr>
          <w:rFonts w:ascii="Times New Roman" w:hAnsi="Times New Roman"/>
          <w:b/>
          <w:sz w:val="28"/>
        </w:rPr>
        <w:t xml:space="preserve">FORM S-3 </w:t>
      </w:r>
    </w:p>
    <w:p>
      <w:pPr>
        <w:pStyle w:val="TextBody"/>
        <w:bidi w:val="0"/>
        <w:spacing w:before="0" w:after="0"/>
        <w:jc w:val="center"/>
        <w:rPr>
          <w:rFonts w:ascii="Times New Roman" w:hAnsi="Times New Roman"/>
          <w:b/>
          <w:sz w:val="28"/>
        </w:rPr>
      </w:pPr>
      <w:r>
        <w:rPr>
          <w:rFonts w:ascii="Times New Roman" w:hAnsi="Times New Roman"/>
          <w:b/>
          <w:sz w:val="28"/>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0"/>
        </w:rPr>
      </w:pPr>
      <w:r>
        <w:rPr>
          <w:rFonts w:ascii="Times New Roman" w:hAnsi="Times New Roman"/>
          <w:b/>
          <w:sz w:val="40"/>
        </w:rPr>
        <w:t xml:space="preserve">KLX Energy Services Holdings,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36-4904146</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60" w:after="0"/>
        <w:jc w:val="center"/>
        <w:rPr>
          <w:rFonts w:ascii="Times New Roman" w:hAnsi="Times New Roman"/>
          <w:b/>
          <w:sz w:val="17"/>
        </w:rPr>
      </w:pPr>
      <w:r>
        <w:rPr>
          <w:rFonts w:ascii="Times New Roman" w:hAnsi="Times New Roman"/>
          <w:b/>
          <w:sz w:val="17"/>
        </w:rPr>
        <w:t xml:space="preserve">3040 Post Oak Boulevard, 15th Floor </w:t>
      </w:r>
    </w:p>
    <w:p>
      <w:pPr>
        <w:pStyle w:val="TextBody"/>
        <w:bidi w:val="0"/>
        <w:spacing w:before="0" w:after="0"/>
        <w:jc w:val="center"/>
        <w:rPr>
          <w:rFonts w:ascii="Times New Roman" w:hAnsi="Times New Roman"/>
          <w:b/>
          <w:sz w:val="17"/>
        </w:rPr>
      </w:pPr>
      <w:r>
        <w:rPr>
          <w:rFonts w:ascii="Times New Roman" w:hAnsi="Times New Roman"/>
          <w:b/>
          <w:sz w:val="17"/>
        </w:rPr>
        <w:t xml:space="preserve">Houston, Texas 77056 </w:t>
      </w:r>
    </w:p>
    <w:p>
      <w:pPr>
        <w:pStyle w:val="TextBody"/>
        <w:bidi w:val="0"/>
        <w:spacing w:before="0" w:after="0"/>
        <w:jc w:val="center"/>
        <w:rPr>
          <w:rFonts w:ascii="Times New Roman" w:hAnsi="Times New Roman"/>
          <w:b/>
          <w:sz w:val="17"/>
        </w:rPr>
      </w:pPr>
      <w:r>
        <w:rPr>
          <w:rFonts w:ascii="Times New Roman" w:hAnsi="Times New Roman"/>
          <w:b/>
          <w:sz w:val="17"/>
        </w:rPr>
        <w:t xml:space="preserve">(832) 844-1015 </w:t>
      </w:r>
    </w:p>
    <w:p>
      <w:pPr>
        <w:pStyle w:val="TextBody"/>
        <w:bidi w:val="0"/>
        <w:spacing w:before="0" w:after="0"/>
        <w:jc w:val="center"/>
        <w:rPr>
          <w:rFonts w:ascii="Times New Roman" w:hAnsi="Times New Roman"/>
          <w:b/>
          <w:sz w:val="16"/>
        </w:rPr>
      </w:pPr>
      <w:r>
        <w:rPr>
          <w:rFonts w:ascii="Times New Roman" w:hAnsi="Times New Roman"/>
          <w:b/>
          <w:sz w:val="16"/>
        </w:rPr>
        <w:t xml:space="preserve">(Addresses,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7"/>
        </w:rPr>
      </w:pPr>
      <w:r>
        <w:rPr>
          <w:rFonts w:ascii="Times New Roman" w:hAnsi="Times New Roman"/>
          <w:b/>
          <w:sz w:val="17"/>
        </w:rPr>
        <w:t xml:space="preserve">Max L. Bouthillette </w:t>
      </w:r>
    </w:p>
    <w:p>
      <w:pPr>
        <w:pStyle w:val="TextBody"/>
        <w:bidi w:val="0"/>
        <w:spacing w:before="0" w:after="0"/>
        <w:jc w:val="center"/>
        <w:rPr>
          <w:rFonts w:ascii="Times New Roman" w:hAnsi="Times New Roman"/>
          <w:b/>
          <w:sz w:val="17"/>
        </w:rPr>
      </w:pPr>
      <w:r>
        <w:rPr>
          <w:rFonts w:ascii="Times New Roman" w:hAnsi="Times New Roman"/>
          <w:b/>
          <w:sz w:val="17"/>
        </w:rPr>
        <w:t xml:space="preserve">Executive Vice President, General Counsel, Chief Compliance Officer and Secretary </w:t>
      </w:r>
    </w:p>
    <w:p>
      <w:pPr>
        <w:pStyle w:val="TextBody"/>
        <w:bidi w:val="0"/>
        <w:spacing w:before="0" w:after="0"/>
        <w:jc w:val="center"/>
        <w:rPr>
          <w:rFonts w:ascii="Times New Roman" w:hAnsi="Times New Roman"/>
          <w:b/>
          <w:sz w:val="17"/>
        </w:rPr>
      </w:pPr>
      <w:r>
        <w:rPr>
          <w:rFonts w:ascii="Times New Roman" w:hAnsi="Times New Roman"/>
          <w:b/>
          <w:sz w:val="17"/>
        </w:rPr>
        <w:t xml:space="preserve">3040 Post Oak Boulevard, 15th Floor </w:t>
      </w:r>
    </w:p>
    <w:p>
      <w:pPr>
        <w:pStyle w:val="TextBody"/>
        <w:bidi w:val="0"/>
        <w:spacing w:before="0" w:after="0"/>
        <w:jc w:val="center"/>
        <w:rPr>
          <w:rFonts w:ascii="Times New Roman" w:hAnsi="Times New Roman"/>
          <w:b/>
          <w:sz w:val="17"/>
        </w:rPr>
      </w:pPr>
      <w:r>
        <w:rPr>
          <w:rFonts w:ascii="Times New Roman" w:hAnsi="Times New Roman"/>
          <w:b/>
          <w:sz w:val="17"/>
        </w:rPr>
        <w:t xml:space="preserve">Houston, Texas 77056 </w:t>
      </w:r>
    </w:p>
    <w:p>
      <w:pPr>
        <w:pStyle w:val="TextBody"/>
        <w:bidi w:val="0"/>
        <w:spacing w:before="0" w:after="0"/>
        <w:jc w:val="center"/>
        <w:rPr>
          <w:rFonts w:ascii="Times New Roman" w:hAnsi="Times New Roman"/>
          <w:b/>
          <w:sz w:val="17"/>
        </w:rPr>
      </w:pPr>
      <w:r>
        <w:rPr>
          <w:rFonts w:ascii="Times New Roman" w:hAnsi="Times New Roman"/>
          <w:b/>
          <w:sz w:val="17"/>
        </w:rPr>
        <w:t xml:space="preserve">(832) 844-1015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60" w:after="0"/>
        <w:jc w:val="center"/>
        <w:rPr>
          <w:rFonts w:ascii="Times New Roman" w:hAnsi="Times New Roman"/>
          <w:b/>
          <w:sz w:val="17"/>
        </w:rPr>
      </w:pPr>
      <w:r>
        <w:rPr>
          <w:rFonts w:ascii="Times New Roman" w:hAnsi="Times New Roman"/>
          <w:b/>
          <w:sz w:val="17"/>
        </w:rPr>
        <w:t xml:space="preserve">Sarah K. Morgan </w:t>
      </w:r>
    </w:p>
    <w:p>
      <w:pPr>
        <w:pStyle w:val="TextBody"/>
        <w:bidi w:val="0"/>
        <w:spacing w:before="0" w:after="0"/>
        <w:jc w:val="center"/>
        <w:rPr>
          <w:rFonts w:ascii="Times New Roman" w:hAnsi="Times New Roman"/>
          <w:b/>
          <w:sz w:val="17"/>
        </w:rPr>
      </w:pPr>
      <w:r>
        <w:rPr>
          <w:rFonts w:ascii="Times New Roman" w:hAnsi="Times New Roman"/>
          <w:b/>
          <w:sz w:val="17"/>
        </w:rPr>
        <w:t xml:space="preserve">Katherine Terrell Frank </w:t>
      </w:r>
    </w:p>
    <w:p>
      <w:pPr>
        <w:pStyle w:val="TextBody"/>
        <w:bidi w:val="0"/>
        <w:spacing w:before="0" w:after="0"/>
        <w:jc w:val="center"/>
        <w:rPr>
          <w:rFonts w:ascii="Times New Roman" w:hAnsi="Times New Roman"/>
          <w:b/>
          <w:sz w:val="17"/>
        </w:rPr>
      </w:pPr>
      <w:r>
        <w:rPr>
          <w:rFonts w:ascii="Times New Roman" w:hAnsi="Times New Roman"/>
          <w:b/>
          <w:sz w:val="17"/>
        </w:rPr>
        <w:t xml:space="preserve">Vinson &amp; Elkins L.L.P. </w:t>
      </w:r>
    </w:p>
    <w:p>
      <w:pPr>
        <w:pStyle w:val="TextBody"/>
        <w:bidi w:val="0"/>
        <w:spacing w:before="0" w:after="0"/>
        <w:jc w:val="center"/>
        <w:rPr>
          <w:rFonts w:ascii="Times New Roman" w:hAnsi="Times New Roman"/>
          <w:b/>
          <w:sz w:val="17"/>
        </w:rPr>
      </w:pPr>
      <w:r>
        <w:rPr>
          <w:rFonts w:ascii="Times New Roman" w:hAnsi="Times New Roman"/>
          <w:b/>
          <w:sz w:val="17"/>
        </w:rPr>
        <w:t xml:space="preserve">845 Texas Avenue, Suite 4700 </w:t>
      </w:r>
    </w:p>
    <w:p>
      <w:pPr>
        <w:pStyle w:val="TextBody"/>
        <w:bidi w:val="0"/>
        <w:spacing w:before="0" w:after="0"/>
        <w:jc w:val="center"/>
        <w:rPr>
          <w:rFonts w:ascii="Times New Roman" w:hAnsi="Times New Roman"/>
          <w:b/>
          <w:sz w:val="17"/>
        </w:rPr>
      </w:pPr>
      <w:r>
        <w:rPr>
          <w:rFonts w:ascii="Times New Roman" w:hAnsi="Times New Roman"/>
          <w:b/>
          <w:sz w:val="17"/>
        </w:rPr>
        <w:t xml:space="preserve">Houston, Texas 77002 </w:t>
      </w:r>
    </w:p>
    <w:p>
      <w:pPr>
        <w:pStyle w:val="TextBody"/>
        <w:bidi w:val="0"/>
        <w:spacing w:before="0" w:after="0"/>
        <w:jc w:val="center"/>
        <w:rPr>
          <w:rFonts w:ascii="Times New Roman" w:hAnsi="Times New Roman"/>
          <w:b/>
          <w:sz w:val="17"/>
        </w:rPr>
      </w:pPr>
      <w:r>
        <w:rPr>
          <w:rFonts w:ascii="Times New Roman" w:hAnsi="Times New Roman"/>
          <w:b/>
          <w:sz w:val="17"/>
        </w:rPr>
        <w:t xml:space="preserve">(713) 758-2222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7"/>
        </w:rPr>
      </w:pPr>
      <w:r>
        <w:rPr>
          <w:rFonts w:ascii="Times New Roman" w:hAnsi="Times New Roman"/>
          <w:b/>
          <w:sz w:val="17"/>
        </w:rPr>
        <w:t xml:space="preserve">Approximate date of commencement of proposed sale to the public: From time to time after this registration statement becomes effective. </w:t>
      </w:r>
    </w:p>
    <w:p>
      <w:pPr>
        <w:pStyle w:val="TextBody"/>
        <w:bidi w:val="0"/>
        <w:spacing w:before="6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6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6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6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6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
        <w:gridCol w:w="109"/>
        <w:gridCol w:w="3320"/>
        <w:gridCol w:w="152"/>
        <w:gridCol w:w="2164"/>
        <w:gridCol w:w="109"/>
        <w:gridCol w:w="3984"/>
        <w:gridCol w:w="109"/>
        <w:gridCol w:w="236"/>
      </w:tblGrid>
      <w:tr>
        <w:trPr/>
        <w:tc>
          <w:tcPr>
            <w:tcW w:w="2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8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2"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320" w:type="dxa"/>
            <w:tcBorders/>
            <w:vAlign w:val="bottom"/>
          </w:tcPr>
          <w:p>
            <w:pPr>
              <w:pStyle w:val="TableContents"/>
              <w:bidi w:val="0"/>
              <w:spacing w:before="0" w:after="283"/>
              <w:jc w:val="left"/>
              <w:rPr/>
            </w:pPr>
            <w:r>
              <w:rPr/>
              <w:t>Large accelerated filer</w:t>
            </w:r>
          </w:p>
        </w:tc>
        <w:tc>
          <w:tcPr>
            <w:tcW w:w="152" w:type="dxa"/>
            <w:tcBorders/>
            <w:vAlign w:val="bottom"/>
          </w:tcPr>
          <w:p>
            <w:pPr>
              <w:pStyle w:val="TableContents"/>
              <w:bidi w:val="0"/>
              <w:spacing w:before="0" w:after="283"/>
              <w:jc w:val="left"/>
              <w:rPr/>
            </w:pPr>
            <w:r>
              <w:rPr/>
              <w:t>  </w:t>
            </w:r>
          </w:p>
        </w:tc>
        <w:tc>
          <w:tcPr>
            <w:tcW w:w="2164" w:type="dxa"/>
            <w:tcBorders/>
            <w:vAlign w:val="bottom"/>
          </w:tcPr>
          <w:p>
            <w:pPr>
              <w:pStyle w:val="TableContents"/>
              <w:bidi w:val="0"/>
              <w:spacing w:before="0" w:after="283"/>
              <w:jc w:val="left"/>
              <w:rPr/>
            </w:pPr>
            <w:r>
              <w:rPr/>
              <w:t>☐</w:t>
            </w:r>
          </w:p>
        </w:tc>
        <w:tc>
          <w:tcPr>
            <w:tcW w:w="109" w:type="dxa"/>
            <w:tcBorders/>
            <w:vAlign w:val="bottom"/>
          </w:tcPr>
          <w:p>
            <w:pPr>
              <w:pStyle w:val="TableContents"/>
              <w:bidi w:val="0"/>
              <w:spacing w:before="0" w:after="283"/>
              <w:jc w:val="left"/>
              <w:rPr/>
            </w:pPr>
            <w:r>
              <w:rPr/>
              <w:t> </w:t>
            </w:r>
          </w:p>
        </w:tc>
        <w:tc>
          <w:tcPr>
            <w:tcW w:w="3984" w:type="dxa"/>
            <w:tcBorders/>
            <w:vAlign w:val="bottom"/>
          </w:tcPr>
          <w:p>
            <w:pPr>
              <w:pStyle w:val="TableContents"/>
              <w:bidi w:val="0"/>
              <w:spacing w:before="0" w:after="283"/>
              <w:jc w:val="left"/>
              <w:rPr/>
            </w:pPr>
            <w:r>
              <w:rPr/>
              <w:t>Accelerated filer</w:t>
            </w:r>
          </w:p>
        </w:tc>
        <w:tc>
          <w:tcPr>
            <w:tcW w:w="10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right"/>
              <w:rPr/>
            </w:pPr>
            <w:r>
              <w:rPr/>
              <w:t>☐</w:t>
            </w:r>
          </w:p>
        </w:tc>
      </w:tr>
      <w:tr>
        <w:trPr>
          <w:trHeight w:val="60" w:hRule="atLeast"/>
        </w:trPr>
        <w:tc>
          <w:tcPr>
            <w:tcW w:w="22" w:type="dxa"/>
            <w:tcBorders/>
            <w:vAlign w:val="center"/>
          </w:tcPr>
          <w:p>
            <w:pPr>
              <w:pStyle w:val="TableContents"/>
              <w:bidi w:val="0"/>
              <w:spacing w:before="0" w:after="283"/>
              <w:jc w:val="left"/>
              <w:rPr>
                <w:sz w:val="4"/>
                <w:szCs w:val="4"/>
              </w:rPr>
            </w:pPr>
            <w:r>
              <w:rPr>
                <w:sz w:val="4"/>
                <w:szCs w:val="4"/>
              </w:rPr>
            </w:r>
          </w:p>
        </w:tc>
        <w:tc>
          <w:tcPr>
            <w:tcW w:w="3429" w:type="dxa"/>
            <w:gridSpan w:val="2"/>
            <w:tcBorders/>
            <w:vAlign w:val="center"/>
          </w:tcPr>
          <w:p>
            <w:pPr>
              <w:pStyle w:val="TableContents"/>
              <w:bidi w:val="0"/>
              <w:spacing w:before="0" w:after="283"/>
              <w:jc w:val="left"/>
              <w:rPr>
                <w:sz w:val="4"/>
                <w:szCs w:val="4"/>
              </w:rPr>
            </w:pPr>
            <w:r>
              <w:rPr>
                <w:sz w:val="4"/>
                <w:szCs w:val="4"/>
              </w:rPr>
            </w:r>
          </w:p>
        </w:tc>
        <w:tc>
          <w:tcPr>
            <w:tcW w:w="2316" w:type="dxa"/>
            <w:gridSpan w:val="2"/>
            <w:tcBorders/>
            <w:vAlign w:val="center"/>
          </w:tcPr>
          <w:p>
            <w:pPr>
              <w:pStyle w:val="TableContents"/>
              <w:bidi w:val="0"/>
              <w:spacing w:before="0" w:after="283"/>
              <w:jc w:val="left"/>
              <w:rPr>
                <w:sz w:val="4"/>
                <w:szCs w:val="4"/>
              </w:rPr>
            </w:pPr>
            <w:r>
              <w:rPr>
                <w:sz w:val="4"/>
                <w:szCs w:val="4"/>
              </w:rPr>
            </w:r>
          </w:p>
        </w:tc>
        <w:tc>
          <w:tcPr>
            <w:tcW w:w="4093" w:type="dxa"/>
            <w:gridSpan w:val="2"/>
            <w:tcBorders/>
            <w:vAlign w:val="center"/>
          </w:tcPr>
          <w:p>
            <w:pPr>
              <w:pStyle w:val="TableContents"/>
              <w:bidi w:val="0"/>
              <w:spacing w:before="0" w:after="283"/>
              <w:jc w:val="left"/>
              <w:rPr>
                <w:sz w:val="4"/>
                <w:szCs w:val="4"/>
              </w:rPr>
            </w:pPr>
            <w:r>
              <w:rPr>
                <w:sz w:val="4"/>
                <w:szCs w:val="4"/>
              </w:rPr>
            </w:r>
          </w:p>
        </w:tc>
        <w:tc>
          <w:tcPr>
            <w:tcW w:w="345" w:type="dxa"/>
            <w:gridSpan w:val="2"/>
            <w:tcBorders/>
            <w:vAlign w:val="center"/>
          </w:tcPr>
          <w:p>
            <w:pPr>
              <w:pStyle w:val="TableContents"/>
              <w:bidi w:val="0"/>
              <w:spacing w:before="0" w:after="283"/>
              <w:jc w:val="left"/>
              <w:rPr>
                <w:sz w:val="4"/>
                <w:szCs w:val="4"/>
              </w:rPr>
            </w:pPr>
            <w:r>
              <w:rPr>
                <w:sz w:val="4"/>
                <w:szCs w:val="4"/>
              </w:rPr>
            </w:r>
          </w:p>
        </w:tc>
      </w:tr>
      <w:tr>
        <w:trPr/>
        <w:tc>
          <w:tcPr>
            <w:tcW w:w="22"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320" w:type="dxa"/>
            <w:tcBorders/>
            <w:vAlign w:val="bottom"/>
          </w:tcPr>
          <w:p>
            <w:pPr>
              <w:pStyle w:val="TableContents"/>
              <w:bidi w:val="0"/>
              <w:spacing w:before="0" w:after="283"/>
              <w:jc w:val="left"/>
              <w:rPr/>
            </w:pPr>
            <w:r>
              <w:rPr/>
              <w:t>Non-accelerated filer</w:t>
            </w:r>
          </w:p>
        </w:tc>
        <w:tc>
          <w:tcPr>
            <w:tcW w:w="152" w:type="dxa"/>
            <w:tcBorders/>
            <w:vAlign w:val="bottom"/>
          </w:tcPr>
          <w:p>
            <w:pPr>
              <w:pStyle w:val="TableContents"/>
              <w:bidi w:val="0"/>
              <w:spacing w:before="0" w:after="283"/>
              <w:jc w:val="left"/>
              <w:rPr/>
            </w:pPr>
            <w:r>
              <w:rPr/>
              <w:t>  </w:t>
            </w:r>
          </w:p>
        </w:tc>
        <w:tc>
          <w:tcPr>
            <w:tcW w:w="2164" w:type="dxa"/>
            <w:tcBorders/>
            <w:vAlign w:val="bottom"/>
          </w:tcPr>
          <w:p>
            <w:pPr>
              <w:pStyle w:val="TableContents"/>
              <w:bidi w:val="0"/>
              <w:spacing w:before="0" w:after="283"/>
              <w:jc w:val="left"/>
              <w:rPr/>
            </w:pPr>
            <w:r>
              <w:rPr/>
              <w:t>☒</w:t>
            </w:r>
          </w:p>
        </w:tc>
        <w:tc>
          <w:tcPr>
            <w:tcW w:w="109" w:type="dxa"/>
            <w:tcBorders/>
            <w:vAlign w:val="bottom"/>
          </w:tcPr>
          <w:p>
            <w:pPr>
              <w:pStyle w:val="TableContents"/>
              <w:bidi w:val="0"/>
              <w:spacing w:before="0" w:after="283"/>
              <w:jc w:val="left"/>
              <w:rPr/>
            </w:pPr>
            <w:r>
              <w:rPr/>
              <w:t> </w:t>
            </w:r>
          </w:p>
        </w:tc>
        <w:tc>
          <w:tcPr>
            <w:tcW w:w="3984" w:type="dxa"/>
            <w:tcBorders/>
            <w:vAlign w:val="bottom"/>
          </w:tcPr>
          <w:p>
            <w:pPr>
              <w:pStyle w:val="TableContents"/>
              <w:bidi w:val="0"/>
              <w:spacing w:before="0" w:after="283"/>
              <w:jc w:val="left"/>
              <w:rPr/>
            </w:pPr>
            <w:r>
              <w:rPr/>
              <w:t>Smaller reporting company</w:t>
            </w:r>
          </w:p>
        </w:tc>
        <w:tc>
          <w:tcPr>
            <w:tcW w:w="10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right"/>
              <w:rPr/>
            </w:pPr>
            <w:r>
              <w:rPr/>
              <w:t>☒</w:t>
            </w:r>
          </w:p>
        </w:tc>
      </w:tr>
      <w:tr>
        <w:trPr>
          <w:trHeight w:val="60" w:hRule="atLeast"/>
        </w:trPr>
        <w:tc>
          <w:tcPr>
            <w:tcW w:w="22" w:type="dxa"/>
            <w:tcBorders/>
            <w:vAlign w:val="center"/>
          </w:tcPr>
          <w:p>
            <w:pPr>
              <w:pStyle w:val="TableContents"/>
              <w:bidi w:val="0"/>
              <w:spacing w:before="0" w:after="283"/>
              <w:jc w:val="left"/>
              <w:rPr>
                <w:sz w:val="4"/>
                <w:szCs w:val="4"/>
              </w:rPr>
            </w:pPr>
            <w:r>
              <w:rPr>
                <w:sz w:val="4"/>
                <w:szCs w:val="4"/>
              </w:rPr>
            </w:r>
          </w:p>
        </w:tc>
        <w:tc>
          <w:tcPr>
            <w:tcW w:w="3429" w:type="dxa"/>
            <w:gridSpan w:val="2"/>
            <w:tcBorders/>
            <w:vAlign w:val="center"/>
          </w:tcPr>
          <w:p>
            <w:pPr>
              <w:pStyle w:val="TableContents"/>
              <w:bidi w:val="0"/>
              <w:spacing w:before="0" w:after="283"/>
              <w:jc w:val="left"/>
              <w:rPr>
                <w:sz w:val="4"/>
                <w:szCs w:val="4"/>
              </w:rPr>
            </w:pPr>
            <w:r>
              <w:rPr>
                <w:sz w:val="4"/>
                <w:szCs w:val="4"/>
              </w:rPr>
            </w:r>
          </w:p>
        </w:tc>
        <w:tc>
          <w:tcPr>
            <w:tcW w:w="2316" w:type="dxa"/>
            <w:gridSpan w:val="2"/>
            <w:tcBorders/>
            <w:vAlign w:val="center"/>
          </w:tcPr>
          <w:p>
            <w:pPr>
              <w:pStyle w:val="TableContents"/>
              <w:bidi w:val="0"/>
              <w:spacing w:before="0" w:after="283"/>
              <w:jc w:val="left"/>
              <w:rPr>
                <w:sz w:val="4"/>
                <w:szCs w:val="4"/>
              </w:rPr>
            </w:pPr>
            <w:r>
              <w:rPr>
                <w:sz w:val="4"/>
                <w:szCs w:val="4"/>
              </w:rPr>
            </w:r>
          </w:p>
        </w:tc>
        <w:tc>
          <w:tcPr>
            <w:tcW w:w="4093" w:type="dxa"/>
            <w:gridSpan w:val="2"/>
            <w:tcBorders/>
            <w:vAlign w:val="center"/>
          </w:tcPr>
          <w:p>
            <w:pPr>
              <w:pStyle w:val="TableContents"/>
              <w:bidi w:val="0"/>
              <w:spacing w:before="0" w:after="283"/>
              <w:jc w:val="left"/>
              <w:rPr>
                <w:sz w:val="4"/>
                <w:szCs w:val="4"/>
              </w:rPr>
            </w:pPr>
            <w:r>
              <w:rPr>
                <w:sz w:val="4"/>
                <w:szCs w:val="4"/>
              </w:rPr>
            </w:r>
          </w:p>
        </w:tc>
        <w:tc>
          <w:tcPr>
            <w:tcW w:w="345" w:type="dxa"/>
            <w:gridSpan w:val="2"/>
            <w:tcBorders/>
            <w:vAlign w:val="center"/>
          </w:tcPr>
          <w:p>
            <w:pPr>
              <w:pStyle w:val="TableContents"/>
              <w:bidi w:val="0"/>
              <w:spacing w:before="0" w:after="283"/>
              <w:jc w:val="left"/>
              <w:rPr>
                <w:sz w:val="4"/>
                <w:szCs w:val="4"/>
              </w:rPr>
            </w:pPr>
            <w:r>
              <w:rPr>
                <w:sz w:val="4"/>
                <w:szCs w:val="4"/>
              </w:rPr>
            </w:r>
          </w:p>
        </w:tc>
      </w:tr>
      <w:tr>
        <w:trPr/>
        <w:tc>
          <w:tcPr>
            <w:tcW w:w="22"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320"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2164"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84" w:type="dxa"/>
            <w:tcBorders/>
            <w:vAlign w:val="bottom"/>
          </w:tcPr>
          <w:p>
            <w:pPr>
              <w:pStyle w:val="TableContents"/>
              <w:bidi w:val="0"/>
              <w:spacing w:before="0" w:after="283"/>
              <w:jc w:val="left"/>
              <w:rPr/>
            </w:pPr>
            <w:r>
              <w:rPr/>
              <w:t>Emerging growth company</w:t>
            </w:r>
          </w:p>
        </w:tc>
        <w:tc>
          <w:tcPr>
            <w:tcW w:w="109"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center"/>
              <w:rPr/>
            </w:pPr>
            <w:r>
              <w:rPr/>
              <w:t>☐</w:t>
            </w:r>
          </w:p>
        </w:tc>
      </w:tr>
    </w:tbl>
    <w:p>
      <w:pPr>
        <w:pStyle w:val="TextBody"/>
        <w:bidi w:val="0"/>
        <w:spacing w:before="6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60" w:after="0"/>
        <w:jc w:val="left"/>
        <w:rPr>
          <w:rFonts w:ascii="Times New Roman" w:hAnsi="Times New Roman"/>
          <w:sz w:val="17"/>
        </w:rPr>
      </w:pPr>
      <w:r>
        <w:rPr>
          <w:rFonts w:ascii="Times New Roman" w:hAnsi="Times New Roman"/>
          <w:sz w:val="17"/>
        </w:rPr>
        <w:t xml:space="preserve">Pursuant to Rule 429(a) under the Securities Act of 1933, as amended, the prospectus contained in this registration statement on Form S-3 relating to shares of common stock of the Company that may be sold in one or more secondary offerings by the selling stockholders named therein is a combined prospectus including shares of common stock remaining unsold under the registration statement on Form S-3 of the registrant declared effective on June 16, 2025 (File No. 333-287774).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S-3 (this “Registration Statement”) consists of two prospectuses, covering the registration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shares of preferred stock, debt securities, warrants, units and rights of KLX Energy Services Holdings, Inc.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of the Company that may be sold in one or more secondary offerings by the selling stockholders named therein (the “Secondary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Rule 429 under the Securities Act of 1933, the Secondary Prospectus is a combined prospectus relating to this Registration Statement and to the registration statement on Form S-3 (No. 333-287774) initially filed by the Company on June 4, 2025, and declared effective on June 16, 2025 (the “Initial Registration Statement”). This Registration Statement shall constitute a post-effective amendment to the Initial Registration Statement, and such post-effective amendment shall hereafter become effective concurrently with the effectiveness of this Registration Statement and in accordance with Section 8(c) of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MAY 14,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075815" cy="673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75815" cy="6731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KLX Energy Services Holdings, Inc. </w:t>
      </w:r>
    </w:p>
    <w:p>
      <w:pPr>
        <w:pStyle w:val="TextBody"/>
        <w:bidi w:val="0"/>
        <w:spacing w:before="240" w:after="0"/>
        <w:ind w:left="960" w:right="960" w:hanging="0"/>
        <w:jc w:val="center"/>
        <w:rPr>
          <w:rFonts w:ascii="Times New Roman" w:hAnsi="Times New Roman"/>
          <w:b/>
          <w:sz w:val="32"/>
        </w:rPr>
      </w:pPr>
      <w:r>
        <w:rPr>
          <w:rFonts w:ascii="Times New Roman" w:hAnsi="Times New Roman"/>
          <w:b/>
          <w:sz w:val="32"/>
        </w:rPr>
        <w:t xml:space="preserve">$250,000,000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Units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Rights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From time to time we may offer and sell shares of our common stock, par value $0.01 per share (“common stock”), preferred stock, debt securities, warrants, units and rights. The aggregate initial offering price of all shares of common stock sold by us under this prospectus will not exceed $250,000,000.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may offer and sell these securities from time to time in amounts, at prices and on terms to be determined by market conditions and other factors at the time of our offerings. This prospectus provides you with a general description of these securities and the general manner in which we will offer the securities. Each time securities are offered, we will provide a prospectus supplement that will contain specific information about the terms of that offering. Any prospectus supplement may also add, update or change information contained in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traded on the Nasdaq under the symbol “KLXE.” On May 13, 2026, the closing price of our common stock was $4.27.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You should read carefully this prospectus, the documents incorporated by reference in this prospectus and any prospectus supplement before you invest. See “</w:t>
      </w:r>
      <w:hyperlink w:anchor="tx63698_6">
        <w:r>
          <w:rPr>
            <w:rStyle w:val="InternetLink"/>
            <w:rFonts w:ascii="Times New Roman" w:hAnsi="Times New Roman"/>
            <w:b/>
            <w:sz w:val="24"/>
          </w:rPr>
          <w:t>Risk Factors</w:t>
        </w:r>
      </w:hyperlink>
      <w:r>
        <w:rPr>
          <w:rFonts w:ascii="Times New Roman" w:hAnsi="Times New Roman"/>
          <w:b/>
          <w:sz w:val="24"/>
        </w:rPr>
        <w:t xml:space="preserve">” beginning on page 2 of this prospectus for information on certain risks related to the purchase of our securities.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may sell the securities directly or to or through underwriters or dealers, and also to other purchasers or through agents. The names of any underwriters or agents that are included in a sale of securities to you, and any applicable commissions or discounts, will be stated in any accompanying prospectus supplement. In addition, the underwriters, if any, may over-allot a portion of the securities.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1"/>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tcPr>
          <w:p>
            <w:pPr>
              <w:pStyle w:val="TableContents"/>
              <w:bidi w:val="0"/>
              <w:spacing w:before="0" w:after="0"/>
              <w:jc w:val="left"/>
              <w:rPr/>
            </w:pPr>
            <w:hyperlink w:anchor="tx6369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3">
              <w:r>
                <w:rPr>
                  <w:rStyle w:val="InternetLink"/>
                  <w:rFonts w:ascii="Times New Roman" w:hAnsi="Times New Roman"/>
                  <w:sz w:val="20"/>
                </w:rPr>
                <w:t>DOCUMENTS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4">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v</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5">
              <w:r>
                <w:rPr>
                  <w:rStyle w:val="InternetLink"/>
                  <w:rFonts w:ascii="Times New Roman" w:hAnsi="Times New Roman"/>
                  <w:sz w:val="20"/>
                </w:rPr>
                <w:t>ABOUT KLX ENERGY SERVICES HOLDINGS,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9">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10">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11">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12">
              <w:r>
                <w:rPr>
                  <w:rStyle w:val="InternetLink"/>
                  <w:rFonts w:ascii="Times New Roman" w:hAnsi="Times New Roman"/>
                  <w:sz w:val="20"/>
                </w:rPr>
                <w:t>DESCRIPTION OF RIGHTS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13">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14">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63698_15">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tx6369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using a “shelf” registration process. Under this shelf registration process, we may offer and sell from time to time any combination of the securities described in this prospectus in one or more offerings up to a total dollar amount of $250,000,000. This prospectus provides you with a general description of the securities that are registered hereunder that may be offered by us. Each time we offer the securities, we will provide you with a prospectus supplement that will describe, among other things, the specific amounts and prices of the securities being offered and the terms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Any prospectus supplement may add, update, or change information contained in this prospectus. Any statement that we make in this prospectus will be modified or superseded by any inconsistent statement made by us in any prospectus supplement. The information in this prospectus is accurate as of its date. Additional information, including our financial statements and the notes thereto, is incorporated in this prospectus by reference to our reports filed with the SEC. Therefore, before you invest in our securities, you should carefully read this prospectus and any prospectus supplement relating to the securities offered to you together with the additional information incorporated by reference in this prospectus and any prospectus supplement (including the documents described under the heading “Where You Can Find More Information” and “Documents Incorporated by Reference” in both this prospectus and any prospectus supplement).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or any prospectus supplement. We have not authorized any other person to provide you with different information. If anyone provides you with different or inconsistent information, you should not rely on it. Neither we nor anyone acting on our behalf is making an offer to sell these securities in any jurisdiction where the offer or sale is not permitted. You should not assume that the information incorporated by reference or provided in this prospectus or any prospectus supplement is accurate as of any date other than the date on the front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throughout this prospectus and any applicable prospectus supplement, the words “we,” “us,” the “registrant,” “the Company,” or “KLXE” refer to KLX Energy Services Holdings, Inc.; and the term “securities” refers to the shares of our common stock registered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tx63698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offer and sale of the securities covered by this prospectus. The registration statement, including the exhibits attached thereto and incorporated by reference therein, contains additional relevant information about us. In addition, we file annual, quarterly and other reports and other information with the SEC. The SEC maintains a website that contains reports, proxy and information statements and other information regarding issuers that file electronically with the SEC. Our SEC filings are available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or through our website, </w:t>
      </w:r>
      <w:r>
        <w:rPr>
          <w:rFonts w:ascii="Times New Roman" w:hAnsi="Times New Roman"/>
          <w:i/>
          <w:sz w:val="20"/>
        </w:rPr>
        <w:t>www.klx.com</w:t>
      </w:r>
      <w:r>
        <w:rPr>
          <w:rFonts w:ascii="Times New Roman" w:hAnsi="Times New Roman"/>
          <w:sz w:val="20"/>
        </w:rPr>
        <w:t xml:space="preserve">, our filings with the SEC pursuant to Section 13(a) or 15(d) of the Securities Exchange Act of 1934, as amended (the “Exchange Act”), as soon as reasonably practicable after we electronically file such material with, or furnish it to, the SEC. We make our website content available for information purposes only. Information contained on our website is not incorporated by reference into this prospectus and does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tx63698_3"/>
      <w:bookmarkEnd w:id="5"/>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 information incorporated by reference is an important part of this prospectus. Information that we later provide to the SEC, and which is deemed to be “filed” with the SEC, will automatically update information previously filed with the SEC, and may update or replace information in this prospectus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filings we make with the SEC (Commission File No. 001-38609) under Sections 13(a), 13(c), 14, or 15(d) of the Exchange Act (excluding information deemed to be furnished and not filed with the SEC), after the date on which the registration statement was initially filed with the SEC (including all such documents that we may file with the SEC after the date the registration statement was initially filed and prior to the effectiveness of the registration statement) until all offerings under the registration statement of which this prospectus forms a part are completed or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including those portions of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on March 26, 2026,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period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w:t>
            </w:r>
            <w:hyperlink r:id="rId6">
              <w:r>
                <w:rPr>
                  <w:rStyle w:val="InternetLink"/>
                  <w:rFonts w:ascii="Times New Roman" w:hAnsi="Times New Roman"/>
                  <w:sz w:val="20"/>
                </w:rPr>
                <w:t>Form 8-K</w:t>
              </w:r>
            </w:hyperlink>
            <w:r>
              <w:rPr>
                <w:rFonts w:ascii="Times New Roman" w:hAnsi="Times New Roman"/>
                <w:sz w:val="20"/>
              </w:rPr>
              <w:t xml:space="preserve"> filed on May 11,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10 filed on </w:t>
            </w:r>
            <w:hyperlink r:id="rId7">
              <w:r>
                <w:rPr>
                  <w:rStyle w:val="InternetLink"/>
                  <w:rFonts w:ascii="Times New Roman" w:hAnsi="Times New Roman"/>
                  <w:sz w:val="20"/>
                </w:rPr>
                <w:t>July 25, 2018</w:t>
              </w:r>
            </w:hyperlink>
            <w:r>
              <w:rPr>
                <w:rFonts w:ascii="Times New Roman" w:hAnsi="Times New Roman"/>
                <w:sz w:val="20"/>
              </w:rPr>
              <w:t xml:space="preserve">, including the amendments thereto filed on </w:t>
            </w:r>
            <w:hyperlink r:id="rId8">
              <w:r>
                <w:rPr>
                  <w:rStyle w:val="InternetLink"/>
                  <w:rFonts w:ascii="Times New Roman" w:hAnsi="Times New Roman"/>
                  <w:sz w:val="20"/>
                </w:rPr>
                <w:t>August  15, 2018</w:t>
              </w:r>
            </w:hyperlink>
            <w:r>
              <w:rPr>
                <w:rFonts w:ascii="Times New Roman" w:hAnsi="Times New Roman"/>
                <w:sz w:val="20"/>
              </w:rPr>
              <w:t xml:space="preserve"> and </w:t>
            </w:r>
            <w:hyperlink r:id="rId9">
              <w:r>
                <w:rPr>
                  <w:rStyle w:val="InternetLink"/>
                  <w:rFonts w:ascii="Times New Roman" w:hAnsi="Times New Roman"/>
                  <w:sz w:val="20"/>
                </w:rPr>
                <w:t>August  24, 2018</w:t>
              </w:r>
            </w:hyperlink>
            <w:r>
              <w:rPr>
                <w:rFonts w:ascii="Times New Roman" w:hAnsi="Times New Roman"/>
                <w:sz w:val="20"/>
              </w:rPr>
              <w:t xml:space="preserve">, as amended by </w:t>
            </w:r>
            <w:hyperlink r:id="rId10">
              <w:r>
                <w:rPr>
                  <w:rStyle w:val="InternetLink"/>
                  <w:rFonts w:ascii="Times New Roman" w:hAnsi="Times New Roman"/>
                  <w:sz w:val="20"/>
                </w:rPr>
                <w:t>Exhibit 4.3</w:t>
              </w:r>
            </w:hyperlink>
            <w:r>
              <w:rPr>
                <w:rFonts w:ascii="Times New Roman" w:hAnsi="Times New Roman"/>
                <w:sz w:val="20"/>
              </w:rPr>
              <w:t xml:space="preserve"> to our Annual Report on Form 10-K for the year ended January 31, 2021, and any further amendments thereto or reports that we may file in the future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reports contain important information about us, our financial condition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copies of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prospectus), at no cost, by contacting us at: </w:t>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Investor Relations </w:t>
      </w:r>
    </w:p>
    <w:p>
      <w:pPr>
        <w:pStyle w:val="TextBody"/>
        <w:bidi w:val="0"/>
        <w:spacing w:before="0" w:after="0"/>
        <w:jc w:val="center"/>
        <w:rPr>
          <w:rFonts w:ascii="Times New Roman" w:hAnsi="Times New Roman"/>
          <w:b/>
          <w:sz w:val="20"/>
        </w:rPr>
      </w:pPr>
      <w:r>
        <w:rPr>
          <w:rFonts w:ascii="Times New Roman" w:hAnsi="Times New Roman"/>
          <w:b/>
          <w:sz w:val="20"/>
        </w:rPr>
        <w:t xml:space="preserve">3040 Post Oak Boulevard, 15th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Texas 77056 </w:t>
      </w:r>
    </w:p>
    <w:p>
      <w:pPr>
        <w:pStyle w:val="TextBody"/>
        <w:bidi w:val="0"/>
        <w:spacing w:before="0" w:after="0"/>
        <w:jc w:val="center"/>
        <w:rPr>
          <w:rFonts w:ascii="Times New Roman" w:hAnsi="Times New Roman"/>
          <w:b/>
          <w:sz w:val="20"/>
        </w:rPr>
      </w:pPr>
      <w:r>
        <w:rPr>
          <w:rFonts w:ascii="Times New Roman" w:hAnsi="Times New Roman"/>
          <w:b/>
          <w:sz w:val="20"/>
        </w:rPr>
        <w:t xml:space="preserve">(832) 844-1015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x63698_4"/>
      <w:bookmarkEnd w:id="6"/>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to which the Company refers you to in this prospectus,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businesses, strategies and plans of the Company and its expectations relating to its future financial condition and performance. Statements included in this prospectus that are not historical facts are forward-looking statements, including statements about the beliefs and expectations of the management of the Company.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prospectus, any prospectus supplement, and the information incorporated by reference in this prospectus and each prospectus supplement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the heading “Risk Factors” in our most recent Annual Report on Form 10-K filed with the SEC, as supplemented by our Quarterly Reports on Form 10-Q or our Current Reports on Form 8-K, and discussed elsewhere in this prospectus and each prospectus supplement, and the information incorporated by reference in this prospectus and each prospectus supplement.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the Company or any person action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tx63698_5"/>
      <w:bookmarkEnd w:id="7"/>
      <w:r>
        <w:rPr>
          <w:rFonts w:ascii="Times New Roman" w:hAnsi="Times New Roman"/>
          <w:b/>
          <w:sz w:val="20"/>
        </w:rPr>
        <w:t xml:space="preserve">ABOUT KLX ENERGY SERVICES HOLDINGS, INC. </w:t>
      </w:r>
    </w:p>
    <w:p>
      <w:pPr>
        <w:pStyle w:val="TextBody"/>
        <w:bidi w:val="0"/>
        <w:spacing w:before="240" w:after="0"/>
        <w:jc w:val="left"/>
        <w:rPr>
          <w:rFonts w:ascii="Times New Roman" w:hAnsi="Times New Roman"/>
          <w:sz w:val="20"/>
        </w:rPr>
      </w:pPr>
      <w:r>
        <w:rPr>
          <w:rFonts w:ascii="Times New Roman" w:hAnsi="Times New Roman"/>
          <w:sz w:val="20"/>
        </w:rPr>
        <w:t xml:space="preserve">KLXE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in over 60 service and support facilities located throughout the United States. The Company offers a complementary suite of proprietary products and specialized services is supported by technically skilled personnel and a broad portfolio of innovative in-house manufacturing, repair and maintenance capabilities. KLXE’s primary services include coiled tubing, directional drilling, hydraulic fracturing rentals, fishing, pressure control, wireline, rig-assisted snubbing, fluid pumping, flowback, testing and well control services. KLXE’s primary rentals and products include hydraulic fracturing stacks, blow out preventers, tubulars, downhole tools, dissolvable plugs, composite plugs and accommodation units.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in Delaware on June 28, 2018. On September 14, 2018, we completed our spin-off from KLX Inc. and became an independent, publicly-traded company. Our principal executive offices are located at 3040 Post Oak Boulevard, 15th Floor, Houston, Texas 77056, and our telephone number is (832) 844-1015. Our website address is www.klx.com. The information on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tx63698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each of which is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“Cautionary Statement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tx63698_7"/>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an accompanying prospectus supplement, we will use the net proceeds we receive from the sale of the securities covered by this prospectus for general corporate purposes, which may include, among other things, paying or refinancing all or a portion of our indebtedness at the time, and funding acquisitions, capital expenditures and working capital. </w:t>
      </w:r>
    </w:p>
    <w:p>
      <w:pPr>
        <w:pStyle w:val="TextBody"/>
        <w:bidi w:val="0"/>
        <w:spacing w:before="240" w:after="0"/>
        <w:jc w:val="left"/>
        <w:rPr>
          <w:rFonts w:ascii="Times New Roman" w:hAnsi="Times New Roman"/>
          <w:sz w:val="20"/>
        </w:rPr>
      </w:pPr>
      <w:r>
        <w:rPr>
          <w:rFonts w:ascii="Times New Roman" w:hAnsi="Times New Roman"/>
          <w:sz w:val="20"/>
        </w:rPr>
        <w:t xml:space="preserve">The actual application of the net proceeds from the sale of any particular offering of securities using this prospectus will be described in the applicable prospectus supplement relating to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x63698_8"/>
      <w:bookmarkEnd w:id="10"/>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common stock is not complete and may not contain all the information you should consider before investing in our common stock. This description is a summary of certain provisions contained in, and is qualified in its entirety by reference to, our amended and restated certificate of incorporation (the “Certificate”), and our fourth amended and restated bylaws (the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our authorized capital stock consists of 110 million shares of common stock, par value $0.01 per share, and 11 million shares of preferred stock, par value $0.01 per share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April 30, 2026, there were 19,911,759 shares of common stock outstanding. </w:t>
      </w:r>
    </w:p>
    <w:p>
      <w:pPr>
        <w:pStyle w:val="TextBody"/>
        <w:bidi w:val="0"/>
        <w:spacing w:before="24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Subject to the rights, if any, of the holders of any outstanding series of our preferred stock, holders of our common stock are entitled to receive dividends out of any of the Company’s funds legally available when, as and if declared by the board of directors of the Company (the “Board”).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holder of common stock is entitled to one vote per share on all matters on which stockholders are generally entitled to vote. The Certificate does not provide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If the Company liquidates, dissolves or winds up its affairs, holders of common stock are entitled to share proportionately in the assets of the Company available for distribution to stockholders, subject to the rights, if any, of the holders of any outstanding series of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All of the outstanding shares of common stock are fully paid and nonassessable. The holders of common stock have no preemptive rights and no rights to convert their common stock into any other securities, and our common stock is not subject to any redemption or sinking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and subject to the limitations prescribed by law, the Board may issue preferred stock in one or more series and may establish from time to time the number of shares to be included in such series and may fix the designation, the voting powers, if any, and preferences and relative participating, optional or other rights, if any, of the shares of each such series and any qualifications, limitations or restrictions thereof. See “ -Anti-Takeover Effects of Provisions of the Certificate and Bylaws.” </w:t>
      </w:r>
    </w:p>
    <w:p>
      <w:pPr>
        <w:pStyle w:val="TextBody"/>
        <w:bidi w:val="0"/>
        <w:spacing w:before="240" w:after="0"/>
        <w:jc w:val="left"/>
        <w:rPr>
          <w:rFonts w:ascii="Times New Roman" w:hAnsi="Times New Roman"/>
          <w:sz w:val="20"/>
        </w:rPr>
      </w:pPr>
      <w:r>
        <w:rPr>
          <w:rFonts w:ascii="Times New Roman" w:hAnsi="Times New Roman"/>
          <w:sz w:val="20"/>
        </w:rPr>
        <w:t xml:space="preserve">When and if the Company issues any shares of preferred stock, the Board will establish the number of shares and designation of such series and the voting powers, if any, and preferences and relative participating, optional or other special rights, and the qualifications, limitations and restrictions thereof, for the particular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the Certificate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and Bylaws contain, and Delaware statutory law contains, provisions that could make acquisition of the Company by means of a tender offer, a proxy contest or otherwise more difficult. These provisions are expected to discourage certain types of coercive takeover practices and takeover bids that the Board may consider inadequate and encourage persons seeking to acquire control of the Company to first negotiate with the Board. The Company believes that the benefits of increased protection of its ability to negotiate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proponent of an unfriendly or unsolicited proposal to acquire or restructure the Company outweigh the disadvantages of discouraging takeover or acquisition proposals because, among other things, negotiation of these proposals could result in an improvement of their terms. The description set forth below is only a summary and is qualified in its entirety by reference to the Certificate and the Bylaws.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w:t>
      </w:r>
      <w:r>
        <w:rPr>
          <w:rFonts w:ascii="Times New Roman" w:hAnsi="Times New Roman"/>
          <w:sz w:val="20"/>
        </w:rPr>
        <w:t xml:space="preserve">. The Certificate provides for the Board to be classified, which consists of three classes of directors. Directors of each class are elected for three-year terms, and each year the Company’s stockholders elect one class of the Company’s directors, with a term expiring at the third annual meeting of stockholders following the annual meeting at which such directors were elected. Under this classified Board structure, it would take at least two elections of directors for any individual or group to gain control of the Board. Accordingly, these provisions could discourage a third party from initiating a proxy contest, making a tender offer or otherwise attempting to gain control of the Company. </w:t>
      </w:r>
    </w:p>
    <w:p>
      <w:pPr>
        <w:pStyle w:val="TextBody"/>
        <w:bidi w:val="0"/>
        <w:spacing w:before="240" w:after="0"/>
        <w:jc w:val="left"/>
        <w:rPr>
          <w:rFonts w:ascii="Times New Roman" w:hAnsi="Times New Roman"/>
          <w:sz w:val="20"/>
        </w:rPr>
      </w:pPr>
      <w:r>
        <w:rPr>
          <w:rFonts w:ascii="Times New Roman" w:hAnsi="Times New Roman"/>
          <w:i/>
          <w:sz w:val="20"/>
        </w:rPr>
        <w:t>Number of Directors;</w:t>
      </w:r>
      <w:r>
        <w:rPr>
          <w:rFonts w:ascii="Times New Roman" w:hAnsi="Times New Roman"/>
          <w:sz w:val="20"/>
        </w:rPr>
        <w:t xml:space="preserve"> </w:t>
      </w:r>
      <w:r>
        <w:rPr>
          <w:rFonts w:ascii="Times New Roman" w:hAnsi="Times New Roman"/>
          <w:i/>
          <w:sz w:val="20"/>
        </w:rPr>
        <w:t>Filling Vacancies; Removal</w:t>
      </w:r>
      <w:r>
        <w:rPr>
          <w:rFonts w:ascii="Times New Roman" w:hAnsi="Times New Roman"/>
          <w:sz w:val="20"/>
        </w:rPr>
        <w:t xml:space="preserve">. The Certificate and Bylaws provide that the Company’s business and affairs will be managed by or under the direction of the Board. The Certificate and Bylaws provide that the Board will consist of not less than three nor more than nine members, with the exact number of directors within these limits to be fixed exclusively by the Board. In addition, the Certificate provides that any Board vacancy, including a vacancy resulting from an increase in the number of directors, may be filled solely by the affirmative vote of a majority of the remaining directors then in office, even if less than a quorum of the Board, or by the sole remaining director. Delaware statutory law provides that, if a Delaware corporation has a classified board, unless the certificate of incorporation provides otherwise, its directors may only be removed for cause. The Certificate provides that any director, or the entire Board, may be removed from office at any time, only for cause in accordance with Delaware law, by the affirmative vote of the holders of at least 66 2∕3% of the total voting power of the outstanding shares of the Company’s capital stock entitled to vote in any annual election of directors, voting as a single class. These provisions may prevent stockholders from removing incumbent directors without cause and filling the resulting vacancies with their own nominees. </w:t>
      </w:r>
    </w:p>
    <w:p>
      <w:pPr>
        <w:pStyle w:val="TextBody"/>
        <w:bidi w:val="0"/>
        <w:spacing w:before="240" w:after="0"/>
        <w:jc w:val="left"/>
        <w:rPr>
          <w:rFonts w:ascii="Times New Roman" w:hAnsi="Times New Roman"/>
          <w:sz w:val="20"/>
        </w:rPr>
      </w:pPr>
      <w:r>
        <w:rPr>
          <w:rFonts w:ascii="Times New Roman" w:hAnsi="Times New Roman"/>
          <w:i/>
          <w:sz w:val="20"/>
        </w:rPr>
        <w:t>Special Meetings</w:t>
      </w:r>
      <w:r>
        <w:rPr>
          <w:rFonts w:ascii="Times New Roman" w:hAnsi="Times New Roman"/>
          <w:sz w:val="20"/>
        </w:rPr>
        <w:t xml:space="preserve">. The Certificate and Bylaws provide that special meetings of the stockholders may only be called by the Board or certain officers of the Company. These provisions will make it more difficult for stockholders to take an action opposed by the Board. </w:t>
      </w:r>
    </w:p>
    <w:p>
      <w:pPr>
        <w:pStyle w:val="TextBody"/>
        <w:bidi w:val="0"/>
        <w:spacing w:before="240" w:after="0"/>
        <w:jc w:val="left"/>
        <w:rPr>
          <w:rFonts w:ascii="Times New Roman" w:hAnsi="Times New Roman"/>
          <w:sz w:val="20"/>
        </w:rPr>
      </w:pPr>
      <w:r>
        <w:rPr>
          <w:rFonts w:ascii="Times New Roman" w:hAnsi="Times New Roman"/>
          <w:i/>
          <w:sz w:val="20"/>
        </w:rPr>
        <w:t>No Stockholder Action by Written Consent Unless Approved by the Board</w:t>
      </w:r>
      <w:r>
        <w:rPr>
          <w:rFonts w:ascii="Times New Roman" w:hAnsi="Times New Roman"/>
          <w:sz w:val="20"/>
        </w:rPr>
        <w:t xml:space="preserve">. The Certificate and Bylaws require that all actions to be taken by stockholders must be taken at a duly called annual or special meeting, and stockholders will not be permitted to act by written consent unless both the action and the taking of the action by written consent are approved in advance by the Board. These provisions may make it more difficult for stockholders to take an action opposed by the Board. </w:t>
      </w:r>
    </w:p>
    <w:p>
      <w:pPr>
        <w:pStyle w:val="TextBody"/>
        <w:bidi w:val="0"/>
        <w:spacing w:before="240" w:after="0"/>
        <w:jc w:val="left"/>
        <w:rPr>
          <w:rFonts w:ascii="Times New Roman" w:hAnsi="Times New Roman"/>
          <w:sz w:val="20"/>
        </w:rPr>
      </w:pPr>
      <w:r>
        <w:rPr>
          <w:rFonts w:ascii="Times New Roman" w:hAnsi="Times New Roman"/>
          <w:i/>
          <w:sz w:val="20"/>
        </w:rPr>
        <w:t>Amendments to the Certificate</w:t>
      </w:r>
      <w:r>
        <w:rPr>
          <w:rFonts w:ascii="Times New Roman" w:hAnsi="Times New Roman"/>
          <w:sz w:val="20"/>
        </w:rPr>
        <w:t xml:space="preserve">. The Certificate provides that the affirmative vote of the holders of at least 66 2∕3% of the total voting power of the then-outstanding shares of common stock entitled to vote, voting as a single class, is required to amend or repeal, or adopt any provision inconsistent with certain provisions in the Certificate, including those provisions providing for a classified board, provisions regarding the filling of vacancies on the Board, provisions providing for the removal of directors, provisions regarding the calling of special meetings, provisions regarding stockholder action by written consent and provisions regarding amendment of the Certificate. These provisions may make it more difficult for stockholders to make changes to the Certificate. </w:t>
      </w:r>
    </w:p>
    <w:p>
      <w:pPr>
        <w:pStyle w:val="TextBody"/>
        <w:bidi w:val="0"/>
        <w:spacing w:before="240" w:after="0"/>
        <w:jc w:val="left"/>
        <w:rPr>
          <w:rFonts w:ascii="Times New Roman" w:hAnsi="Times New Roman"/>
          <w:sz w:val="20"/>
        </w:rPr>
      </w:pPr>
      <w:r>
        <w:rPr>
          <w:rFonts w:ascii="Times New Roman" w:hAnsi="Times New Roman"/>
          <w:i/>
          <w:sz w:val="20"/>
        </w:rPr>
        <w:t>Amendments to the Bylaws</w:t>
      </w:r>
      <w:r>
        <w:rPr>
          <w:rFonts w:ascii="Times New Roman" w:hAnsi="Times New Roman"/>
          <w:sz w:val="20"/>
        </w:rPr>
        <w:t xml:space="preserve">. The Certificate provides that the Board has the power to adopt, amend or repeal the Bylaws. Any such adoption, amendment or repeal of the Bylaws by the Board shall require approval of a majority of the entire Board. The Certificate provides that, notwithstanding any other provision of the Certificate, the affirmative vote of the holders of at least 66 2∕3% of the total voting power of the then-outstanding shares of common stock entitled to vote, voting as a single class, is required for the Company’s stockholders to amend or repeal, or adopt any provisions in the Bylaws. These provisions may make it more difficult for stockholders to make changes to the Bylaws that are opposed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Requirements for Advance Notification of Stockholder Nomination and Proposals</w:t>
      </w:r>
      <w:r>
        <w:rPr>
          <w:rFonts w:ascii="Times New Roman" w:hAnsi="Times New Roman"/>
          <w:sz w:val="20"/>
        </w:rPr>
        <w:t xml:space="preserve">. Under the Bylaws, stockholders of record may nominate persons for election to the Board or bring other business constituting a proper matter for stockholder action at annual meetings only by providing proper notice to the Company secretary. Proper notice must be generally received not less than 90 days nor more than 120 days prior to the first anniversary date of the annual meeting for the preceding year (or, in some cases, prior to the tenth day following the announcement of the meeting) and must include, among other information, the name and address of the stockholder giving the notice, certain information relating to each person whom such stockholder proposes to nominate for election as a director and a brief description of any business such stockholder proposes to bring before the meeting. Nothing in the Bylaws may be deemed to affect any rights of stockholders to request inclusion of proposals in the Company’s proxy statement pursuant to Rule 14a-8 under the Exchange Act. Contests for the election of directors or the consideration of stockholder proposals will be precluded if the proper procedures are not followed. Third parties may therefore be discouraged from conducting a solicitation of proxies to elect their own slate of directors or to approve their own proposals. </w:t>
      </w:r>
    </w:p>
    <w:p>
      <w:pPr>
        <w:pStyle w:val="TextBody"/>
        <w:bidi w:val="0"/>
        <w:spacing w:before="240" w:after="0"/>
        <w:jc w:val="left"/>
        <w:rPr>
          <w:rFonts w:ascii="Times New Roman" w:hAnsi="Times New Roman"/>
          <w:sz w:val="20"/>
        </w:rPr>
      </w:pPr>
      <w:r>
        <w:rPr>
          <w:rFonts w:ascii="Times New Roman" w:hAnsi="Times New Roman"/>
          <w:i/>
          <w:sz w:val="20"/>
        </w:rPr>
        <w:t>Exclusive Forum Selection</w:t>
      </w:r>
      <w:r>
        <w:rPr>
          <w:rFonts w:ascii="Times New Roman" w:hAnsi="Times New Roman"/>
          <w:sz w:val="20"/>
        </w:rPr>
        <w:t xml:space="preserve">. The Bylaws provide that, unless the Company consents in writing to the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our company, any action asserting a claim of breach of a fiduciary duty owed by any our directors, officers, employees or agents to our company or our stockholders, any action asserting a claim arising pursuant to any provision of the Delaware General Corporation Law (the “DGCL”), the Certificate or our Bylaws, or any action asserting a claim governed by the internal affairs doctrine. This provision may limit a stockholder’s ability to bring a claim in a judicial forum that it finds favorable for intra-corporate disputes with us or our directors, officers, employees or agents, which may discourage such lawsuits.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DGCL generally provides that, subject to certain specified exceptions, a corporation will not engage in any “business combination” with any “interested stockholder” for a three-year period following the time that such stockholder becomes an interested stockholder unless (1) before that time, the board of directors of the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the corporation outstanding at the time the transaction commenced (excluding certain shares) or (3) on or after such time, both the board of directors of the corporation and at least 66 2∕3% of the outstanding voting stock that is not owned by the interested stockholder approves the business combination. Section 203 of the DGCL generally defines an “interested stockholder” to include (x) any person that owns 15% or more of the outstanding voting stock of the corporation or is an affiliate or associate of the corporation and owned 15% or more of the outstanding voting stock of the corporation at any time within three years immediately prior to the relevant date and (y) the affiliates and associates of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generally defines a “business combination” to include (1) mergers and sales or other dispositions of 10% or more of the corporation’s assets with or to an interested stockholder, (2) certain transactions resulting in the issuance or transfer to the interested stockholder of any stock of the corporation or its subsidiaries, (3) certain transactions that would increase the proportionate share of the stock of the corporation or its subsidiaries owned by the interested stockholder and (4) receipt by the interested stockholder of the benefit (except proportionately as a stockholder) of any loans, advances, guarantees, pledges or other financial benefits.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Section 203 of the DGCL makes it more difficult for a person who would be an “interested stockholder” to effect various business combinations with a corporation for a three-year period. A corporation may elect not to be governed by the restrictions on business combination under Section 203 by adopting provisions of its certificate of incorporation or bylaws in accordance with Section 203.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Certificate nor the Bylaws exclude the Company from the restrictions imposed under Section 203 of the DGCL. Section 203 may encourage companies interested in acquiring the Company to negotiate in advance with the Board as the restrictions on business combinations will apply unless the Board approves, prior to the time the stockholder becomes an interested stockholder, either the business combination or the transaction that results in the stockholder becoming an interested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ticker symbol “KLXE.”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tx63698_9"/>
      <w:bookmarkEnd w:id="11"/>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covered by this prospectus (the “debt securities”) will be general unsecured obligations of KLXE. KLXE may issue debt securities under an indenture to be entered into with a trustee we will name in the prospectus supplement relating to such securities, which we refer to in this prospectus as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the debt securities and select provisions that may be included in a future indenture below. This summary is not complete. We have filed the form of indenture with the SEC as an exhibit to the registration statement and you should read such indenture for provisions that may be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may be issued under the indenture, and does not limit the amount of other unsecured debt or securities that may be issued. The issuer may issue debt securities under the indenture from time to time in one or more series, each in an amount authorized prior to issuance.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either constitute the issuer’s senior unsecured indebtedness and will rank equally in right of payment with all of the issuer’s other unsecured and unsubordinated debt and senior in right of payment to all of the issuer’s subordinated indebtedness, or constitute the issuer’s subordinated unsecured indebtedness and will rank junior to all of the issuer’s senior indebtedness and may rank equally with or senior to other subordinated indebtedness the issuer may issue from time to time. The debt securities will be effectively subordinated to, and thus have a junior position to, the issuer’s secured indebtedness with respect to the assets securing that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not contain any covenants or other provisions designed to protect holders of the debt securities in the event the issuer participates in a highly leveraged transaction or upon a change of control. The indenture also will not contain provisions that give holders of the debt securities the right to require us to repurchase our securities in the event of a decline in our credit rating for any reason, including as a result of a takeover, recapitalization or similar restructuring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Terms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any series of debt securities being offered will include specific terms relating to the offering.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guarantor of the debt securities,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senior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issuer will issue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issuer will issue the debt securities in individual certificates to each holder or in the form of temporary or permanent global securities held by a depositary on behalf of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and any premium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interest rate, the date from which interest will accrue, interest payment dates and record dates for interest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the issuer will pay any additional amounts with respect to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payments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optional redemption or early repayment;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or other provisions that would obligate the issuer to redeem, purchase or repay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issuer will issue the debt securities if other than $1,000 and integral multiples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payments on the debt securities will be payable in foreign currency or currency unit or another form and whether payments will be payable by reference to any index or formula;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the principal amount of debt securities that will be payable if the maturity is accelerated, if other than the entire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means of defeasance of the debt securities, any additional conditions or limitations to defeasance of the debt securities or any changes to those conditions or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or additions to the events of default or covenants described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or other provisions relating to the transfer or exchange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for the conversion or exchange of the debt securities for other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not inconsistent with the applicable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may sell the debt securities at a discount, which may be substantial, below their stated principal amount. These debt securities may bear no interest or interest at a rate that at the time of issuance is below market rates. If the issuer sells these debt securities, the issuer will describe in the prospectus supplement any material United States federal income tax consequences and other special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If the issuer sells any of the debt securities for any foreign currency or currency unit or if payments on the debt securities are payable in any foreign currency or currency unit, the issuer will describe in the prospectus supplement the restrictions, elections, tax consequences, specific terms and other information relating to those debt securities and the foreign currency or currency unit.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the issuer informs you otherwise in the applicable prospectus supplement, the following are events of default with respect to a series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interest on any debt security of that series for 30 days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principal of or any premium on any debt security of that series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deposit any sinking fund payment for 30 days when due;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any agreement in that series of debt securities or the indenture (other than an agreement or covenant that has been included in the indenture solely for the benefit of other series of debt securities) within 90 days after receipt of written notice by the trustee or by the holders of at least 25% in principal amount of the outstanding debt securities issued under the indenture that are affected by that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events involving bankruptcy, insolvency or reorganization of the issuer;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for that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default under one series of debt securities will not necessarily be a default under any other series. If a default or event of default for any series of debt securities occurs, is continuing and is known to the trustee,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will notify the holders of applicable debt securities within 90 days after it occurs. The trustee may withhold notice to the holders of the debt securities of any default or event of default, except in any payment on the debt securities, if the trustee in good faith determines that withholding notice is in the interests of the holders of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for any series of debt securities occurs and is continuing, the trustee or the holders of at least 25% in principal amount of the outstanding debt securities of the series affected by the default (or, in some cases, 25% in principal amount of all debt securities issued under the indenture that are affected, voting as one class) may declare the principal of and all accrued and unpaid interest on those debt securities to be due and payable immediately. If an event of default relating to certain events of bankruptcy, insolvency or reorganization of the issuer occurs, the principal of and accrued and unpaid interest on all the debt securities issued under the indenture will become immediately due and payable without any action on the part of the trustee or any holder. At any time after a declaration of acceleration has been made, the holders of a majority in principal amount of the outstanding debt securities of the series affected by the default (or, in some cases, of all debt securities issued under the indenture that are affected, voting as one class) may in some cases rescind this accelerated payment requirement and its consequences. </w:t>
      </w:r>
    </w:p>
    <w:p>
      <w:pPr>
        <w:pStyle w:val="TextBody"/>
        <w:bidi w:val="0"/>
        <w:spacing w:before="240" w:after="0"/>
        <w:jc w:val="left"/>
        <w:rPr>
          <w:rFonts w:ascii="Times New Roman" w:hAnsi="Times New Roman"/>
          <w:sz w:val="20"/>
        </w:rPr>
      </w:pPr>
      <w:r>
        <w:rPr>
          <w:rFonts w:ascii="Times New Roman" w:hAnsi="Times New Roman"/>
          <w:sz w:val="20"/>
        </w:rPr>
        <w:t xml:space="preserve">A holder of a debt security of any series issued under the indenture may pursue any remedy under the indenture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previously given to the trustee written notice of a continuing event of default with respect to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outstanding debt securities of that series make a written request to the trustee to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offer to the trustee indemnity satisfactory to the trustee against any loss, liability or expense;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that 60-day period, the holders of a majority in principal amount of the debt securities of that series do not give the trustee a direction inconsistent with the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provision does not, however, affect the right of a holder of a debt security to sue for enforcement of any overdue payment. </w:t>
      </w:r>
    </w:p>
    <w:p>
      <w:pPr>
        <w:pStyle w:val="TextBody"/>
        <w:bidi w:val="0"/>
        <w:spacing w:before="240" w:after="0"/>
        <w:jc w:val="left"/>
        <w:rPr>
          <w:rFonts w:ascii="Times New Roman" w:hAnsi="Times New Roman"/>
          <w:sz w:val="20"/>
        </w:rPr>
      </w:pPr>
      <w:r>
        <w:rPr>
          <w:rFonts w:ascii="Times New Roman" w:hAnsi="Times New Roman"/>
          <w:sz w:val="20"/>
        </w:rPr>
        <w:t xml:space="preserve">In most cases, the trustee will be under no obligation to exercise any of its rights or powers under the indenture at the request or direction of any of the holders unless those holders have offered to the trustee indemnity satisfactory to it. Subject to this provision for indemnification, the holders of a majority in principal amount of the outstanding debt securities of a series (or of all debt securities issued under the applicable indenture that are affected, voting as one class) generally may direct the time, method and place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conducting any proceeding for any remedy available to the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exercising any trust or power conferred on the trustee relating to or arising as a result of an event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will be required to use the degree of care and skill of a prudent person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require the issuer to furnish to the trustee annually a statement as to the issuer’s performance of certain of the issuer’s obligations under the indentures and as to any default in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b/>
          <w:i/>
          <w:sz w:val="20"/>
        </w:rPr>
        <w:t>Defeasance</w:t>
      </w:r>
      <w:r>
        <w:rPr>
          <w:rFonts w:ascii="Times New Roman" w:hAnsi="Times New Roman"/>
          <w:sz w:val="20"/>
        </w:rPr>
        <w:t xml:space="preserve">. When we use the term defeasance, we mean discharge from some or all of the issuer’s obligations under the indenture. If the issuer deposits with the trustee under the indenture any combination of money or government securities sufficient to make payments on the debt securities of a series issued under the indenture on the dates those payments are due, then, at the issuer’s option, either of the following will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will be discharged from the issuer’s obligations with respect to the debt securities of that series (“legal defeasance”);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will no longer have any obligation to comply with specified restrictive covenants with respect to the debt securities of that series and the related events of default will no longer apply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series of debt securities is defeased, the holders of the debt securities of that series will not be entitled to the benefits of the applicable indenture, except for obligations to register the transfer or exchange of debt securities, replace stolen, lost or mutilated debt securities or maintain paying agencies and hold money for payment in trust. In the case of covenant defeasance, the issuer’s obligation to pay principal, premium and interest on the debt securities will also survive. </w:t>
      </w:r>
    </w:p>
    <w:p>
      <w:pPr>
        <w:pStyle w:val="TextBody"/>
        <w:bidi w:val="0"/>
        <w:spacing w:before="240" w:after="0"/>
        <w:jc w:val="left"/>
        <w:rPr>
          <w:rFonts w:ascii="Times New Roman" w:hAnsi="Times New Roman"/>
          <w:sz w:val="20"/>
        </w:rPr>
      </w:pPr>
      <w:r>
        <w:rPr>
          <w:rFonts w:ascii="Times New Roman" w:hAnsi="Times New Roman"/>
          <w:sz w:val="20"/>
        </w:rPr>
        <w:t xml:space="preserve">Unless the issuer informs you otherwise in the prospectus supplement, the issuer will be required to deliver to the trustee an opinion of counsel that the deposit and related defeasance would not cause the holders of the debt securities to recognize income, gain or loss for U.S. federal income tax purposes and that the holders would be subject to U.S. federal income tax on the same amounts, in the same manner and at the same times as would have been the case if the deposit and related defeasance had not occurred. If the issuer elects legal defeasance, that opinion of counsel must be based upon a ruling from the United States Internal Revenue Service or a change in law to that effect. </w:t>
      </w:r>
    </w:p>
    <w:p>
      <w:pPr>
        <w:pStyle w:val="TextBody"/>
        <w:bidi w:val="0"/>
        <w:spacing w:before="240" w:after="0"/>
        <w:jc w:val="left"/>
        <w:rPr>
          <w:rFonts w:ascii="Times New Roman" w:hAnsi="Times New Roman"/>
          <w:sz w:val="20"/>
        </w:rPr>
      </w:pPr>
      <w:r>
        <w:rPr>
          <w:rFonts w:ascii="Times New Roman" w:hAnsi="Times New Roman"/>
          <w:b/>
          <w:i/>
          <w:sz w:val="20"/>
        </w:rPr>
        <w:t>Satisfaction and Discharge</w:t>
      </w:r>
      <w:r>
        <w:rPr>
          <w:rFonts w:ascii="Times New Roman" w:hAnsi="Times New Roman"/>
          <w:sz w:val="20"/>
        </w:rPr>
        <w:t xml:space="preserve">. In addition, the indenture will cease to be of further effect with respect to the debt securities of a series issued under the indenture, subject to exceptions relating to compensation and indemnity of the trustee under the indenture and repayment to the issuer of excess money or government securities, when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debt securities of that series have been delivered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outstanding debt securities of that series not delivered to the trustee for cancellation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become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become due and payable at their stated maturity within one year,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to be called for redemption within one year;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has deposited with the trustee any combination of money or government securities in trust sufficient to pay the entire indebtedness on the debt securities of that series when due; and the issuer has paid all other sums payable by the issuer with respect to the debt securities of that series.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issue the debt securities of a series in the form of one or more global debt securities that would be deposited with a depositary or its nominee identified in the prospectus supplement. The issuer may issue global debt securities in either temporary or permanent form. The issuer will describe in the prospectus supplement the terms of any depositary arrangement and the rights and limitations of owners of beneficial interests in any global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New York law will govern the indenture and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name the trustee under the indenture in the prospectus supplement. The trustee will be qualified to act under the Trust Indenture Act of 1939,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tx63698_10"/>
      <w:bookmarkEnd w:id="12"/>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shares of our preferred stock.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forms of the warrant agreement and the warrant certificate, if any,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if any,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Stock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supplement relating to a particular issue of warrants to issue shares of our common stock or shares of our preferred stock will describe the terms of the common share warrants and preferred share warrants,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for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shares of common stock or shares of preferred stock that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changes or adjustments to 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that the warrants are issued with and the number of warrants issued with each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any securities issued with the warrants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shares of preferred stock that may be purchased upon exercise of a warrant and the price at which the shares may be purchased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material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or call provisions, if any,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any other information we think is important about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of the warrant to purchase at the exercise price set forth in the applicable prospectus supplement the number of shares of common stock or shares of preferred stock being offered. Holders may exercise warrants at any time up to the close of business on the expiration date set forth in the applicable prospectus supplement. After the close of business on the expiration date, unexercised warrants are void. </w:t>
      </w:r>
    </w:p>
    <w:p>
      <w:pPr>
        <w:pStyle w:val="TextBody"/>
        <w:bidi w:val="0"/>
        <w:spacing w:before="0" w:after="0"/>
        <w:jc w:val="left"/>
        <w:rPr>
          <w:rFonts w:ascii="Times New Roman" w:hAnsi="Times New Roman"/>
          <w:sz w:val="20"/>
        </w:rPr>
      </w:pPr>
      <w:r>
        <w:rPr>
          <w:rFonts w:ascii="Times New Roman" w:hAnsi="Times New Roman"/>
          <w:sz w:val="20"/>
        </w:rPr>
        <w:t xml:space="preserve">Holders may exercise warrants as set forth in the prospectus supplement relating to the warrants being offered. </w:t>
      </w:r>
    </w:p>
    <w:p>
      <w:pPr>
        <w:pStyle w:val="TextBody"/>
        <w:bidi w:val="0"/>
        <w:spacing w:before="240" w:after="0"/>
        <w:jc w:val="left"/>
        <w:rPr>
          <w:rFonts w:ascii="Times New Roman" w:hAnsi="Times New Roman"/>
          <w:sz w:val="20"/>
        </w:rPr>
      </w:pPr>
      <w:r>
        <w:rPr>
          <w:rFonts w:ascii="Times New Roman" w:hAnsi="Times New Roman"/>
          <w:sz w:val="20"/>
        </w:rPr>
        <w:t xml:space="preserve">Until a holder exercises the warrants to purchase our shares of common stock or shares of preferred stock, the holder will not have any rights as a holder of our shares of common stock or shares of preferred stock, as the case may be, by virtue of ownership of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x63698_11"/>
      <w:bookmarkEnd w:id="13"/>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if any, under which a unit is issued may provide that the securities comprising the unit may not be held or transferred separately, at any time or at any time before a specified date. If applicable, we will file with the SEC as exhibits to the registration statement of which this prospectus is a part, or will incorporate by reference from a Current Report on Form 8-K filed with the SEC, any unit agreement describing the terms and conditions of such units that we are offering before the issuance of such units.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and provisions of units offered by any prospectus supplement, and the extent to which the general terms and provisions described below may apply thereto, will be described in the prospectus supplement filed in respect of such units. This description will include,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aggregate number of units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units will be offered, including provisions for changes to or adjustments in price at which units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 in which the units are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units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securities that may be purchased upon exercise of each unit and the price at which and currency or currency unit in which that amount of securities may be purchased upon exercise of each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conditions and rights (or limitations on such rights) of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reserve the right to set forth in a prospectus supplement specific terms of the units that are not within the options and parameters set forth in this prospectus. In addition, to the extent that any particular terms of the units described in a prospectus supplement differ from any of the terms described in this prospectus, the description of such terms set forth in this prospectus shall be deemed to have been superseded by the description of such differing terms set forth in such prospectus supplement with respect to such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x63698_12"/>
      <w:bookmarkEnd w:id="14"/>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to our stockholders to purchase shares of our common stock or preferred stock. We may offer rights separately or together with one or more additional rights,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The particular terms of the rights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in a prospectus supplement the following terms of the rights being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stockholders entitled to the rights distribution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shares of common stock or preferred stock purchasable upon exercise of the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rights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rights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ability to exercise the rights will commence, and the date on which such ability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conditions to the completion of the offering,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withdrawal, termination, and cancellation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rights, including terms, procedures and limitations relating to the distribution, exchange, and exercise of the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right will entitle the holder of rights to purchase, for cash, the number of shares of common stock or preferred stock at the exercise price provided in the applicable prospectus supplement. Rights may be exercised at any time up to the close of business on the expiration date for the rights provided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tx63698_13"/>
      <w:bookmarkEnd w:id="1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or distribute the securities offered by this prospectus in any one or more of the following ways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one or more underwriters, initial purchasers,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to investors or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short or long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put or call option transactions relating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agents, stockholders or other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though 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terms of the offering and the method of distribution and will identify any firms acting as underwriters, initial purchasers, dealers, or agents in connection with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to us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(whether or not for over-allotments) under which the underwriters may purchase additional shares of common stock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concessions, commissions, or agency fees and other items constituting compensation to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by underwriters or dealers to other dealers;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common stock offered in the prospectus supplement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 </w:t>
      </w:r>
    </w:p>
    <w:p>
      <w:pPr>
        <w:pStyle w:val="TextBody"/>
        <w:bidi w:val="0"/>
        <w:spacing w:before="240" w:after="0"/>
        <w:jc w:val="left"/>
        <w:rPr>
          <w:rFonts w:ascii="Times New Roman" w:hAnsi="Times New Roman"/>
          <w:sz w:val="20"/>
        </w:rPr>
      </w:pPr>
      <w:r>
        <w:rPr>
          <w:rFonts w:ascii="Times New Roman" w:hAnsi="Times New Roman"/>
          <w:sz w:val="20"/>
        </w:rPr>
        <w:t xml:space="preserve">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We may sell or distribute the securities directly in transactions not involving underwriters, dealers, or agents. </w:t>
      </w:r>
    </w:p>
    <w:p>
      <w:pPr>
        <w:pStyle w:val="TextBody"/>
        <w:bidi w:val="0"/>
        <w:spacing w:before="240" w:after="0"/>
        <w:jc w:val="left"/>
        <w:rPr>
          <w:rFonts w:ascii="Times New Roman" w:hAnsi="Times New Roman"/>
          <w:sz w:val="20"/>
        </w:rPr>
      </w:pPr>
      <w:r>
        <w:rPr>
          <w:rFonts w:ascii="Times New Roman" w:hAnsi="Times New Roman"/>
          <w:sz w:val="20"/>
        </w:rPr>
        <w:t xml:space="preserve">We may sell or distribute the securities directly to institutional investors or others who may be deemed to be underwriters within the meaning of the Securities Act with respect to any sale of those securities. We will describe the terms of any such sales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may engage in transactions with or perform services for us in the ordinary course of their businesses for which they may receive customary fees and reimbursement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with whom we have a material relationship. We will describe the nature of such relationship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securities offered by this prospectus may be sold in those states only through registered or licensed brokers or dealers.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x63698_14"/>
      <w:bookmarkEnd w:id="16"/>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securities offered in this prospectus will be passed upon for us by Vinson &amp; Elkins L.L.P., Houston, Texas. If certain legal matters in connection with an offering of the securities made by this prospectus and a related prospectus supplement are passed upon by counsel for the underwriters of such offering, that counsel will be named in the applicable prospectus supplement related to that offering. </w:t>
      </w:r>
    </w:p>
    <w:p>
      <w:pPr>
        <w:pStyle w:val="TextBody"/>
        <w:bidi w:val="0"/>
        <w:spacing w:before="480" w:after="0"/>
        <w:jc w:val="center"/>
        <w:rPr>
          <w:rFonts w:ascii="Times New Roman" w:hAnsi="Times New Roman"/>
          <w:b/>
          <w:sz w:val="20"/>
        </w:rPr>
      </w:pPr>
      <w:bookmarkStart w:id="17" w:name="tx63698_15"/>
      <w:bookmarkEnd w:id="17"/>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KLX Energy Services Holdings,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color w:val="FF4338"/>
          <w:sz w:val="20"/>
        </w:rPr>
      </w:pPr>
      <w:r>
        <w:rPr>
          <w:rFonts w:ascii="ARIAL" w:hAnsi="ARIAL"/>
          <w:b/>
          <w:color w:val="FF4338"/>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May 14, 2026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075815" cy="673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075815" cy="67310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KLX Energy Services Holdings,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2,175,887 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securities to be offered and sold using this prospectus include up to 2,175,887 shares of our common stock, par value $0.01 per share (“common stock”), issuable to the selling stockholders named in this prospectus or in any supplement to this prospectus from time to time (the “selling stockholders”) upon exercise of certain warrants to purchase shares of our common stock (“Warrants”). These shares of common stock may be offered and sold by the selling stockholders from time to time in accordance with the provisions set forth under “Plan of Distribution.”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describes some of the general terms and conditions that may apply to the securities. We will provide the specific terms and conditions of the securities in one or more supplements to this prospectus. You should read this entire prospectus and the applicable prospectus supplement carefully before you make your investment decision. See “Where You Can Find More Information” and “Documents Incorporated by Reference” in both this prospectus and any prospectus supplement for more information.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may offer and sell the securities offered by this prospectus from time to time in amounts, at prices and on terms to be determined by market conditions and other factors at the time of any such offerings. The selling stockholders may sell the securities at prevailing market prices or at prices negotiated with buyers. The selling stockholders will be responsible for any commissions due to brokers, dealers or agents and offering expenses. We will not receive any of the proceeds from the sale by the selling stockholders of the securities offered by this prospectus.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registering the securities for sale by the selling stockholders pursuant to the warrant agreements, dated as of March 12, 2025, March 6, 2026, and March 11, 2026 (the “Warrant Agreements”), with holders of the Warrants.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traded on the Nasdaq Global Select Market (“Nasdaq”) under the symbol “KLXE.” On May 13, 2026, the closing price of our common stock was $4.27.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You should read carefully this prospectus, the documents incorporated by reference in this prospectus and any prospectus supplement before you invest. See “</w:t>
      </w:r>
      <w:hyperlink w:anchor="txa63698_6">
        <w:r>
          <w:rPr>
            <w:rStyle w:val="InternetLink"/>
            <w:rFonts w:ascii="Times New Roman" w:hAnsi="Times New Roman"/>
            <w:b/>
            <w:sz w:val="24"/>
          </w:rPr>
          <w:t>Risk Factors</w:t>
        </w:r>
      </w:hyperlink>
      <w:r>
        <w:rPr>
          <w:rFonts w:ascii="Times New Roman" w:hAnsi="Times New Roman"/>
          <w:b/>
          <w:sz w:val="24"/>
        </w:rPr>
        <w:t xml:space="preserve">” beginning on page 2 of this prospectus for information on certain risks related to the purchase of our securities.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selling stockholders may sell the securities directly to or through underwriters or dealers, and also to other purchasers or through agents on a continuous or delayed basis. The names of any underwriters or agents that are included in a sale of securities to you, and any applicable commissions or discounts, will be stated in any accompanying prospectus supplement. In addition, the underwriters, if any, may over-allot a portion of the securities.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oc"/>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2">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iii</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3">
              <w:r>
                <w:rPr>
                  <w:rStyle w:val="InternetLink"/>
                  <w:rFonts w:ascii="Times New Roman" w:hAnsi="Times New Roman"/>
                  <w:sz w:val="20"/>
                </w:rPr>
                <w:t>DOCUMENTS INCORPORATED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iv</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4">
              <w:r>
                <w:rPr>
                  <w:rStyle w:val="InternetLink"/>
                  <w:rFonts w:ascii="Times New Roman" w:hAnsi="Times New Roman"/>
                  <w:sz w:val="20"/>
                </w:rPr>
                <w:t>CAUTIONARY STATEMENT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v</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5">
              <w:r>
                <w:rPr>
                  <w:rStyle w:val="InternetLink"/>
                  <w:rFonts w:ascii="Times New Roman" w:hAnsi="Times New Roman"/>
                  <w:sz w:val="20"/>
                </w:rPr>
                <w:t>ABOUT KLX ENERGY SERVICES HOLDINGS, INC.</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8">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9">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10">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11">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284" w:type="dxa"/>
            <w:tcBorders/>
          </w:tcPr>
          <w:p>
            <w:pPr>
              <w:pStyle w:val="TableContents"/>
              <w:bidi w:val="0"/>
              <w:spacing w:before="0" w:after="0"/>
              <w:jc w:val="left"/>
              <w:rPr/>
            </w:pPr>
            <w:hyperlink w:anchor="txa63698_12">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a63698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using a “shelf” registration process. Under this shelf registration process, the selling stockholders may offer and sell from time to time the securities described in this prospectus in one or more offerings. This prospectus provides you with a general description of the securities that are registered hereunder that may be offered by the selling stockholders. Each time any selling stockholders offer the securities, the selling stockholders will provide you with a prospectus supplement that will describe, among other things, the specific amounts and prices of the securities being offered and the terms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Any prospectus supplement may add, update, or change information contained in this prospectus. Any statement that we make in this prospectus will be modified or superseded by any inconsistent statement made by us in any prospectus supplement. The information in this prospectus is accurate as of its date. Additional information, including our financial statements and the notes thereto, is incorporated in this prospectus by reference to our reports filed with the SEC. Therefore, before you invest in our securities, you should carefully read this prospectus and any prospectus supplement relating to the securities offered to you together with the additional information incorporated by reference in this prospectus and any prospectus supplement (including the documents described under the heading “Where You Can Find More Information” and “Documents Incorporated by Reference” in both this prospectus and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you should not place undue reliance on this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or incorporated by reference in this prospectus or any prospectus supplement. Neither we nor the selling stockholders have authorized any other person to provide you with different information. If anyone provides you with different or inconsistent information, you should not rely on it. Neither we, the selling stockholders nor anyone acting on our behalf is making an offer to sell these securities in any jurisdiction where the offer or sale is not permitted. You should not assume that the information incorporated by reference or provided in this prospectus or any prospectus supplement is accurate as of any date other than the date on the front of those documents.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throughout this prospectus and any applicable prospectus supplement, the words “we,” “us,” the “registrant,” “the Company,” or “KLXE” refer to KLX Energy Services Holdings, Inc.; and the term “securities” refers to the shares of our common stock registered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a63698_2"/>
      <w:bookmarkEnd w:id="2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registration statement with the SEC under the Securities Act of 1933, as amended (the “Securities Act”), that registers the offer and sale of the securities covered by this prospectus. The registration statement, including the exhibits attached thereto and incorporated by reference therein, contains additional relevant information about us. In addition, we file annual, quarterly and other reports and other information with the SEC. The SEC maintains a website that contains reports, proxy and information statements and other information regarding issuers that file electronically with the SEC. Our SEC filings are available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make available free of charge on or through our website, </w:t>
      </w:r>
      <w:r>
        <w:rPr>
          <w:rFonts w:ascii="Times New Roman" w:hAnsi="Times New Roman"/>
          <w:i/>
          <w:sz w:val="20"/>
        </w:rPr>
        <w:t>www.klx.com</w:t>
      </w:r>
      <w:r>
        <w:rPr>
          <w:rFonts w:ascii="Times New Roman" w:hAnsi="Times New Roman"/>
          <w:sz w:val="20"/>
        </w:rPr>
        <w:t xml:space="preserve">, our filings with the SEC pursuant to Section 13(a) or 15(d) of the Securities Exchange Act of 1934, as amended (the “Exchange Act”), as soon as reasonably practicable after we electronically file such material with, or furnish it to, the SEC. We make our website content available for information purposes only. Information contained on our website is not incorporated by reference into this prospectus and does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a63698_3"/>
      <w:bookmarkEnd w:id="21"/>
      <w:r>
        <w:rPr>
          <w:rFonts w:ascii="Times New Roman" w:hAnsi="Times New Roman"/>
          <w:b/>
          <w:sz w:val="20"/>
        </w:rPr>
        <w:t xml:space="preserve">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 information incorporated by reference is an important part of this prospectus. Information that we later provide to the SEC, and which is deemed to be “filed” with the SEC, will automatically update information previously filed with the SEC, and may update or replace information in this prospectus and information previously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and any filings we make with the SEC (Commission File No. 001-38609) under Sections 13(a), 13(c), 14, or 15(d) of the Exchange Act (excluding information deemed to be furnished and not filed with the SEC), after the date on which the registration statement was initially filed with the SEC (including all such documents that we may file with the SEC after the date the registration statement was initially filed and prior to the effectiveness of the registration statement) until all offerings under the registration statement of which this prospectus forms a part are completed or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2025, including those portions of our definitive proxy statement on </w:t>
            </w:r>
            <w:hyperlink r:id="rId13">
              <w:r>
                <w:rPr>
                  <w:rStyle w:val="InternetLink"/>
                  <w:rFonts w:ascii="Times New Roman" w:hAnsi="Times New Roman"/>
                  <w:sz w:val="20"/>
                </w:rPr>
                <w:t>Schedule 14A</w:t>
              </w:r>
            </w:hyperlink>
            <w:r>
              <w:rPr>
                <w:rFonts w:ascii="Times New Roman" w:hAnsi="Times New Roman"/>
                <w:sz w:val="20"/>
              </w:rPr>
              <w:t xml:space="preserve">, filed on March 26, 2026,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14">
              <w:r>
                <w:rPr>
                  <w:rStyle w:val="InternetLink"/>
                  <w:rFonts w:ascii="Times New Roman" w:hAnsi="Times New Roman"/>
                  <w:sz w:val="20"/>
                </w:rPr>
                <w:t>Form 10-Q</w:t>
              </w:r>
            </w:hyperlink>
            <w:r>
              <w:rPr>
                <w:rFonts w:ascii="Times New Roman" w:hAnsi="Times New Roman"/>
                <w:sz w:val="20"/>
              </w:rPr>
              <w:t xml:space="preserve"> for the period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w:t>
            </w:r>
            <w:hyperlink r:id="rId15">
              <w:r>
                <w:rPr>
                  <w:rStyle w:val="InternetLink"/>
                  <w:rFonts w:ascii="Times New Roman" w:hAnsi="Times New Roman"/>
                  <w:sz w:val="20"/>
                </w:rPr>
                <w:t>Form 8-K</w:t>
              </w:r>
            </w:hyperlink>
            <w:r>
              <w:rPr>
                <w:rFonts w:ascii="Times New Roman" w:hAnsi="Times New Roman"/>
                <w:sz w:val="20"/>
              </w:rPr>
              <w:t xml:space="preserve"> filed on May 11,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Form 10 filed on </w:t>
            </w:r>
            <w:hyperlink r:id="rId16">
              <w:r>
                <w:rPr>
                  <w:rStyle w:val="InternetLink"/>
                  <w:rFonts w:ascii="Times New Roman" w:hAnsi="Times New Roman"/>
                  <w:sz w:val="20"/>
                </w:rPr>
                <w:t>July 25, 2018</w:t>
              </w:r>
            </w:hyperlink>
            <w:r>
              <w:rPr>
                <w:rFonts w:ascii="Times New Roman" w:hAnsi="Times New Roman"/>
                <w:sz w:val="20"/>
              </w:rPr>
              <w:t xml:space="preserve">, including the amendments thereto filed on </w:t>
            </w:r>
            <w:hyperlink r:id="rId17">
              <w:r>
                <w:rPr>
                  <w:rStyle w:val="InternetLink"/>
                  <w:rFonts w:ascii="Times New Roman" w:hAnsi="Times New Roman"/>
                  <w:sz w:val="20"/>
                </w:rPr>
                <w:t>August  15, 2018</w:t>
              </w:r>
            </w:hyperlink>
            <w:r>
              <w:rPr>
                <w:rFonts w:ascii="Times New Roman" w:hAnsi="Times New Roman"/>
                <w:sz w:val="20"/>
              </w:rPr>
              <w:t xml:space="preserve"> and </w:t>
            </w:r>
            <w:hyperlink r:id="rId18">
              <w:r>
                <w:rPr>
                  <w:rStyle w:val="InternetLink"/>
                  <w:rFonts w:ascii="Times New Roman" w:hAnsi="Times New Roman"/>
                  <w:sz w:val="20"/>
                </w:rPr>
                <w:t>August  24, 2018</w:t>
              </w:r>
            </w:hyperlink>
            <w:r>
              <w:rPr>
                <w:rFonts w:ascii="Times New Roman" w:hAnsi="Times New Roman"/>
                <w:sz w:val="20"/>
              </w:rPr>
              <w:t xml:space="preserve">, as amended by </w:t>
            </w:r>
            <w:hyperlink r:id="rId19">
              <w:r>
                <w:rPr>
                  <w:rStyle w:val="InternetLink"/>
                  <w:rFonts w:ascii="Times New Roman" w:hAnsi="Times New Roman"/>
                  <w:sz w:val="20"/>
                </w:rPr>
                <w:t>Exhibit 4.3</w:t>
              </w:r>
            </w:hyperlink>
            <w:r>
              <w:rPr>
                <w:rFonts w:ascii="Times New Roman" w:hAnsi="Times New Roman"/>
                <w:sz w:val="20"/>
              </w:rPr>
              <w:t xml:space="preserve"> to our Annual Report on Form 10-K for the year ended January 31, 2021, and any further amendments thereto or reports that we may file in the future for the purpose of updating such description.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reports contain important information about us, our financial condition and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You may obtain copies of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prospectus), at no cost, by contacting us at: </w:t>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Attention: Investor Relations </w:t>
      </w:r>
    </w:p>
    <w:p>
      <w:pPr>
        <w:pStyle w:val="TextBody"/>
        <w:bidi w:val="0"/>
        <w:spacing w:before="0" w:after="0"/>
        <w:jc w:val="center"/>
        <w:rPr>
          <w:rFonts w:ascii="Times New Roman" w:hAnsi="Times New Roman"/>
          <w:b/>
          <w:sz w:val="20"/>
        </w:rPr>
      </w:pPr>
      <w:r>
        <w:rPr>
          <w:rFonts w:ascii="Times New Roman" w:hAnsi="Times New Roman"/>
          <w:b/>
          <w:sz w:val="20"/>
        </w:rPr>
        <w:t xml:space="preserve">3040 Post Oak Boulevard, 15th Floor </w:t>
      </w:r>
    </w:p>
    <w:p>
      <w:pPr>
        <w:pStyle w:val="TextBody"/>
        <w:bidi w:val="0"/>
        <w:spacing w:before="0" w:after="0"/>
        <w:jc w:val="center"/>
        <w:rPr>
          <w:rFonts w:ascii="Times New Roman" w:hAnsi="Times New Roman"/>
          <w:b/>
          <w:sz w:val="20"/>
        </w:rPr>
      </w:pPr>
      <w:r>
        <w:rPr>
          <w:rFonts w:ascii="Times New Roman" w:hAnsi="Times New Roman"/>
          <w:b/>
          <w:sz w:val="20"/>
        </w:rPr>
        <w:t xml:space="preserve">Houston, Texas 77056 </w:t>
      </w:r>
    </w:p>
    <w:p>
      <w:pPr>
        <w:pStyle w:val="TextBody"/>
        <w:bidi w:val="0"/>
        <w:spacing w:before="0" w:after="0"/>
        <w:jc w:val="center"/>
        <w:rPr>
          <w:rFonts w:ascii="Times New Roman" w:hAnsi="Times New Roman"/>
          <w:b/>
          <w:sz w:val="20"/>
        </w:rPr>
      </w:pPr>
      <w:r>
        <w:rPr>
          <w:rFonts w:ascii="Times New Roman" w:hAnsi="Times New Roman"/>
          <w:b/>
          <w:sz w:val="20"/>
        </w:rPr>
        <w:t xml:space="preserve">(832) 844-1015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a63698_4"/>
      <w:bookmarkEnd w:id="22"/>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to which the Company refers you to in this prospectus,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businesses, strategies and plans of the Company and its expectations relating to its future financial condition and performance. Statements included in this prospectus that are not historical facts are forward-looking statements, including statements about the beliefs and expectations of the management of the Company.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prospectus, any prospectus supplement, and the information incorporated by reference in this prospectus and each prospectus supplement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the heading “Risk Factors” in our most recent Annual Report on Form 10-K filed with the SEC, as supplemented by our Quarterly Reports on Form 10-Q or our Current Reports on Form 8-K, and discussed elsewhere in this prospectus and each prospectus supplement, and the information incorporated by reference in this prospectus and each prospectus supplement. Given these uncertainties, you should not place undue reliance on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All subsequent written or oral forward-looking statements attributable to the Company or any person acting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a63698_5"/>
      <w:bookmarkEnd w:id="23"/>
      <w:r>
        <w:rPr>
          <w:rFonts w:ascii="Times New Roman" w:hAnsi="Times New Roman"/>
          <w:b/>
          <w:sz w:val="20"/>
        </w:rPr>
        <w:t xml:space="preserve">ABOUT KLX ENERGY SERVICES HOLDINGS, INC. </w:t>
      </w:r>
    </w:p>
    <w:p>
      <w:pPr>
        <w:pStyle w:val="TextBody"/>
        <w:bidi w:val="0"/>
        <w:spacing w:before="240" w:after="0"/>
        <w:jc w:val="left"/>
        <w:rPr>
          <w:rFonts w:ascii="Times New Roman" w:hAnsi="Times New Roman"/>
          <w:sz w:val="20"/>
        </w:rPr>
      </w:pPr>
      <w:r>
        <w:rPr>
          <w:rFonts w:ascii="Times New Roman" w:hAnsi="Times New Roman"/>
          <w:sz w:val="20"/>
        </w:rPr>
        <w:t xml:space="preserve">KLXE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in over 60 service and support facilities located throughout the United States. The Company offers a complementary suite of proprietary products and specialized services is supported by technically skilled personnel and a broad portfolio of innovative in-house manufacturing, repair and maintenance capabilities. KLXE’s primary services include coiled tubing, directional drilling, hydraulic fracturing rentals, fishing, pressure control, wireline, rig-assisted snubbing, fluid pumping, flowback, testing and well control services. KLXE’s primary rentals and products include hydraulic fracturing stacks, blow out preventers, tubulars, downhole tools, dissolvable plugs, composite plugs and accommodation units.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in Delaware on June 28, 2018. On September 14, 2018, we completed our spin-off from KLX Inc. and became an independent, publicly-traded company. Our principal executive offices are located at 3040 Post Oak Boulevard, 15th Floor, Houston, Texas 77056, and our telephone number is (832) 844-1015. Our website address is www.klx.com. The information on our website is not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a63698_6"/>
      <w:bookmarkEnd w:id="2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significant degree of risk. Before you invest in our securities, you should carefully consider those risk factors included in our most recent Annual Report on Form 10-K, any subsequently filed Quarterly Reports on Form 10-Q and any subsequently filed Current Reports on Form 8-K, each of which is incorporated herein by reference, and those risk factors that may be included in any applicable prospectus supplement, together with all of the other information included in this prospectus, any prospectus supplement and the documents we incorporate by reference, in evaluating an investment in our securities. If any of these risks were actually to occur, our business, financial condition or results of operations could be materially adversely affected. Additional risks not presently known to us or that we currently believe are immaterial may also significantly impair our business operations and financial condition. Please read “Cautionary Statement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a63698_7"/>
      <w:bookmarkEnd w:id="2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receive any proceeds from the sale of the common stock offered under this prospectus. Any proceeds from the sale of common stock under this prospectus will be received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a63698_8"/>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common stock is not complete and may not contain all the information you should consider before investing in our common stock. This description is a summary of certain provisions contained in, and is qualified in its entirety by reference to, our amended and restated certificate of incorporation (the “Certificate”), and our fourth amended and restated bylaws (the “Bylaws”).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our authorized capital stock consists of 110 million shares of common stock, par value $0.01 per share, and 11 million shares of preferred stock, par value $0.01 per share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April 30, 2026, there were 19,911,759 shares of common stock outstanding. </w:t>
      </w:r>
    </w:p>
    <w:p>
      <w:pPr>
        <w:pStyle w:val="TextBody"/>
        <w:bidi w:val="0"/>
        <w:spacing w:before="24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Subject to the rights, if any, of the holders of any outstanding series of our preferred stock, holders of our common stock are entitled to receive dividends out of any of the Company’s funds legally available when, as and if declared by the board of directors of the Company (the “Board”).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Each holder of common stock is entitled to one vote per share on all matters on which stockholders are generally entitled to vote. The Certificate does not provide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If the Company liquidates, dissolves or winds up its affairs, holders of common stock are entitled to share proportionately in the assets of the Company available for distribution to stockholders, subject to the rights, if any, of the holders of any outstanding series of preferred stock.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All of the outstanding shares of common stock are fully paid and nonassessable. The holders of common stock have no preemptive rights and no rights to convert their common stock into any other securities, and our common stock is not subject to any redemption or sinking fund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Certificate and subject to the limitations prescribed by law, the Board may issue preferred stock in one or more series and may establish from time to time the number of shares to be included in such series and may fix the designation, the voting powers, if any, and preferences and relative participating, optional or other rights, if any, of the shares of each such series and any qualifications, limitations or restrictions thereof. See “— Anti-Takeover Effects of Provisions of the Certificate and Bylaws.” </w:t>
      </w:r>
    </w:p>
    <w:p>
      <w:pPr>
        <w:pStyle w:val="TextBody"/>
        <w:bidi w:val="0"/>
        <w:spacing w:before="240" w:after="0"/>
        <w:jc w:val="left"/>
        <w:rPr>
          <w:rFonts w:ascii="Times New Roman" w:hAnsi="Times New Roman"/>
          <w:sz w:val="20"/>
        </w:rPr>
      </w:pPr>
      <w:r>
        <w:rPr>
          <w:rFonts w:ascii="Times New Roman" w:hAnsi="Times New Roman"/>
          <w:sz w:val="20"/>
        </w:rPr>
        <w:t xml:space="preserve">When and if the Company issues any shares of preferred stock, the Board will establish the number of shares and designation of such series and the voting powers, if any, and preferences and relative participating, optional or other special rights, and the qualifications, limitations and restrictions thereof, for the particular series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the Certificate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Certificate and Bylaws contain, and Delaware statutory law contains, provisions that could make acquisition of the Company by means of a tender offer, a proxy contest or otherwise more difficult. These provisions are expected to discourage certain types of coercive takeover practices and takeover bids that the Board may consider inadequate and encourage persons seeking to acquire control of the Company to first negotiate with the Board. The Company believes that the benefits of increased protection of its ability to negotiate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proponent of an unfriendly or unsolicited proposal to acquire or restructure the Company outweigh the disadvantages of discouraging takeover or acquisition proposals because, among other things, negotiation of these proposals could result in an improvement of their terms. The description set forth below is only a summary and is qualified in its entirety by reference to the Certificate and the Bylaws.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w:t>
      </w:r>
      <w:r>
        <w:rPr>
          <w:rFonts w:ascii="Times New Roman" w:hAnsi="Times New Roman"/>
          <w:sz w:val="20"/>
        </w:rPr>
        <w:t xml:space="preserve"> The Certificate provides for the Board to be classified, which consists of three classes of directors. Directors of each class are elected for three-year terms, and each year the Company’s stockholders elect one class of the Company’s directors, with a term expiring at the third annual meeting of stockholders following the annual meeting at which such directors were elected. Under this classified Board structure, it would take at least two elections of directors for any individual or group to gain control of the Board. Accordingly, these provisions could discourage a third party from initiating a proxy contest, making a tender offer or otherwise attempting to gain control of the Company. </w:t>
      </w:r>
    </w:p>
    <w:p>
      <w:pPr>
        <w:pStyle w:val="TextBody"/>
        <w:bidi w:val="0"/>
        <w:spacing w:before="240" w:after="0"/>
        <w:jc w:val="left"/>
        <w:rPr>
          <w:rFonts w:ascii="Times New Roman" w:hAnsi="Times New Roman"/>
          <w:sz w:val="20"/>
        </w:rPr>
      </w:pPr>
      <w:r>
        <w:rPr>
          <w:rFonts w:ascii="Times New Roman" w:hAnsi="Times New Roman"/>
          <w:i/>
          <w:sz w:val="20"/>
        </w:rPr>
        <w:t>Number of Directors; Filling Vacancies; Removal.</w:t>
      </w:r>
      <w:r>
        <w:rPr>
          <w:rFonts w:ascii="Times New Roman" w:hAnsi="Times New Roman"/>
          <w:sz w:val="20"/>
        </w:rPr>
        <w:t xml:space="preserve"> The Certificate and Bylaws provide that the Company’s business and affairs will be managed by or under the direction of the Board. The Certificate and Bylaws provide that the Board will consist of not less than three nor more than nine members, with the exact number of directors within these limits to be fixed exclusively by the Board. In addition, the Certificate provides that any Board vacancy, including a vacancy resulting from an increase in the number of directors, may be filled solely by the affirmative vote of a majority of the remaining directors then in office, even if less than a quorum of the Board, or by the sole remaining director. Delaware statutory law provides that, if a Delaware corporation has a classified board, unless the certificate of incorporation provides otherwise, its directors may only be removed for cause. The Certificate provides that any director, or the entire Board, may be removed from office at any time, only for cause in accordance with Delaware law, by the affirmative vote of the holders of at least 66 2∕3% of the total voting power of the outstanding shares of the Company’s capital stock entitled to vote in any annual election of directors, voting as a single class. These provisions may prevent stockholders from removing incumbent directors without cause and filling the resulting vacancies with their own nominees. </w:t>
      </w:r>
    </w:p>
    <w:p>
      <w:pPr>
        <w:pStyle w:val="TextBody"/>
        <w:bidi w:val="0"/>
        <w:spacing w:before="240" w:after="0"/>
        <w:jc w:val="left"/>
        <w:rPr>
          <w:rFonts w:ascii="Times New Roman" w:hAnsi="Times New Roman"/>
          <w:sz w:val="20"/>
        </w:rPr>
      </w:pPr>
      <w:r>
        <w:rPr>
          <w:rFonts w:ascii="Times New Roman" w:hAnsi="Times New Roman"/>
          <w:i/>
          <w:sz w:val="20"/>
        </w:rPr>
        <w:t>Special Meetings.</w:t>
      </w:r>
      <w:r>
        <w:rPr>
          <w:rFonts w:ascii="Times New Roman" w:hAnsi="Times New Roman"/>
          <w:sz w:val="20"/>
        </w:rPr>
        <w:t xml:space="preserve"> The Certificate and Bylaws provide that special meetings of the stockholders may only be called by the Board or certain officers of the Company. These provisions will make it more difficult for stockholders to take an action opposed by the Board. </w:t>
      </w:r>
    </w:p>
    <w:p>
      <w:pPr>
        <w:pStyle w:val="TextBody"/>
        <w:bidi w:val="0"/>
        <w:spacing w:before="240" w:after="0"/>
        <w:jc w:val="left"/>
        <w:rPr>
          <w:rFonts w:ascii="Times New Roman" w:hAnsi="Times New Roman"/>
          <w:sz w:val="20"/>
        </w:rPr>
      </w:pPr>
      <w:r>
        <w:rPr>
          <w:rFonts w:ascii="Times New Roman" w:hAnsi="Times New Roman"/>
          <w:i/>
          <w:sz w:val="20"/>
        </w:rPr>
        <w:t>No Stockholder Action by Written Consent Unless Approved by the Board.</w:t>
      </w:r>
      <w:r>
        <w:rPr>
          <w:rFonts w:ascii="Times New Roman" w:hAnsi="Times New Roman"/>
          <w:sz w:val="20"/>
        </w:rPr>
        <w:t xml:space="preserve"> The Certificate and Bylaws require that all actions to be taken by stockholders must be taken at a duly called annual or special meeting, and stockholders will not be permitted to act by written consent unless both the action and the taking of the action by written consent are approved in advance by the Board. These provisions may make it more difficult for stockholders to take an action opposed by the Board. </w:t>
      </w:r>
    </w:p>
    <w:p>
      <w:pPr>
        <w:pStyle w:val="TextBody"/>
        <w:bidi w:val="0"/>
        <w:spacing w:before="240" w:after="0"/>
        <w:jc w:val="left"/>
        <w:rPr>
          <w:rFonts w:ascii="Times New Roman" w:hAnsi="Times New Roman"/>
          <w:sz w:val="20"/>
        </w:rPr>
      </w:pPr>
      <w:r>
        <w:rPr>
          <w:rFonts w:ascii="Times New Roman" w:hAnsi="Times New Roman"/>
          <w:i/>
          <w:sz w:val="20"/>
        </w:rPr>
        <w:t>Amendments to the Certificate.</w:t>
      </w:r>
      <w:r>
        <w:rPr>
          <w:rFonts w:ascii="Times New Roman" w:hAnsi="Times New Roman"/>
          <w:sz w:val="20"/>
        </w:rPr>
        <w:t xml:space="preserve"> The Certificate provides that the affirmative vote of the holders of at least 66 2∕3% of the total voting power of the then-outstanding shares of common stock entitled to vote, voting as a single class, is required to amend or repeal, or adopt any provision inconsistent with certain provisions in the Certificate, including those provisions providing for a classified board, provisions regarding the filling of vacancies on the Board, provisions providing for the removal of directors, provisions regarding the calling of special meetings, provisions regarding stockholder action by written consent and provisions regarding amendment of the Certificate. These provisions may make it more difficult for stockholders to make changes to the Certificate. </w:t>
      </w:r>
    </w:p>
    <w:p>
      <w:pPr>
        <w:pStyle w:val="TextBody"/>
        <w:bidi w:val="0"/>
        <w:spacing w:before="240" w:after="0"/>
        <w:jc w:val="left"/>
        <w:rPr>
          <w:rFonts w:ascii="Times New Roman" w:hAnsi="Times New Roman"/>
          <w:sz w:val="20"/>
        </w:rPr>
      </w:pPr>
      <w:r>
        <w:rPr>
          <w:rFonts w:ascii="Times New Roman" w:hAnsi="Times New Roman"/>
          <w:i/>
          <w:sz w:val="20"/>
        </w:rPr>
        <w:t>Amendments to the Bylaws.</w:t>
      </w:r>
      <w:r>
        <w:rPr>
          <w:rFonts w:ascii="Times New Roman" w:hAnsi="Times New Roman"/>
          <w:sz w:val="20"/>
        </w:rPr>
        <w:t xml:space="preserve"> The Certificate provides that the Board has the power to adopt, amend or repeal the Bylaws. Any such adoption, amendment or repeal of the Bylaws by the Board shall require approval of a majority of the entire Board. The Certificate provides that, notwithstanding any other provision of the Certificate, the affirmative vote of the holders of at least 66 2∕3% of the total voting power of the then-outstanding shares of common stock entitled to vote, voting as a single class, is required for the Company’s stockholders to amend or repeal, or adopt any provisions in the Bylaws. These provisions may make it more difficult for stockholders to make changes to the Bylaws that are opposed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Requirements for Advance Notification of Stockholder Nomination and Proposals.</w:t>
      </w:r>
      <w:r>
        <w:rPr>
          <w:rFonts w:ascii="Times New Roman" w:hAnsi="Times New Roman"/>
          <w:sz w:val="20"/>
        </w:rPr>
        <w:t xml:space="preserve"> Under the Bylaws, stockholders of record may nominate persons for election to the Board or bring other business constituting a proper matter for stockholder action at annual meetings only by providing proper notice to the Company secretary. Proper notice must be generally received not less than 90 days nor more than 120 days prior to the first anniversary date of the annual meeting for the preceding year (or, in some cases, prior to the tenth day following the announcement of the meeting) and must include, among other information, the name and address of the stockholder giving the notice, certain information relating to each person whom such stockholder proposes to nominate for election as a director and a brief description of any business such stockholder proposes to bring before the meeting. Nothing in the Bylaws may be deemed to affect any rights of stockholders to request inclusion of proposals in the Company’s proxy statement pursuant to Rule 14a-8 under the Exchange Act. Contests for the election of directors or the consideration of stockholder proposals will be precluded if the proper procedures are not followed. Third parties may therefore be discouraged from conducting a solicitation of proxies to elect their own slate of directors or to approve their own proposals. </w:t>
      </w:r>
    </w:p>
    <w:p>
      <w:pPr>
        <w:pStyle w:val="TextBody"/>
        <w:bidi w:val="0"/>
        <w:spacing w:before="240" w:after="0"/>
        <w:jc w:val="left"/>
        <w:rPr>
          <w:rFonts w:ascii="Times New Roman" w:hAnsi="Times New Roman"/>
          <w:sz w:val="20"/>
        </w:rPr>
      </w:pPr>
      <w:r>
        <w:rPr>
          <w:rFonts w:ascii="Times New Roman" w:hAnsi="Times New Roman"/>
          <w:i/>
          <w:sz w:val="20"/>
        </w:rPr>
        <w:t>Exclusive Forum Selection</w:t>
      </w:r>
      <w:r>
        <w:rPr>
          <w:rFonts w:ascii="Times New Roman" w:hAnsi="Times New Roman"/>
          <w:sz w:val="20"/>
        </w:rPr>
        <w:t xml:space="preserve">. The Bylaws provide that, unless the Company consents in writing to the selection of an alternative forum, the Court of Chancery in the State of Delaware (or, if the Court of Chancery does not have jurisdiction, the federal district court for the District of Delaware) will be the sole and exclusive forum for any derivative action or proceeding brought on behalf of our company, any action asserting a claim of breach of a fiduciary duty owed by any our directors, officers, employees or agents to our company or our stockholders, any action asserting a claim arising pursuant to any provision of the Delaware General Corporation Law (the “DGCL”), the Certificate or our Bylaws, or any action asserting a claim governed by the internal affairs doctrine. This provision may limit a stockholder’s ability to bring a claim in a judicial forum that it finds favorable for intra-corporate disputes with us or our directors, officers, employees or agents, which may discourage such lawsuits.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Section 203 of the DGCL generally provides that, subject to certain specified exceptions, a corporation will not engage in any “business combination” with any “interested stockholder” for a three-year period following the time that such stockholder becomes an interested stockholder unless (1) before that time, the board of directors of the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the corporation outstanding at the time the transaction commenced (excluding certain shares) or (3) on or after such time, both the board of directors of the corporation and at least 66 2∕3% of the outstanding voting stock that is not owned by the interested stockholder approves the business combination. Section 203 of the DGCL generally defines an “interested stockholder” to include (x) any person that owns 15% or more of the outstanding voting stock of the corporation or is an affiliate or associate of the corporation and owned 15% or more of the outstanding voting stock of the corporation at any time within three years immediately prior to the relevant date and (y) the affiliates and associates of any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203 of the DGCL generally defines a “business combination” to include (1) mergers and sales or other dispositions of 10% or more of the corporation’s assets with or to an interested stockholder, (2) certain transactions resulting in the issuance or transfer to the interested stockholder of any stock of the corporation or its subsidiaries, (3) certain transactions that would increase the proportionate share of the stock of the corporation or its subsidiaries owned by the interested stockholder and (4) receipt by the interested stockholder of the benefit (except proportionately as a stockholder) of any loans, advances, guarantees, pledges or other financial benefits.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Section 203 of the DGCL makes it more difficult for a person who would be an “interested stockholder” to effect various business combinations with a corporation for a three-year period. A corporation may elect not to be governed by the restrictions on business combination under Section 203 by adopting provisions of its certificate of incorporation or bylaws in accordance with Section 203.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Certificate nor the Bylaws exclude the Company from the restrictions imposed under Section 203 of the DGCL. Section 203 may encourage companies interested in acquiring the Company to negotiate in advance with the Board as the restrictions on business combinations will apply unless the Board approves, prior to the time the stockholder becomes an interested stockholder, either the business combination or the transaction that results in the stockholder becoming an interested stockholder.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Nasdaq under the ticker symbol “KLXE.”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xa63698_9"/>
      <w:bookmarkEnd w:id="27"/>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March 7, 2025, we and certain of our subsidiaries party thereto entered into a securities purchase agreement (the “Securities Purchase Agreement”) with certain holders (the “Investors”) of our then-existing 11.500% senior secured notes due 2025, pursuant to which the Company agreed to issue and sell to the Investors (a) approximately $232.2 million in aggregate principal amount of Senior Secured Floating Rate Cash / PIK Notes due 2030 (the “2030 Senior Notes”) and (b) the Warrants, entitling the holders thereof to purchase, in the aggregate, up to 2,373,187 shares of the Company’s common stock at an exercise price of $0.01 per share, subject to adjustment, in exchange for (i) approximately $78.4 million in aggregate cash consideration and (ii) approximately $143.6 million aggregate principal amount of our then-existing 11.50% senior secured notes due 2025, which were cancelled by the Company upon receipt thereof (collectively, the “Refinancing”). The Warrants issued in connection with the Refinancing were exercisable immediately, and in lieu of exercising such Warrants, the holders thereof may convert their Warrants, in whole or in part, into the number of Warrant Shares pursuant to the terms of the Warrants prior to the expiration date. The Warrants issued in connection with the Refinancing expire on March 12, 2030, five years from the date of issuance. Such Warrants were issued in reliance upon the exemption from registration provided by Section 4(a)(2) of the Securities Act as a transaction not involving any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On March 6, 2026, we entered into an amendment to the indenture governing the 2030 Senior Notes (the “First Amendment”) to provide financial covenant relief in the form of (i) extending the period for which the maximum total net leverage ratio covenant is tested at 4.50 to 1.0 through and including the testing period ending March 31, 2027, stepping down to 3.50 to 1.0 for the testing periods ending June 30, 2027 through and including March 31, 2028, to 3.00 to 1.0 for the testing periods ending June 30, 2028 through and including March 31, 2029, and to 2.50 to 1.0 for the testing periods ending June 30, 2029 and thereafter, (ii) a temporary holiday to exclude capital lease obligations as indebtedness for the purposes of determining compliance with the maximum total net leverage ratio covenant for the testing periods ending December 31, 2025 through and including March 31, 2027 and (iii) clarifying that proceeds from our ATM offering program may be applied as an equity cure. The First Amendment also establishes additional debt and lien baskets to permit the issuance of letters of credit by third parties for the Company’s account in favor of insurers in connection with a $6.7 million substitute insurance collateral facility. In connection with our entry into the First Amendment, on March 6, 2026 and March 11, 2026, we issued Warrants to the Investors, based on their pro rata ownership of principal amount of the 2030 Senior Notes, providing for the purchase of up to 803,712 shares of our common stock at an exercise price of $0.01 per share, subject to adjustment. The Warrants issued in connection with entry in the First Amendment expire on March 6, 2031 and March 11, 2031, five years from their respective date of issuance. Such Warrants were issued in reliance upon the exemption from registration provided by Section 4(a)(2) of the Securities Act as a transaction not involving any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the public resale of the shares of common stock issued or issuable to the selling stockholders upon exercise of the Warrants, which we refer to collectively herein as the “Warrant Shares”. The selling stockholders may from time to time offer and sell pursuant to this prospectus any or all of the Warrant Shares owned by them, but make no representation that any of the Warrant Shares will be offered for sale. As may be updated in our most recent Annual Report on Form 10-K, including any proxy statement incorporated into such Annual Report, none of the selling stockholders is a director, officer or employee of ours or an affiliate of such person. The table below presents information regarding the selling stockholders and the Warrant Shares that each selling stockholder may offer and sell from time to time under this prospectus. The term “selling stockholder” includes the stockholder listed in the table below and its transferees, pledgees, donees, assignees or other successors.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each selling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beneficially owned by each selling stockholder prior to the sale of the Warrant Shares covered by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that may be offered by each selling stockholder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to be beneficially owned by each selling stockholder following the sale of any Warrant Shares covered by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shares of common stock owned by each selling stockholder following the sale of any Warrant Shares covered by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information with respect to common stock ownership of the selling stockholders has been furnished by or on behalf of the selling stockholders and is as of May 4, 2026. Based on information supplied by the selling stockholders, except as may otherwise be indicated in the footnotes to the table below, each selling stockholders has sole voting and dispositive power with respect to the common stock reported as owned by them. However, the Warrants do not entitle the selling stockholders to any voting rights or other rights as a shareholder of the Company prior to the exercise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Because the selling stockholders identified in the table may sell some or all of the Warrant Shares owned by them which are included in this prospectus, and because there are currently no agreements, arrangements or understandings with respect to the sale of any of the Warrant Shares, no estimate can be given as to the number of Warrant Shares available for resale hereby that will be held by the selling stockholders upon termination of this offering. In addition, the selling stockholders may have sold, transferred or otherwise disposed of, or may sell, transfer or otherwise dispose of, at any time and from time to time, the shares of common stock they hold in transactions exempt from the registration requirements of the Securities Act after the date on which they provided the information set forth on the table below. We have, therefore, assumed for the purposes of the following table, that the selling stockholders will sell all of the Warrant Shares beneficially owned by them that are covered by this prospectus, but will not sell any other shares of our common stock that they may presently own. The percent of beneficial ownership for the selling stockholders is based on 19,911,759 shares of common stock outstanding as of April 30,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39"/>
        <w:gridCol w:w="142"/>
        <w:gridCol w:w="129"/>
        <w:gridCol w:w="1756"/>
        <w:gridCol w:w="129"/>
        <w:gridCol w:w="208"/>
        <w:gridCol w:w="129"/>
        <w:gridCol w:w="706"/>
        <w:gridCol w:w="275"/>
        <w:gridCol w:w="142"/>
        <w:gridCol w:w="77"/>
        <w:gridCol w:w="1066"/>
        <w:gridCol w:w="60"/>
        <w:gridCol w:w="142"/>
        <w:gridCol w:w="139"/>
        <w:gridCol w:w="883"/>
        <w:gridCol w:w="139"/>
        <w:gridCol w:w="351"/>
        <w:gridCol w:w="139"/>
        <w:gridCol w:w="886"/>
        <w:gridCol w:w="68"/>
      </w:tblGrid>
      <w:tr>
        <w:trPr/>
        <w:tc>
          <w:tcPr>
            <w:tcW w:w="263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63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05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 Stock</w:t>
              <w:br/>
              <w:t>Owned Prior to this Offering</w:t>
            </w:r>
          </w:p>
        </w:tc>
        <w:tc>
          <w:tcPr>
            <w:tcW w:w="275" w:type="dxa"/>
            <w:tcBorders/>
            <w:vAlign w:val="bottom"/>
          </w:tcPr>
          <w:p>
            <w:pPr>
              <w:pStyle w:val="TableContents"/>
              <w:bidi w:val="0"/>
              <w:spacing w:before="0" w:after="283"/>
              <w:jc w:val="left"/>
              <w:rPr/>
            </w:pPr>
            <w:r>
              <w:rPr/>
              <w:t> </w:t>
            </w:r>
          </w:p>
        </w:tc>
        <w:tc>
          <w:tcPr>
            <w:tcW w:w="142" w:type="dxa"/>
            <w:vMerge w:val="restart"/>
            <w:tcBorders/>
            <w:vAlign w:val="bottom"/>
          </w:tcPr>
          <w:p>
            <w:pPr>
              <w:pStyle w:val="TableContents"/>
              <w:bidi w:val="0"/>
              <w:spacing w:before="0" w:after="283"/>
              <w:jc w:val="left"/>
              <w:rPr/>
            </w:pPr>
            <w:r>
              <w:rPr/>
              <w:t> </w:t>
            </w:r>
          </w:p>
        </w:tc>
        <w:tc>
          <w:tcPr>
            <w:tcW w:w="114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Warrant</w:t>
              <w:br/>
              <w:t>Shares to</w:t>
              <w:br/>
              <w:t>be Sold</w:t>
              <w:br/>
              <w:t>Pursuant</w:t>
              <w:br/>
              <w:t>to this</w:t>
              <w:br/>
              <w:t>Prospectus</w:t>
            </w:r>
          </w:p>
        </w:tc>
        <w:tc>
          <w:tcPr>
            <w:tcW w:w="60" w:type="dxa"/>
            <w:vMerge w:val="restart"/>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w:t>
              <w:br/>
              <w:t>Stock Owned After Sale</w:t>
              <w:br/>
              <w:t>Pursuant to this</w:t>
              <w:br/>
              <w:t>Prospectus</w:t>
            </w:r>
          </w:p>
        </w:tc>
        <w:tc>
          <w:tcPr>
            <w:tcW w:w="68" w:type="dxa"/>
            <w:tcBorders/>
            <w:vAlign w:val="bottom"/>
          </w:tcPr>
          <w:p>
            <w:pPr>
              <w:pStyle w:val="TableContents"/>
              <w:bidi w:val="0"/>
              <w:spacing w:before="0" w:after="283"/>
              <w:jc w:val="left"/>
              <w:rPr/>
            </w:pPr>
            <w:r>
              <w:rPr/>
              <w:t> </w:t>
            </w:r>
          </w:p>
        </w:tc>
      </w:tr>
      <w:tr>
        <w:trPr/>
        <w:tc>
          <w:tcPr>
            <w:tcW w:w="26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Selling Stockholders</w:t>
            </w:r>
          </w:p>
        </w:tc>
        <w:tc>
          <w:tcPr>
            <w:tcW w:w="142" w:type="dxa"/>
            <w:tcBorders/>
            <w:vAlign w:val="bottom"/>
          </w:tcPr>
          <w:p>
            <w:pPr>
              <w:pStyle w:val="TableContents"/>
              <w:bidi w:val="0"/>
              <w:spacing w:before="0" w:after="283"/>
              <w:jc w:val="left"/>
              <w:rPr/>
            </w:pPr>
            <w:r>
              <w:rPr/>
              <w:t> </w:t>
            </w:r>
          </w:p>
        </w:tc>
        <w:tc>
          <w:tcPr>
            <w:tcW w:w="18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42" w:type="dxa"/>
            <w:vMerge w:val="continue"/>
            <w:tcBorders/>
            <w:vAlign w:val="bottom"/>
          </w:tcPr>
          <w:p>
            <w:pPr>
              <w:pStyle w:val="Normal"/>
              <w:bidi w:val="0"/>
              <w:jc w:val="left"/>
              <w:rPr/>
            </w:pPr>
            <w:r>
              <w:rPr/>
            </w:r>
          </w:p>
        </w:tc>
        <w:tc>
          <w:tcPr>
            <w:tcW w:w="1143"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Cross Ocean</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756"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Cross Ocean Global SIF (A) S.a r.l.(1)</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89,876</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89,876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Cross Ocean Global SIF (H) S.a.r.l.(2)</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right"/>
              <w:rPr/>
            </w:pPr>
            <w:r>
              <w:rPr/>
              <w:t>116,664</w:t>
            </w:r>
          </w:p>
        </w:tc>
        <w:tc>
          <w:tcPr>
            <w:tcW w:w="12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116,664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Cross Ocean SIF ESS (K) S.a r.l(3)</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85,172</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85,172</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Cross Ocean GSS Master Fund LP(4)</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right"/>
              <w:rPr/>
            </w:pPr>
            <w:r>
              <w:rPr/>
              <w:t>224,773</w:t>
            </w:r>
          </w:p>
        </w:tc>
        <w:tc>
          <w:tcPr>
            <w:tcW w:w="12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224,773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Cross Ocean USSS Master Fund II (A) LP(5)</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88,439</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88,439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Whitebox</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756"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b/>
              </w:rPr>
            </w:pPr>
            <w:r>
              <w:rPr>
                <w:b/>
              </w:rPr>
              <w:t>*</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Whitebox GT Fund, LP(6)</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38,759</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70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38,759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Whitebox Multi-Strategy Partners, LP(7)</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right"/>
              <w:rPr/>
            </w:pPr>
            <w:r>
              <w:rPr/>
              <w:t>370,386</w:t>
            </w:r>
          </w:p>
        </w:tc>
        <w:tc>
          <w:tcPr>
            <w:tcW w:w="12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1.9</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370,386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Whitebox Relative Value Partners, LP(8)</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281,023</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1.4</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281,023</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Algebris UCITS Funds plc – Algebris Global Credit Opportunities Fund</w:t>
            </w:r>
            <w:r>
              <w:rPr>
                <w:rFonts w:ascii="Times New Roman" w:hAnsi="Times New Roman"/>
                <w:sz w:val="13"/>
              </w:rPr>
              <w:t>(9)</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right"/>
              <w:rPr/>
            </w:pPr>
            <w:r>
              <w:rPr/>
              <w:t>204,444</w:t>
            </w:r>
          </w:p>
        </w:tc>
        <w:tc>
          <w:tcPr>
            <w:tcW w:w="12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204,444</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b/>
                <w:i/>
                <w:sz w:val="20"/>
              </w:rPr>
              <w:t>Amzak Capital Management LLC</w:t>
            </w:r>
            <w:r>
              <w:rPr>
                <w:rFonts w:ascii="Times New Roman" w:hAnsi="Times New Roman"/>
                <w:sz w:val="13"/>
              </w:rPr>
              <w:t>(10)</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64,449</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64,449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Fidelity</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756"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Fidelity Advisor Series I: Fidelity Advisor High Income Advantage Fund(11)</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56,237</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56,237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American High Yield Fund(11)</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right"/>
              <w:rPr/>
            </w:pPr>
            <w:r>
              <w:rPr/>
              <w:t>67,057</w:t>
            </w:r>
          </w:p>
        </w:tc>
        <w:tc>
          <w:tcPr>
            <w:tcW w:w="12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67,057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Fidelity American High Yield Multi-Asset Base Fund(11)</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5,440</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5,440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Fidelity Central Investment Portfolios LLC: Fidelity High Income Central Fund(11)</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right"/>
              <w:rPr/>
            </w:pPr>
            <w:r>
              <w:rPr/>
              <w:t>65,651</w:t>
            </w:r>
          </w:p>
        </w:tc>
        <w:tc>
          <w:tcPr>
            <w:tcW w:w="12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65,651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Fidelity U.S. High Yield Institutional Trust(11)</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5,257</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5,257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Concise</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756"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Concise Short Term High Yield Master Fund, SPC(12)</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35,788</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35,788</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Cardinal Insurance, LLC(12)</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right"/>
              <w:rPr/>
            </w:pPr>
            <w:r>
              <w:rPr/>
              <w:t>132</w:t>
            </w:r>
          </w:p>
        </w:tc>
        <w:tc>
          <w:tcPr>
            <w:tcW w:w="12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132</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Mercer QIF Fund PLC – Mercer Investment Fund 1(12)</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91,284</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91,284</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Restoration Risk Retention Group, Inc.(12)</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right"/>
              <w:rPr/>
            </w:pPr>
            <w:r>
              <w:rPr/>
              <w:t>1,321</w:t>
            </w:r>
          </w:p>
        </w:tc>
        <w:tc>
          <w:tcPr>
            <w:tcW w:w="12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1,321</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Concise Short Term High Yield Fund(12)</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29,106</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29,106</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Meteora</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756"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3"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639" w:type="dxa"/>
            <w:tcBorders/>
          </w:tcPr>
          <w:p>
            <w:pPr>
              <w:pStyle w:val="TableContents"/>
              <w:bidi w:val="0"/>
              <w:spacing w:before="0" w:after="0"/>
              <w:jc w:val="left"/>
              <w:rPr>
                <w:rFonts w:ascii="Times New Roman" w:hAnsi="Times New Roman"/>
                <w:sz w:val="20"/>
              </w:rPr>
            </w:pPr>
            <w:r>
              <w:rPr>
                <w:rFonts w:ascii="Times New Roman" w:hAnsi="Times New Roman"/>
                <w:sz w:val="20"/>
              </w:rPr>
              <w:t>Boothbay Absolute Return Strategies, LP(13)</w:t>
            </w:r>
          </w:p>
        </w:tc>
        <w:tc>
          <w:tcPr>
            <w:tcW w:w="142"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756" w:type="dxa"/>
            <w:tcBorders/>
            <w:vAlign w:val="bottom"/>
          </w:tcPr>
          <w:p>
            <w:pPr>
              <w:pStyle w:val="TableContents"/>
              <w:bidi w:val="0"/>
              <w:spacing w:before="0" w:after="283"/>
              <w:jc w:val="right"/>
              <w:rPr/>
            </w:pPr>
            <w:r>
              <w:rPr/>
              <w:t>28,747</w:t>
            </w:r>
          </w:p>
        </w:tc>
        <w:tc>
          <w:tcPr>
            <w:tcW w:w="129"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28,747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2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Meteora Select Trading Opportunities Master, LP(14)</w:t>
            </w:r>
          </w:p>
        </w:tc>
        <w:tc>
          <w:tcPr>
            <w:tcW w:w="142"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756" w:type="dxa"/>
            <w:tcBorders/>
            <w:shd w:fill="CCEEFF" w:val="clear"/>
            <w:vAlign w:val="bottom"/>
          </w:tcPr>
          <w:p>
            <w:pPr>
              <w:pStyle w:val="TableContents"/>
              <w:bidi w:val="0"/>
              <w:spacing w:before="0" w:after="283"/>
              <w:jc w:val="right"/>
              <w:rPr/>
            </w:pPr>
            <w:r>
              <w:rPr/>
              <w:t>7,187</w:t>
            </w:r>
          </w:p>
        </w:tc>
        <w:tc>
          <w:tcPr>
            <w:tcW w:w="129"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7,187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541"/>
        <w:gridCol w:w="201"/>
        <w:gridCol w:w="96"/>
        <w:gridCol w:w="1585"/>
        <w:gridCol w:w="96"/>
        <w:gridCol w:w="268"/>
        <w:gridCol w:w="96"/>
        <w:gridCol w:w="897"/>
        <w:gridCol w:w="276"/>
        <w:gridCol w:w="146"/>
        <w:gridCol w:w="65"/>
        <w:gridCol w:w="1075"/>
        <w:gridCol w:w="60"/>
        <w:gridCol w:w="200"/>
        <w:gridCol w:w="139"/>
        <w:gridCol w:w="884"/>
        <w:gridCol w:w="139"/>
        <w:gridCol w:w="348"/>
        <w:gridCol w:w="139"/>
        <w:gridCol w:w="887"/>
        <w:gridCol w:w="67"/>
      </w:tblGrid>
      <w:tr>
        <w:trPr/>
        <w:tc>
          <w:tcPr>
            <w:tcW w:w="254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541"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 Stock</w:t>
              <w:br/>
              <w:t>Owned Prior to this Offering</w:t>
            </w:r>
          </w:p>
        </w:tc>
        <w:tc>
          <w:tcPr>
            <w:tcW w:w="276" w:type="dxa"/>
            <w:tcBorders/>
            <w:vAlign w:val="bottom"/>
          </w:tcPr>
          <w:p>
            <w:pPr>
              <w:pStyle w:val="TableContents"/>
              <w:bidi w:val="0"/>
              <w:spacing w:before="0" w:after="283"/>
              <w:jc w:val="left"/>
              <w:rPr/>
            </w:pPr>
            <w:r>
              <w:rPr/>
              <w:t> </w:t>
            </w:r>
          </w:p>
        </w:tc>
        <w:tc>
          <w:tcPr>
            <w:tcW w:w="146" w:type="dxa"/>
            <w:vMerge w:val="restart"/>
            <w:tcBorders/>
            <w:vAlign w:val="bottom"/>
          </w:tcPr>
          <w:p>
            <w:pPr>
              <w:pStyle w:val="TableContents"/>
              <w:bidi w:val="0"/>
              <w:spacing w:before="0" w:after="283"/>
              <w:jc w:val="left"/>
              <w:rPr/>
            </w:pPr>
            <w:r>
              <w:rPr/>
              <w:t> </w:t>
            </w:r>
          </w:p>
        </w:tc>
        <w:tc>
          <w:tcPr>
            <w:tcW w:w="11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Maximum</w:t>
              <w:br/>
              <w:t>Number of</w:t>
              <w:br/>
              <w:t>Warrant</w:t>
              <w:br/>
              <w:t>Shares to</w:t>
              <w:br/>
              <w:t>be Sold</w:t>
              <w:br/>
              <w:t>Pursuant</w:t>
              <w:br/>
              <w:t>to this</w:t>
              <w:br/>
              <w:t>Prospectus</w:t>
            </w:r>
          </w:p>
        </w:tc>
        <w:tc>
          <w:tcPr>
            <w:tcW w:w="60" w:type="dxa"/>
            <w:vMerge w:val="restart"/>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w:t>
              <w:br/>
              <w:t>Stock Owned After Sale</w:t>
              <w:br/>
              <w:t>Pursuant to this</w:t>
              <w:br/>
              <w:t>Prospectus</w:t>
            </w:r>
          </w:p>
        </w:tc>
        <w:tc>
          <w:tcPr>
            <w:tcW w:w="67" w:type="dxa"/>
            <w:tcBorders/>
            <w:vAlign w:val="bottom"/>
          </w:tcPr>
          <w:p>
            <w:pPr>
              <w:pStyle w:val="TableContents"/>
              <w:bidi w:val="0"/>
              <w:spacing w:before="0" w:after="283"/>
              <w:jc w:val="left"/>
              <w:rPr/>
            </w:pPr>
            <w:r>
              <w:rPr/>
              <w:t> </w:t>
            </w:r>
          </w:p>
        </w:tc>
      </w:tr>
      <w:tr>
        <w:trPr/>
        <w:tc>
          <w:tcPr>
            <w:tcW w:w="254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Selling Stockholders</w:t>
            </w:r>
          </w:p>
        </w:tc>
        <w:tc>
          <w:tcPr>
            <w:tcW w:w="201" w:type="dxa"/>
            <w:tcBorders/>
            <w:vAlign w:val="bottom"/>
          </w:tcPr>
          <w:p>
            <w:pPr>
              <w:pStyle w:val="TableContents"/>
              <w:bidi w:val="0"/>
              <w:spacing w:before="0" w:after="283"/>
              <w:jc w:val="left"/>
              <w:rPr/>
            </w:pPr>
            <w:r>
              <w:rPr/>
              <w:t>  </w:t>
            </w:r>
          </w:p>
        </w:tc>
        <w:tc>
          <w:tcPr>
            <w:tcW w:w="16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96"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6" w:type="dxa"/>
            <w:tcBorders/>
            <w:vAlign w:val="bottom"/>
          </w:tcPr>
          <w:p>
            <w:pPr>
              <w:pStyle w:val="TableContents"/>
              <w:bidi w:val="0"/>
              <w:spacing w:before="0" w:after="283"/>
              <w:jc w:val="left"/>
              <w:rPr/>
            </w:pPr>
            <w:r>
              <w:rPr/>
              <w:t> </w:t>
            </w:r>
          </w:p>
        </w:tc>
        <w:tc>
          <w:tcPr>
            <w:tcW w:w="146" w:type="dxa"/>
            <w:vMerge w:val="continue"/>
            <w:tcBorders/>
            <w:vAlign w:val="bottom"/>
          </w:tcPr>
          <w:p>
            <w:pPr>
              <w:pStyle w:val="Normal"/>
              <w:bidi w:val="0"/>
              <w:jc w:val="left"/>
              <w:rPr/>
            </w:pPr>
            <w:r>
              <w:rPr/>
            </w:r>
          </w:p>
        </w:tc>
        <w:tc>
          <w:tcPr>
            <w:tcW w:w="114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0"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3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67" w:type="dxa"/>
            <w:tcBorders/>
            <w:vAlign w:val="bottom"/>
          </w:tcPr>
          <w:p>
            <w:pPr>
              <w:pStyle w:val="TableContents"/>
              <w:bidi w:val="0"/>
              <w:spacing w:before="0" w:after="283"/>
              <w:jc w:val="left"/>
              <w:rPr/>
            </w:pPr>
            <w:r>
              <w:rPr/>
              <w:t> </w:t>
            </w:r>
          </w:p>
        </w:tc>
      </w:tr>
      <w:tr>
        <w:trPr/>
        <w:tc>
          <w:tcPr>
            <w:tcW w:w="2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ALDASCO Florida Associates, LLC</w:t>
            </w:r>
            <w:r>
              <w:rPr>
                <w:rFonts w:ascii="Times New Roman" w:hAnsi="Times New Roman"/>
                <w:sz w:val="13"/>
              </w:rPr>
              <w:t>(15)</w:t>
            </w:r>
          </w:p>
        </w:tc>
        <w:tc>
          <w:tcPr>
            <w:tcW w:w="20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110,525</w:t>
            </w:r>
          </w:p>
        </w:tc>
        <w:tc>
          <w:tcPr>
            <w:tcW w:w="9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110,525</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541"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Deans Knight</w:t>
            </w:r>
          </w:p>
        </w:tc>
        <w:tc>
          <w:tcPr>
            <w:tcW w:w="20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585"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897"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sz w:val="4"/>
                <w:szCs w:val="4"/>
              </w:rPr>
            </w:pPr>
            <w:r>
              <w:rPr>
                <w:sz w:val="4"/>
                <w:szCs w:val="4"/>
              </w:rPr>
            </w:r>
          </w:p>
        </w:tc>
        <w:tc>
          <w:tcPr>
            <w:tcW w:w="88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DK Strategic Yield Master Fund Limited Partnership(16)</w:t>
            </w:r>
          </w:p>
        </w:tc>
        <w:tc>
          <w:tcPr>
            <w:tcW w:w="20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15,333</w:t>
            </w:r>
          </w:p>
        </w:tc>
        <w:tc>
          <w:tcPr>
            <w:tcW w:w="9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15,333</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541" w:type="dxa"/>
            <w:tcBorders/>
          </w:tcPr>
          <w:p>
            <w:pPr>
              <w:pStyle w:val="TableContents"/>
              <w:bidi w:val="0"/>
              <w:spacing w:before="0" w:after="0"/>
              <w:jc w:val="left"/>
              <w:rPr>
                <w:rFonts w:ascii="Times New Roman" w:hAnsi="Times New Roman"/>
                <w:sz w:val="20"/>
              </w:rPr>
            </w:pPr>
            <w:r>
              <w:rPr>
                <w:rFonts w:ascii="Times New Roman" w:hAnsi="Times New Roman"/>
                <w:sz w:val="20"/>
              </w:rPr>
              <w:t>Deans Knight Income Fund(17)</w:t>
            </w:r>
          </w:p>
        </w:tc>
        <w:tc>
          <w:tcPr>
            <w:tcW w:w="20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30,667</w:t>
            </w:r>
          </w:p>
        </w:tc>
        <w:tc>
          <w:tcPr>
            <w:tcW w:w="96"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30,667</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i/>
                <w:sz w:val="20"/>
              </w:rPr>
              <w:t>Newport Global Advisors LP</w:t>
            </w:r>
            <w:r>
              <w:rPr>
                <w:rFonts w:ascii="Times New Roman" w:hAnsi="Times New Roman"/>
                <w:sz w:val="13"/>
              </w:rPr>
              <w:t>(18)</w:t>
            </w:r>
          </w:p>
        </w:tc>
        <w:tc>
          <w:tcPr>
            <w:tcW w:w="20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48,355</w:t>
            </w:r>
          </w:p>
        </w:tc>
        <w:tc>
          <w:tcPr>
            <w:tcW w:w="9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48,355</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541"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585" w:type="dxa"/>
            <w:tcBorders/>
            <w:vAlign w:val="bottom"/>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39"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41" w:type="dxa"/>
            <w:tcBorders/>
          </w:tcPr>
          <w:p>
            <w:pPr>
              <w:pStyle w:val="TableContents"/>
              <w:bidi w:val="0"/>
              <w:spacing w:before="0" w:after="0"/>
              <w:jc w:val="left"/>
              <w:rPr>
                <w:rFonts w:ascii="Times New Roman" w:hAnsi="Times New Roman"/>
                <w:sz w:val="20"/>
              </w:rPr>
            </w:pPr>
            <w:r>
              <w:rPr>
                <w:rFonts w:ascii="Times New Roman" w:hAnsi="Times New Roman"/>
                <w:b/>
                <w:i/>
                <w:sz w:val="20"/>
              </w:rPr>
              <w:t>Windermere Investment Corporation</w:t>
            </w:r>
            <w:r>
              <w:rPr>
                <w:rFonts w:ascii="Times New Roman" w:hAnsi="Times New Roman"/>
                <w:sz w:val="13"/>
              </w:rPr>
              <w:t>(19)</w:t>
            </w:r>
          </w:p>
        </w:tc>
        <w:tc>
          <w:tcPr>
            <w:tcW w:w="20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85" w:type="dxa"/>
            <w:tcBorders/>
            <w:vAlign w:val="bottom"/>
          </w:tcPr>
          <w:p>
            <w:pPr>
              <w:pStyle w:val="TableContents"/>
              <w:bidi w:val="0"/>
              <w:spacing w:before="0" w:after="283"/>
              <w:jc w:val="right"/>
              <w:rPr/>
            </w:pPr>
            <w:r>
              <w:rPr/>
              <w:t>13,815</w:t>
            </w:r>
          </w:p>
        </w:tc>
        <w:tc>
          <w:tcPr>
            <w:tcW w:w="96"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13,815</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7"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541"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1585" w:type="dxa"/>
            <w:tcBorders/>
            <w:vAlign w:val="bottom"/>
          </w:tcPr>
          <w:p>
            <w:pPr>
              <w:pStyle w:val="TableContents"/>
              <w:pBdr>
                <w:top w:val="single" w:sz="2"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39"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single" w:sz="2" w:space="1" w:color="000000"/>
              </w:pBdr>
              <w:bidi w:val="0"/>
              <w:spacing w:before="0" w:after="0"/>
              <w:jc w:val="left"/>
              <w:rPr/>
            </w:pPr>
            <w:r>
              <w:rPr/>
              <w:t> </w:t>
            </w:r>
          </w:p>
        </w:tc>
        <w:tc>
          <w:tcPr>
            <w:tcW w:w="887"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5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01"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85" w:type="dxa"/>
            <w:tcBorders/>
            <w:shd w:fill="CCEEFF" w:val="clear"/>
            <w:vAlign w:val="bottom"/>
          </w:tcPr>
          <w:p>
            <w:pPr>
              <w:pStyle w:val="TableContents"/>
              <w:bidi w:val="0"/>
              <w:spacing w:before="0" w:after="283"/>
              <w:jc w:val="right"/>
              <w:rPr/>
            </w:pPr>
            <w:r>
              <w:rPr/>
              <w:t>2,175,887</w:t>
            </w:r>
          </w:p>
        </w:tc>
        <w:tc>
          <w:tcPr>
            <w:tcW w:w="96"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283"/>
              <w:jc w:val="right"/>
              <w:rPr/>
            </w:pPr>
            <w:r>
              <w:rPr/>
              <w:t>10.93</w:t>
            </w:r>
          </w:p>
        </w:tc>
        <w:tc>
          <w:tcPr>
            <w:tcW w:w="27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2,175,887</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887"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2541"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1585" w:type="dxa"/>
            <w:tcBorders/>
            <w:vAlign w:val="bottom"/>
          </w:tcPr>
          <w:p>
            <w:pPr>
              <w:pStyle w:val="TableContents"/>
              <w:pBdr>
                <w:top w:val="double" w:sz="6" w:space="1" w:color="000000"/>
              </w:pBdr>
              <w:bidi w:val="0"/>
              <w:spacing w:before="0" w:after="0"/>
              <w:jc w:val="left"/>
              <w:rPr/>
            </w:pPr>
            <w:r>
              <w:rPr/>
              <w:t> </w:t>
            </w:r>
          </w:p>
        </w:tc>
        <w:tc>
          <w:tcPr>
            <w:tcW w:w="96"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39"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39" w:type="dxa"/>
            <w:tcBorders/>
            <w:vAlign w:val="bottom"/>
          </w:tcPr>
          <w:p>
            <w:pPr>
              <w:pStyle w:val="TableContents"/>
              <w:pBdr>
                <w:top w:val="double" w:sz="6" w:space="1" w:color="000000"/>
              </w:pBdr>
              <w:bidi w:val="0"/>
              <w:spacing w:before="0" w:after="0"/>
              <w:jc w:val="left"/>
              <w:rPr/>
            </w:pPr>
            <w:r>
              <w:rPr/>
              <w:t> </w:t>
            </w:r>
          </w:p>
        </w:tc>
        <w:tc>
          <w:tcPr>
            <w:tcW w:w="887"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Denotes less than 1% of the shares of common stock outstanding.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Cross Ocean Global SIF (A) S.a r.l. is a Luxembourg private limited liability company (société à responsabilité limitée), and it is managed by Cross Ocean Adviser LLP, its investment manager. The address of Cross Ocean Global SIF (A) S.a r.l. is 7 Avenue Gaston Diderich, L-1420 Luxembourg.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Cross Ocean Global SIF (H) S.a.r.l. is a Luxembourg private limited liability company (société à responsabilité limitée), and it is managed by Cross Ocean Adviser LLP, its investment manager. The address of Cross Ocean Global SIF (H) S.a.r.l. is 7 Avenue Gaston Diderich, L-1420 Luxembourg.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Cross Ocean SIF ESS (K) S.a r.l is a Luxembourg private limited liability company (société à responsabilité limitée), and it is managed by Cross Ocean Advisors LLP, its investment manager. The address of Cross Ocean SIF ESS (K) S.a r.l is 7 Avenue Gaston Diderich, L-1420 Luxembourg.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Cross Ocean GSS Master Fund LP is a Cayman Islands limited partnership, and it is managed by Cross Ocean Partners Management LP, its investment manager. The address of Cross Ocean GSS Master Fund LP is c/o Azimuth Governance Limited, P. O. Box 490, George Town, Grand Cayman, KY1-1106, Cayman Islands.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Cross Ocean USSS Master Fund II (A) LP is a Cayman Islands limited partnership, and it is managed by Cross Ocean Partners Management LP, its investment manager. The address of Cross Ocean USSS Master Fund II (A) LP is c/o Azimuth Governance Limited, P. O. Box 490, George Town, Grand Cayman, KY1-1106, Cayman Islands.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Whitebox Advisors LLC (“WBA”) is the investment manager of Whitebox GT Fund, LP (the “Fund”) and may be deemed to have shared voting and dispositive power over the securities held by the Fund. WBA is managed by a committee of members including Robert Vogel, Jacob Mercer, Nick Stukas, Brian Lutz, and Paul Roos, who may also be deemed to share such power. Each of WBA, Blue Owl GP Stakes II (A), LP, and the aforementioned individuals disclaims beneficial ownership of these securities, except to the extent of their respective pecuniary interest therein. The business address of WBA and the Fund is 3033 Excelsior Blvd., Suite 500, Minneapolis, MN 55416.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Whitebox Advisors LLC (“WBA”) is the investment manager of Whitebox Multi-Strategy Partners, L.P. (the “Fund”) and may be deemed to have shared voting and dispositive power over the securities held by the Fund. WBA is managed by a committee of members including Robert Vogel, Jacob Mercer, Nick Stukas, Brian Lutz, and Paul Roos, who may also be deemed to share such power. Each of WBA, Blue Owl GP Stakes II (A), LP, and the aforementioned individuals disclaims beneficial ownership of these securities, except to the extent of their respective pecuniary interest therein. The business address of WBA and the Fund is 3033 Excelsior Blvd., Suite 500, Minneapolis, MN 55416.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Whitebox Advisors LLC (“WBA”) is the investment manager of Whitebox Relative Value Partners, L.P. (the “Fund”) and may be deemed to have shared voting and dispositive power over the securities held by the Fund. WBA is managed by a committee of members including Robert Vogel, Jacob Mercer, Nick Stukas, Brian Lutz, and Paul Roos, who may also be deemed to share such power. Each of WBA, Blue Owl GP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vAlign w:val="center"/>
          </w:tcPr>
          <w:p>
            <w:pPr>
              <w:pStyle w:val="TableContents"/>
              <w:bidi w:val="0"/>
              <w:spacing w:before="0" w:after="283"/>
              <w:jc w:val="left"/>
              <w:rPr/>
            </w:pPr>
            <w:r>
              <w:rPr/>
              <w:t> </w:t>
            </w:r>
          </w:p>
        </w:tc>
        <w:tc>
          <w:tcPr>
            <w:tcW w:w="9801" w:type="dxa"/>
            <w:tcBorders/>
          </w:tcPr>
          <w:p>
            <w:pPr>
              <w:pStyle w:val="TableContents"/>
              <w:bidi w:val="0"/>
              <w:spacing w:before="0" w:after="283"/>
              <w:jc w:val="left"/>
              <w:rPr/>
            </w:pPr>
            <w:r>
              <w:rPr/>
              <w:t xml:space="preserve">Stakes II (A), LP, and the aforementioned individuals disclaims beneficial ownership of these securities, except to the extent of their respective pecuniary interest therein. The business address of WBA and the Fund is 3033 Excelsior Blvd., Suite 500, Minneapolis, MN 55416.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Algebris UCITS Funds plc – Algebris Global Credit Opportunities Fund is an open-ended investment company with variable capital, and each sub-fund is segregated with respect to any other sub-funds. Algebris UCITS Funds plc – Algebris Global Credit Opportunities Fund is managed by Algebris (UK) Limited, which is an investment manager, and Algebris Investments (US) Inc., which is a sub-investment manager. Algebris (UK) Limited and Algebris Investments (US) Inc. are wholly owned subsidiaries of Algebris Investments Group Ltd. Davide Serra, the indirect holder of an 90.25% shareholding and 100% of the voting rights of Algebris Investments Group Ltd., may be deemed to beneficially own the securities held by Algebris Investments Group Ltd. The address of Algebris UCITS Funds plc – Algebris Global Credit Opportunities Fund is c/o Algebris (UK) Limited, First Floor, 11 Waterloo Place, SW1Y 4AU, London, UK.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(10)</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Kazma, as the President and the Chief Executive Officer of Amzak Capital Management LLC, has the sole voting and dispositive power over the Warrant Shares held of record by Amzak Capital Management LLC. The address of Amzak Capital Management LLC is 980 N Federal Highway, Suite 315, Boca Raton, FL 33432.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Shares held by Fidelity Advisor Series I: Fidelity Advisor High Income Advantage Fund, Fidelity American High Yield Fund, Fidelity American High Yield Multi-Asset Base Fund, Fidelity Central Investment Portfolios LLC: Fidelity High Income Central Fund and Fidelity U.S. High Yield Institutional Trust are or will be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Concise Short Term High Yield Master Fund, SPC, Cardinal Insurance, LLC, Mercer QIF Fund PLC – Mercer Investment Fund 1, Restoration Risk Retention Group, Inc. and Concise Short Term High Yield Fund is managed by Concise Capital Management. Thomas Krasner is the portfolio manager of Concise Capital Management and therefore may be deemed to beneficially own the securities held by Concise Capital Management. The address of each of Concise Short Term High Yield Master Fund, SPC, Cardinal Insurance, LLC, Mercer QIF Fund PLC – Mercer Investment Fund 1, Restoration Risk Retention Group, Inc. and Concise Short Term High Yield Fund is c/o Concise Capital Management, 777 Brickell Ave, Suite 630, Miami, FL 33131.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Boothbay Absolute Return Strategies, LP, a Delaware limited partnership (“Boothbay”), is managed by Meteora Capital, LLC (“Meteora”). Meteora, in its capacity as the investment manager of Boothbay with respect to the investment in the Warrant Shares, has the power to vote and the power to direct the disposition of all securities held by Boothbay with respect to the investment in the Warrant Shares. Vikas Mittal is the Managing Member of Meteora. Each of Boothbay, Meteora and Mr. Mittal disclaims beneficial ownership of these securities, except to the extent of any pecuniary interest therein. The address of Boothbay is 16th Floor, 140 E 45th Street, New York NY 10017.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Mittal may be deemed to have sole voting and dispositive power with respect to the Warrant Shares held by Meteora Select Trading Opportunities Master, LP. Mr. Mittal disclaims beneficial ownership of these securities, except to the extent of any pecuniary interest therein. The address of Meteora Select Trading Opportunities Master, LP is 71 Fort Street, PO Box 500, Grand Cayman, KY1-1106.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ALDASCO Florida Associates, LLC is a limited liability company for private family investment, and it is managed by David L. Cohen. Therefore, Mr. Cohen may be deemed to beneficially own the securities held by ALDASCO Florida Associates, LLC. The address of ALDASCO Florida Associates, LLC is 338 South Beach Road, Juniper, FL 33458.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DK Strategic Yield Master Fund Limited Partnership is managed by Deans Knight Capital Management Ltd. Dillon Cameron is the President and portfolio manager responsible for the Deans Knight Income strategies at Deans Knight Capital Management Ltd. and therefore may be deemed to beneficially own the securities held by Deans Knight Capital Management Ltd. Mr. Cameron (other than to the extent he directly holds securities reported herein) disclaims beneficial ownership of the securities held by Deans Knight Capital Management Ltd., except to the extent of Mr. Cameron’s pecuniary interest therein. The address of DK Strategic Yield Master Fund Limited Partnership is c/o Deans Knight Capital Management Ltd., 999 West Hastings Street, Suite 1500, Vancouver BC V6C 2W2, Canada.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Deans Knight Income Fund is managed by Deans Knight Capital Management Ltd. Dillon Cameron is the President and portfolio manager responsible for the Deans Knight Income strategies at Deans Knight Capital Management Ltd. and therefore may be deemed to beneficially own the securities held by Deans Knight Capital Management Ltd. Mr. Cameron (other than to the extent he directly holds securities reported herein) disclaims beneficial ownership of the securities held by Deans Knight Capital Management Ltd., except to the extent of Mr. Cameron’s pecuniary interest therein. The address of Deans Knight Income Fund is c/o Deans Knight Capital Management Ltd., 999 West Hastings Street, Suite 1500, Vancouver BC V6C 2W2, Canada.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Warrant Shares are held by Newport Global Credit Fund (Master) LP and Chicago Title Insurance Company in the number of 6,908 and 41,447, respectively. Each of Newport Global Credit Fund (Master) LP and Chicago Title Insurance Company is managed by Newport Global Advisors LP. Timothy Janszen and Ryan Langdon, given their relationship with Newport Global Advisors LP, have the sole voting and dispositive power over the Warrant Shares held of record by Newport Global Advisors LP. The address of Newport Global Advisors LP is 9006 Forest Crossing, Suite D, The Woodlands, TX 77381.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 George Myhal, as the President and the Chief Executive Officer of Windermere Investment Corporation, has the sole voting and dispositive power over the Warrant Shares held of record by Windermere Investment Corporation. The address of Windermere Investment Corporation is 5450 Explorer Drive, Suite 504, Mississauga, Ontario L4W 5N1, Canada.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Warrant Agreements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Warrant Agreements, the selling stockholders have certain rights briefly outlined below, upon the terms and subject to the conditions set forth therein. </w:t>
      </w:r>
    </w:p>
    <w:p>
      <w:pPr>
        <w:pStyle w:val="TextBody"/>
        <w:bidi w:val="0"/>
        <w:spacing w:before="240" w:after="0"/>
        <w:jc w:val="left"/>
        <w:rPr>
          <w:rFonts w:ascii="Times New Roman" w:hAnsi="Times New Roman"/>
          <w:sz w:val="20"/>
        </w:rPr>
      </w:pPr>
      <w:r>
        <w:rPr>
          <w:rFonts w:ascii="Times New Roman" w:hAnsi="Times New Roman"/>
          <w:i/>
          <w:sz w:val="20"/>
        </w:rPr>
        <w:t>Registration Right</w:t>
      </w:r>
      <w:r>
        <w:rPr>
          <w:rFonts w:ascii="Times New Roman" w:hAnsi="Times New Roman"/>
          <w:sz w:val="20"/>
        </w:rPr>
        <w:t xml:space="preserve">s. Subject to certain limitations, the Company agreed to file, within 90 calendar days following the respective issue date of the Warrants, file with the SEC a shelf registration statement registering the resale of the Warrant Shares on a delayed and continuous basis, and the Company to use commercially reasonable efforts to have the registration statement declared effective as soon as reasonably practicable thereafter and maintain the effectiveness of the registration statement until the earlier of such time as (a) all of the Warrant Shares have been sold thereunder and (b) all of the Warrant Shares are eligible for resale without restriction and without the need for current public information pursuant to Rule 144(b) under the Securities Act. Pursuant to Rule 429 under the Securities Act, this prospectus is a combined prospectus relating to the Warrant Shares issued in connection with the Refinancing (for which the Company previously filed a registration statement on Form S-3 (No. 333-287774) on June 4, 2025, and which was declared effective on June 16, 2025) and the Warrant Shares issued in connection with the First Amendment. </w:t>
      </w:r>
    </w:p>
    <w:p>
      <w:pPr>
        <w:pStyle w:val="TextBody"/>
        <w:bidi w:val="0"/>
        <w:spacing w:before="240" w:after="0"/>
        <w:jc w:val="left"/>
        <w:rPr>
          <w:rFonts w:ascii="Times New Roman" w:hAnsi="Times New Roman"/>
          <w:sz w:val="20"/>
        </w:rPr>
      </w:pPr>
      <w:r>
        <w:rPr>
          <w:rFonts w:ascii="Times New Roman" w:hAnsi="Times New Roman"/>
          <w:i/>
          <w:sz w:val="20"/>
        </w:rPr>
        <w:t>Conditions and Limitations</w:t>
      </w:r>
      <w:r>
        <w:rPr>
          <w:rFonts w:ascii="Times New Roman" w:hAnsi="Times New Roman"/>
          <w:sz w:val="20"/>
        </w:rPr>
        <w:t xml:space="preserve">. The registration rights outlined above are subject to conditions and limitations, including our right to delay or withdraw a registration statement under specified circumstances. </w:t>
      </w:r>
    </w:p>
    <w:p>
      <w:pPr>
        <w:pStyle w:val="TextBody"/>
        <w:bidi w:val="0"/>
        <w:spacing w:before="240" w:after="0"/>
        <w:jc w:val="left"/>
        <w:rPr>
          <w:rFonts w:ascii="Times New Roman" w:hAnsi="Times New Roman"/>
          <w:sz w:val="20"/>
        </w:rPr>
      </w:pPr>
      <w:r>
        <w:rPr>
          <w:rFonts w:ascii="Times New Roman" w:hAnsi="Times New Roman"/>
          <w:i/>
          <w:sz w:val="20"/>
        </w:rPr>
        <w:t>Expenses and Indemnification</w:t>
      </w:r>
      <w:r>
        <w:rPr>
          <w:rFonts w:ascii="Times New Roman" w:hAnsi="Times New Roman"/>
          <w:sz w:val="20"/>
        </w:rPr>
        <w:t xml:space="preserve">. Subject to certain limitations, in connection with any registration effected pursuant to the terms of the Warrant Agreements, we are required to pay for all of the fees and expenses incurred in connection with such registration, including, without limitation, registration fees, qualification and filing fees and printing expenses. However, the underwriting discounts and selling commissions payable in respect of the securities included in any registration are to be paid by the selling stockholders including such securities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registration on a pro rata basis. We have also agreed to indemnify the holders of the securities and each of their respective directors, officers, employees and agents, and each person who controls (within the meaning of the Securities Act or the Exchange Act) the holder of the securities and each affiliate (within the meaning of Rule 405 under the Securities Act) of the holder of the securities against all losses, claims, damages, liabilities and expenses (including, without limitation, any reasonable attorneys’ fees and expenses incurred in connection with defending or investigating any such action or claim) caused by any untrue or alleged untrue statement of material fact contained in the registration statement, prospectus included in any registration statement or preliminary prospectus or any amendment thereof or supplement thereto or any omission or alleged omission of a material fact required to be stated therein or necessary to make the statements therein (in the case of a prospectus, in light of the circumstances in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xa63698_10"/>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sell, transfer or otherwise dispose of any or all of their shares or interests in the shares on any stock exchange, market or trading facility on which the shares are traded or in private transactions. The term “selling stockholders” includes donees, pledgees, transferees or other successors in interest selling securities received after the date of this prospectus from a selling stockholder as a gift, pledge, partnership distribution or other transfer. The selling stockholders may sell their shares of common stock from time to time at the prevailing market price or in privately negotiated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Nasdaq, in the over-the-counter market or on any other securities exchange on which our common stock is listed or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underwritten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equity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the shares at fixed prices, at prices then prevailing or related to the then current market price or at negotiated prices. The offering price of the shares from time to time will be determined by the selling stockholders and, at the time of the determination, may be higher or lower than the market price of our common stock on the Nasdaq or any other exchange or market. </w:t>
      </w:r>
    </w:p>
    <w:p>
      <w:pPr>
        <w:pStyle w:val="TextBody"/>
        <w:bidi w:val="0"/>
        <w:spacing w:before="240" w:after="0"/>
        <w:jc w:val="left"/>
        <w:rPr>
          <w:rFonts w:ascii="Times New Roman" w:hAnsi="Times New Roman"/>
          <w:sz w:val="20"/>
        </w:rPr>
      </w:pPr>
      <w:r>
        <w:rPr>
          <w:rFonts w:ascii="Times New Roman" w:hAnsi="Times New Roman"/>
          <w:sz w:val="20"/>
        </w:rPr>
        <w:t xml:space="preserve">The shares may be sold directly or through broker-dealers acting as principal or agent, or pursuant to a distribution by one or more underwriters on a firm commitment or best-efforts basis. The selling stockholders may also enter into hedging transactions with broker-dealers. In connection with such transactions, broker-dealers of other financial institutions may engage in short sales of our common stock in the course of hedging the positions they assume with the selling stockholders. The selling stockholders may also enter into options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stockholders or from purchasers of the offered shares for whom they may act as agents. In addition, underwriters may sell the shares to or through dealers, and those dealers may receive compensation in the form of discounts, concessions or commissions from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and/or commissions from the purchasers for whom they may act as agents. The selling stockholders and any underwriters, dealers or agents participating in a distribution of the shares may be deemed to be underwriters within the meaning of the Securities Act, and any profit on the sale of the shares by the selling stockholders and any commissions received by broker-dealers may be deemed to be underwriting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agree to indemnify an underwriter, broker-dealer or agent against certain liabilities related to the selling of their shares, including liabilities arising under the Securities Act. Under the Warrant Agreement, we have agreed to indemnify the selling stockholders against certain liabilities related to the sale of the common stock, including certain liabilities arising under the Securities Act. Under the Warrant Agreement, we have also agreed to pay the costs, expenses and fees of registering the shares of common stock. All other expenses of issuance and distribution will be borne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subject to the applicable provisions of the Exchange Act, and the rules and regulations under the Exchange Act, including Regulation M. This regulation may limit the timing of purchases and sales of any of the shares of common stock offered in this prospectus by the selling stockholders. The anti-manipulation rules under the Exchange Act may apply to sales of shares in the market and to the activities of the selling stockholders and their respective affiliates. Furthermore, Regulation M may restrict the ability of any person engaged in the distribution of the shares to engage in market-making activities for the particular securities being distributed for a period of up to five business days before the distribution. The restrictions may affect the marketability of the shares and the ability of any person or entity to engage in market-making activities for the shares.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and/or supplemented from time to time to describe a specific plan of distribution. Instead of selling the shares of common stock under this prospectus, the selling stockholders may sell the shares of common stock in compliance with the provisions of Rule 144 under the Securities Act, if available, or pursuant to other available exemptions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if applicable, the securities registered hereby may be sold in those states only through registered or licensed brokers or dealers. In addition, in some states such securities may not be sold unless they have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the selling stockholders will sell all or any portion of our common stock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Under the Warrant Agreement entered into with the selling stockholders, we agreed to use our commercially reasonable efforts to keep the registration statement of which this prospectus constitutes a part continuously effective under the Securities Act until the earlier of such time as (a) all of the Warrant Shares have been sold under this registration statement and (b) all of the Warrant Shares are eligible for resale without restriction and without the need for current public information pursuant to Rule 144(b)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xa63698_11"/>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securities offered in this prospectus will be passed upon for us by Vinson &amp; Elkins L.L.P., Houston, Texas. If certain legal matters in connection with an offering of the securities made by this prospectus and a related prospectus supplement are passed upon by counsel for the underwriters of such offering, that counsel will be named in the applicable prospectus supplement related to that offering. </w:t>
      </w:r>
    </w:p>
    <w:p>
      <w:pPr>
        <w:pStyle w:val="TextBody"/>
        <w:bidi w:val="0"/>
        <w:spacing w:before="480" w:after="0"/>
        <w:jc w:val="center"/>
        <w:rPr>
          <w:rFonts w:ascii="Times New Roman" w:hAnsi="Times New Roman"/>
          <w:b/>
          <w:sz w:val="20"/>
        </w:rPr>
      </w:pPr>
      <w:bookmarkStart w:id="30" w:name="txa63698_12"/>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KLX Energy Services Holdings,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expenses (other than underwriting discounts and commissions) expected to be incurred in connection with the offering of the securities registered 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0"/>
        <w:gridCol w:w="402"/>
        <w:gridCol w:w="142"/>
        <w:gridCol w:w="1162"/>
        <w:gridCol w:w="63"/>
      </w:tblGrid>
      <w:tr>
        <w:trPr/>
        <w:tc>
          <w:tcPr>
            <w:tcW w:w="5170"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10,098.50</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7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5170"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number of issuances and amount of securities offered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b/>
                <w:sz w:val="20"/>
              </w:rPr>
              <w:t xml:space="preserve">.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Section 145 of the DGCL provides that a Delaware corporation may indemnify any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were, are or are threatened to be made a party to any threatened, pending or completed action or suit by or in the right of the corporation by reason of the fact that such persons are or were a director, officer, employee or agent of such corporation, or are or were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(including attorneys’ fees) actually and reasonably incurred.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permits a corporation to provide in its certificate of incorporation that a director or officer of the corporation shall not be personally liable to the corporation or its stockholders for monetary damages for breach of fiduciary duties as a director or officer, except for liability for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 from which the director or the officer derives an improper personal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 or omission not in good faith or that involves intentional misconduct or a knowing violation of law;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 of dividends or redemption of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breach of a director’s or officer’s duty of loyalty to the corporation or its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 </w:t>
      </w:r>
    </w:p>
    <w:p>
      <w:pPr>
        <w:pStyle w:val="TextBody"/>
        <w:bidi w:val="0"/>
        <w:spacing w:before="360" w:after="0"/>
        <w:jc w:val="left"/>
        <w:rPr>
          <w:rFonts w:ascii="Times New Roman" w:hAnsi="Times New Roman"/>
          <w:sz w:val="20"/>
        </w:rPr>
      </w:pPr>
      <w:r>
        <w:rPr>
          <w:rFonts w:ascii="Times New Roman" w:hAnsi="Times New Roman"/>
          <w:i/>
          <w:sz w:val="20"/>
        </w:rPr>
        <w:t>The Company’s Charter Documents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KLXE’s amended and restated certificate of incorporation (the “Certificate”) currently provides that, to the fullest extent permitted by the DGCL, no director shall be personally liable to KLXE or its stockholders for monetary damages for breach of fiduciary duty as a director. Notwithstanding this provision, pursuant to Section 102(b)(7) of the DGCL, no such provision may exculpate a director from liability (1) for any breach of the director’s duty of loyalty to KLXE or its stockholders, (2) for acts or omissions not in good faith or that involve intentional misconduct or a knowing violation of law, (3) under Section 174 of the DGCL (which concerns unlawful payments of dividends, stock purchases or redemptions) or (4) for any transaction from which the director derives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While the Certificate provides directors with protection from awards for monetary damages for breaches of their duty of care, it does not eliminate this duty. Accordingly, the Certificate has no effect on the availability of equitable remedies such as an injunction or rescission based on a director’s breach of his or her duty of care. The provisions of the Certificate described above currently apply to an officer of KLXE only if he or she is a director of KLXE and is acting in his or her capacity as director and do not apply to officers of KLXE who are not directors.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requires the Company to indemnify any person who was or is a party or is threatened to be made a party to, or was otherwise involved in, a legal proceeding by reason of the fact that he or she is or was a director or an officer of KLXE or, while serving as a director or officer of KLXE, is or was serving at the Company’s request as a director, officer, employee or agent of another corporation or of a partnership, joint venture, trust or other enterprise, including service with respect to an employee benefit plan, to the fullest extent authorized by the DGCL, as it exists or may be amended, against all expense, liability and loss (including attorneys’ fees, judgments, fines, ERISA excise taxes or penalties and amounts paid in settlement by or on behalf of such person) actually and reasonably incurred in connection with such service (provided that, in the case of a proceeding initiated by such person, KLXE will only indemnify such person if the proceeding was specifically authorized by the Board). This right of indemnity includes, with certain limitations and exceptions, a right to be paid by KLXE the expenses incurred in defending such proceedings. KLXE is authorized under the Certificate to carry directors’ and officers’ insurance protecting KLXE, any director, officer, employee or agent of the Company’s or another corporation, partnership, joint venture, trust or other enterprise against any expense, liability or loss, whether or not KLXE would have the power to indemnify the person under the DGCL. The Certificate also permits the Company’s Board to indemnify or advance expenses to any of its employees or agents to the fullest extent permitted with respect to its directors and officers in the Company’s Certificate. </w:t>
      </w:r>
    </w:p>
    <w:p>
      <w:pPr>
        <w:pStyle w:val="TextBody"/>
        <w:bidi w:val="0"/>
        <w:spacing w:before="360" w:after="0"/>
        <w:jc w:val="left"/>
        <w:rPr>
          <w:rFonts w:ascii="Times New Roman" w:hAnsi="Times New Roman"/>
          <w:sz w:val="20"/>
        </w:rPr>
      </w:pPr>
      <w:r>
        <w:rPr>
          <w:rFonts w:ascii="Times New Roman" w:hAnsi="Times New Roman"/>
          <w:i/>
          <w:sz w:val="20"/>
        </w:rPr>
        <w:t>Additional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KLXE also maintains directors’ and officers’ liability insurance. </w:t>
      </w:r>
    </w:p>
    <w:p>
      <w:pPr>
        <w:pStyle w:val="TextBody"/>
        <w:bidi w:val="0"/>
        <w:spacing w:before="240" w:after="0"/>
        <w:jc w:val="left"/>
        <w:rPr>
          <w:rFonts w:ascii="Times New Roman" w:hAnsi="Times New Roman"/>
          <w:sz w:val="20"/>
        </w:rPr>
      </w:pPr>
      <w:r>
        <w:rPr>
          <w:rFonts w:ascii="Times New Roman" w:hAnsi="Times New Roman"/>
          <w:sz w:val="20"/>
        </w:rPr>
        <w:t xml:space="preserve">KLXE may enter into one or more underwriting agreements which provide that the underwriters will be obligated, under some circumstances, to indemnify our directors, officers and controlling persons against specified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Exhibits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filed as exhibits to this registration statement, including those exhibits incorporated herein by reference to a prior filing of KLX Energy Services Holdings, Inc. under the Securities Act or the Exchange Act as indicated in parentheses: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8"/>
        <w:gridCol w:w="499"/>
        <w:gridCol w:w="8808"/>
      </w:tblGrid>
      <w:tr>
        <w:trPr/>
        <w:tc>
          <w:tcPr>
            <w:tcW w:w="898" w:type="dxa"/>
            <w:tcBorders/>
            <w:vAlign w:val="center"/>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8808" w:type="dxa"/>
            <w:tcBorders/>
            <w:vAlign w:val="center"/>
          </w:tcPr>
          <w:p>
            <w:pPr>
              <w:pStyle w:val="TableContents"/>
              <w:bidi w:val="0"/>
              <w:spacing w:before="0" w:after="283"/>
              <w:jc w:val="left"/>
              <w:rPr>
                <w:sz w:val="4"/>
                <w:szCs w:val="4"/>
              </w:rPr>
            </w:pPr>
            <w:r>
              <w:rPr>
                <w:sz w:val="4"/>
                <w:szCs w:val="4"/>
              </w:rPr>
            </w:r>
          </w:p>
        </w:tc>
      </w:tr>
      <w:tr>
        <w:trPr/>
        <w:tc>
          <w:tcPr>
            <w:tcW w:w="89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499" w:type="dxa"/>
            <w:tcBorders/>
            <w:vAlign w:val="bottom"/>
          </w:tcPr>
          <w:p>
            <w:pPr>
              <w:pStyle w:val="TableContents"/>
              <w:bidi w:val="0"/>
              <w:spacing w:before="0" w:after="283"/>
              <w:jc w:val="left"/>
              <w:rPr/>
            </w:pPr>
            <w:r>
              <w:rPr/>
              <w:t>  </w:t>
            </w:r>
          </w:p>
        </w:tc>
        <w:tc>
          <w:tcPr>
            <w:tcW w:w="88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Exhibits</w:t>
            </w:r>
          </w:p>
        </w:tc>
      </w:tr>
      <w:tr>
        <w:trPr/>
        <w:tc>
          <w:tcPr>
            <w:tcW w:w="898" w:type="dxa"/>
            <w:tcBorders/>
          </w:tcPr>
          <w:p>
            <w:pPr>
              <w:pStyle w:val="TableContents"/>
              <w:bidi w:val="0"/>
              <w:spacing w:before="0" w:after="283"/>
              <w:jc w:val="left"/>
              <w:rPr/>
            </w:pPr>
            <w:r>
              <w:rPr/>
              <w:t>  </w:t>
            </w:r>
            <w:r>
              <w:rPr/>
              <w:t>1.1*</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Form of Underwriting Agreement</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3.1</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r:id="rId20">
              <w:r>
                <w:rPr>
                  <w:rStyle w:val="InternetLink"/>
                </w:rPr>
                <w:t xml:space="preserve">Amended and Restated Certificate of Incorporation of KLX Energy Services Holdings, Inc. (incorporated by reference to Exhibit 3.1 to the Company’s Quarterly Report on Form 10-Q, filed on September 8, 2020, File No. 001-38609).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3.2</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r:id="rId21">
              <w:r>
                <w:rPr>
                  <w:rStyle w:val="InternetLink"/>
                </w:rPr>
                <w:t xml:space="preserve">Fourth Amended and Restated Bylaws of KLX Energy Services Holdings, Inc. (incorporated by reference to Exhibit 3.1 of the Company’s Current Report on Form 8-K filed on September 9, 2021, File No. 001-38609).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4.1</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r:id="rId22">
              <w:r>
                <w:rPr>
                  <w:rStyle w:val="InternetLink"/>
                </w:rPr>
                <w:t xml:space="preserve">Description of Securities Registered Pursuant to Section  12 of the Exchange Act (incorporated by reference to Exhibit 4.3 to the Company’s Annual Report on Form 10-K filed with the SEC on April 28, 2021, File No. 001-38609).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4.2</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r:id="rId23">
              <w:r>
                <w:rPr>
                  <w:rStyle w:val="InternetLink"/>
                </w:rPr>
                <w:t xml:space="preserve">Form of Warrant Agreement for 2025 Warrants (incorporated by reference to Exhibit 4.3 to the Company’s Current Report on Form 8-K, filed on March 12, 2025, File No. 001-38609).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4.3</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r:id="rId24">
              <w:r>
                <w:rPr>
                  <w:rStyle w:val="InternetLink"/>
                </w:rPr>
                <w:t xml:space="preserve">Form of Warrant Agreement for 2026 Warrants (incorporated by reference to Exhibit 4.2 to the Company’s Quarterly Report on Form 10-Q, filed on May 13, 2026, File No. 001-38609).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4.4**</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w:anchor="d63698dex44.htm">
              <w:r>
                <w:rPr>
                  <w:rStyle w:val="InternetLink"/>
                </w:rPr>
                <w:t xml:space="preserve">Form of Indenture related to Debt Securities.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4.5*</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Form of Debt Securities.</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4.6*</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Form of Preferred Stock Designations.</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4.7*</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Form of Warrant Agreement.</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4.8*</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Form of Warrant Certificate.</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4.9*</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Form of Unit Agreement.</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4.10*</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Form of Rights Agreement.</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4.11*</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Form of Rights Certificate.</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5.1**</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w:anchor="d63698dex51.htm">
              <w:r>
                <w:rPr>
                  <w:rStyle w:val="InternetLink"/>
                </w:rPr>
                <w:t xml:space="preserve">Opinion of Vinson &amp; Elkins L.L.P. as to the legality of the securities being registered.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10.1</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r:id="rId25">
              <w:r>
                <w:rPr>
                  <w:rStyle w:val="InternetLink"/>
                </w:rPr>
                <w:t xml:space="preserve">Securities Purchase Agreement, dated as of March  7, 2025, by and among KLX Energy Services Holdings, Inc., the subsidiary guarantors party thereto, and the holders of Existing Notes party thereto (incorporated by reference to Exhibit 10.1 of the Company’s Current Report on Form 8-K, filed on March 7, 2025, File No. 001-38609).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23.1**</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w:anchor="d63698dex231.htm">
              <w:r>
                <w:rPr>
                  <w:rStyle w:val="InternetLink"/>
                </w:rPr>
                <w:t xml:space="preserve">Consent of Deloitte &amp; Touche LLP.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23.2**</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w:anchor="d63698dex51.htm">
              <w:r>
                <w:rPr>
                  <w:rStyle w:val="InternetLink"/>
                </w:rPr>
                <w:t xml:space="preserve">Consent of Vinson &amp; Elkins L.L.P. (included in Exhibit 5.1).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24.1**</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w:anchor="sig">
              <w:r>
                <w:rPr>
                  <w:rStyle w:val="InternetLink"/>
                </w:rPr>
                <w:t xml:space="preserve">Powers of Attorney (included on signature pages of this registration statement). </w:t>
              </w:r>
            </w:hyperlink>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 </w:t>
            </w:r>
            <w:r>
              <w:rPr/>
              <w:t>25.1*</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r>
              <w:rPr/>
              <w:t>Form of T-1 Statement of Eligibility respecting the Indenture.</w:t>
            </w:r>
          </w:p>
        </w:tc>
      </w:tr>
      <w:tr>
        <w:trPr>
          <w:trHeight w:val="120" w:hRule="atLeast"/>
        </w:trPr>
        <w:tc>
          <w:tcPr>
            <w:tcW w:w="898" w:type="dxa"/>
            <w:tcBorders/>
            <w:vAlign w:val="center"/>
          </w:tcPr>
          <w:p>
            <w:pPr>
              <w:pStyle w:val="TableContents"/>
              <w:bidi w:val="0"/>
              <w:spacing w:before="0" w:after="283"/>
              <w:jc w:val="left"/>
              <w:rPr>
                <w:sz w:val="4"/>
                <w:szCs w:val="4"/>
              </w:rPr>
            </w:pPr>
            <w:r>
              <w:rPr>
                <w:sz w:val="4"/>
                <w:szCs w:val="4"/>
              </w:rPr>
            </w:r>
          </w:p>
        </w:tc>
        <w:tc>
          <w:tcPr>
            <w:tcW w:w="9307" w:type="dxa"/>
            <w:gridSpan w:val="2"/>
            <w:tcBorders/>
            <w:vAlign w:val="center"/>
          </w:tcPr>
          <w:p>
            <w:pPr>
              <w:pStyle w:val="TableContents"/>
              <w:bidi w:val="0"/>
              <w:spacing w:before="0" w:after="283"/>
              <w:jc w:val="left"/>
              <w:rPr>
                <w:sz w:val="4"/>
                <w:szCs w:val="4"/>
              </w:rPr>
            </w:pPr>
            <w:r>
              <w:rPr>
                <w:sz w:val="4"/>
                <w:szCs w:val="4"/>
              </w:rPr>
            </w:r>
          </w:p>
        </w:tc>
      </w:tr>
      <w:tr>
        <w:trPr/>
        <w:tc>
          <w:tcPr>
            <w:tcW w:w="898" w:type="dxa"/>
            <w:tcBorders/>
          </w:tcPr>
          <w:p>
            <w:pPr>
              <w:pStyle w:val="TableContents"/>
              <w:bidi w:val="0"/>
              <w:spacing w:before="0" w:after="283"/>
              <w:jc w:val="left"/>
              <w:rPr/>
            </w:pPr>
            <w:r>
              <w:rPr/>
              <w:t>107**</w:t>
            </w:r>
          </w:p>
        </w:tc>
        <w:tc>
          <w:tcPr>
            <w:tcW w:w="499" w:type="dxa"/>
            <w:tcBorders/>
            <w:vAlign w:val="bottom"/>
          </w:tcPr>
          <w:p>
            <w:pPr>
              <w:pStyle w:val="TableContents"/>
              <w:bidi w:val="0"/>
              <w:spacing w:before="0" w:after="283"/>
              <w:jc w:val="left"/>
              <w:rPr/>
            </w:pPr>
            <w:r>
              <w:rPr/>
              <w:t>  </w:t>
            </w:r>
          </w:p>
        </w:tc>
        <w:tc>
          <w:tcPr>
            <w:tcW w:w="8808" w:type="dxa"/>
            <w:tcBorders/>
          </w:tcPr>
          <w:p>
            <w:pPr>
              <w:pStyle w:val="TableContents"/>
              <w:bidi w:val="0"/>
              <w:spacing w:before="0" w:after="283"/>
              <w:jc w:val="left"/>
              <w:rPr/>
            </w:pPr>
            <w:hyperlink w:anchor="d63698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as an exhibit to a current report on Form 8-K of KLX Energy Services Holdings, Inc.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17.</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Undertakings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(a)(i), (a)(ii) and (a)(iii)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as amended,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of 1933, as amended,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(h)</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sig"/>
      <w:bookmarkEnd w:id="3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May 14, 2026. </w:t>
      </w:r>
    </w:p>
    <w:p>
      <w:pPr>
        <w:pStyle w:val="TextBody"/>
        <w:bidi w:val="0"/>
        <w:spacing w:before="0" w:after="0"/>
        <w:jc w:val="left"/>
        <w:rPr/>
      </w:pPr>
      <w:r>
        <w:rPr/>
        <w:t> </w:t>
      </w:r>
    </w:p>
    <w:tbl>
      <w:tblPr>
        <w:tblW w:w="4885" w:type="dxa"/>
        <w:jc w:val="right"/>
        <w:tblInd w:w="0" w:type="dxa"/>
        <w:tblLayout w:type="fixed"/>
        <w:tblCellMar>
          <w:top w:w="0" w:type="dxa"/>
          <w:left w:w="0" w:type="dxa"/>
          <w:bottom w:w="0" w:type="dxa"/>
          <w:right w:w="0" w:type="dxa"/>
        </w:tblCellMar>
      </w:tblPr>
      <w:tblGrid>
        <w:gridCol w:w="305"/>
        <w:gridCol w:w="60"/>
        <w:gridCol w:w="452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20"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cPr>
          <w:p>
            <w:pPr>
              <w:pStyle w:val="TableContents"/>
              <w:bidi w:val="0"/>
              <w:spacing w:before="0" w:after="283"/>
              <w:jc w:val="left"/>
              <w:rPr>
                <w:b/>
              </w:rPr>
            </w:pPr>
            <w:r>
              <w:rPr>
                <w:b/>
              </w:rPr>
              <w:t>KLX ENERGY SERVICES HOLDINGS, INC.</w:t>
            </w:r>
          </w:p>
        </w:tc>
      </w:tr>
      <w:tr>
        <w:trPr>
          <w:trHeight w:val="240" w:hRule="atLeast"/>
        </w:trPr>
        <w:tc>
          <w:tcPr>
            <w:tcW w:w="305" w:type="dxa"/>
            <w:tcBorders/>
            <w:vAlign w:val="center"/>
          </w:tcPr>
          <w:p>
            <w:pPr>
              <w:pStyle w:val="TableContents"/>
              <w:bidi w:val="0"/>
              <w:spacing w:before="0" w:after="283"/>
              <w:jc w:val="left"/>
              <w:rPr>
                <w:sz w:val="4"/>
                <w:szCs w:val="4"/>
              </w:rPr>
            </w:pPr>
            <w:r>
              <w:rPr>
                <w:sz w:val="4"/>
                <w:szCs w:val="4"/>
              </w:rPr>
            </w:r>
          </w:p>
        </w:tc>
        <w:tc>
          <w:tcPr>
            <w:tcW w:w="4580" w:type="dxa"/>
            <w:gridSpan w:val="2"/>
            <w:tcBorders/>
            <w:vAlign w:val="center"/>
          </w:tcPr>
          <w:p>
            <w:pPr>
              <w:pStyle w:val="TableContents"/>
              <w:bidi w:val="0"/>
              <w:spacing w:before="0" w:after="283"/>
              <w:jc w:val="left"/>
              <w:rPr>
                <w:sz w:val="4"/>
                <w:szCs w:val="4"/>
              </w:rPr>
            </w:pPr>
            <w:r>
              <w:rPr>
                <w:sz w:val="4"/>
                <w:szCs w:val="4"/>
              </w:rPr>
            </w:r>
          </w:p>
        </w:tc>
      </w:tr>
      <w:tr>
        <w:trPr/>
        <w:tc>
          <w:tcPr>
            <w:tcW w:w="3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20" w:type="dxa"/>
            <w:tcBorders>
              <w:bottom w:val="single" w:sz="2" w:space="0" w:color="000000"/>
            </w:tcBorders>
            <w:tcMar>
              <w:bottom w:w="28" w:type="dxa"/>
            </w:tcMar>
          </w:tcPr>
          <w:p>
            <w:pPr>
              <w:pStyle w:val="TableContents"/>
              <w:bidi w:val="0"/>
              <w:spacing w:before="0" w:after="283"/>
              <w:jc w:val="left"/>
              <w:rPr/>
            </w:pPr>
            <w:r>
              <w:rPr/>
              <w:t>/s/ Christopher J. Baker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20" w:type="dxa"/>
            <w:tcBorders/>
            <w:vAlign w:val="bottom"/>
          </w:tcPr>
          <w:p>
            <w:pPr>
              <w:pStyle w:val="TableContents"/>
              <w:bidi w:val="0"/>
              <w:spacing w:before="0" w:after="283"/>
              <w:jc w:val="left"/>
              <w:rPr/>
            </w:pPr>
            <w:r>
              <w:rPr/>
              <w:t>Christopher J. Baker</w:t>
            </w:r>
          </w:p>
        </w:tc>
      </w:tr>
      <w:tr>
        <w:trPr/>
        <w:tc>
          <w:tcPr>
            <w:tcW w:w="30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20" w:type="dxa"/>
            <w:tcBorders/>
            <w:vAlign w:val="bottom"/>
          </w:tcPr>
          <w:p>
            <w:pPr>
              <w:pStyle w:val="TableContents"/>
              <w:bidi w:val="0"/>
              <w:spacing w:before="0" w:after="283"/>
              <w:jc w:val="left"/>
              <w:rPr/>
            </w:pPr>
            <w:r>
              <w:rPr/>
              <w:t>President, Chief Executive Officer and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appoints Christopher J. Baker and Max L. Bouthillette, and each of them, any of whom may act without the joinder of the other, as his or her true and lawful attorneys-in-fact and agents, with full power of substitution and resubstitution, for him or her and in his name, place and stead, in any and all capacities, to sign any and all amendments (including post-effective amendments) to this Registration Statement and any Registration Statement (including any amendment thereto) for this offering that is to be effective upon filing pursuant to Rule 462(b) under the Securities Act of 1933, as amended, and to file the same, with all exhibits thereto, and all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would do in person, hereby ratifying and confirming all that said attorneys-in-fact and agents or any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below by the following persons in the capacities indicated below as of May 14,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Name</w:t>
            </w:r>
          </w:p>
        </w:tc>
        <w:tc>
          <w:tcPr>
            <w:tcW w:w="207" w:type="dxa"/>
            <w:tcBorders/>
            <w:vAlign w:val="bottom"/>
          </w:tcPr>
          <w:p>
            <w:pPr>
              <w:pStyle w:val="TableContents"/>
              <w:bidi w:val="0"/>
              <w:spacing w:before="0" w:after="283"/>
              <w:jc w:val="left"/>
              <w:rPr/>
            </w:pPr>
            <w:r>
              <w:rPr/>
              <w:t>  </w:t>
            </w:r>
          </w:p>
        </w:tc>
        <w:tc>
          <w:tcPr>
            <w:tcW w:w="5312" w:type="dxa"/>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J. Baker</w:t>
            </w:r>
          </w:p>
          <w:p>
            <w:pPr>
              <w:pStyle w:val="TableContents"/>
              <w:bidi w:val="0"/>
              <w:spacing w:before="0" w:after="20"/>
              <w:jc w:val="center"/>
              <w:rPr>
                <w:rFonts w:ascii="Times New Roman" w:hAnsi="Times New Roman"/>
                <w:sz w:val="20"/>
              </w:rPr>
            </w:pPr>
            <w:r>
              <w:rPr>
                <w:rFonts w:ascii="Times New Roman" w:hAnsi="Times New Roman"/>
                <w:sz w:val="20"/>
              </w:rPr>
              <w:t>Christopher J. Baker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President, Chief Executive Officer and Director (Principal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Geoffrey C. Stanford</w:t>
            </w:r>
          </w:p>
          <w:p>
            <w:pPr>
              <w:pStyle w:val="TableContents"/>
              <w:bidi w:val="0"/>
              <w:spacing w:before="0" w:after="20"/>
              <w:jc w:val="center"/>
              <w:rPr>
                <w:rFonts w:ascii="Times New Roman" w:hAnsi="Times New Roman"/>
                <w:sz w:val="20"/>
              </w:rPr>
            </w:pPr>
            <w:r>
              <w:rPr>
                <w:rFonts w:ascii="Times New Roman" w:hAnsi="Times New Roman"/>
                <w:sz w:val="20"/>
              </w:rPr>
              <w:t>Geoffrey C. Stanford</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Interim Chief Financial Officer and Chief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T. Whates</w:t>
            </w:r>
          </w:p>
          <w:p>
            <w:pPr>
              <w:pStyle w:val="TableContents"/>
              <w:bidi w:val="0"/>
              <w:spacing w:before="0" w:after="20"/>
              <w:jc w:val="center"/>
              <w:rPr>
                <w:rFonts w:ascii="Times New Roman" w:hAnsi="Times New Roman"/>
                <w:sz w:val="20"/>
              </w:rPr>
            </w:pPr>
            <w:r>
              <w:rPr>
                <w:rFonts w:ascii="Times New Roman" w:hAnsi="Times New Roman"/>
                <w:sz w:val="20"/>
              </w:rPr>
              <w:t>John T. Whates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 and Chairman of the Audit committee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Gunnar Eliassen</w:t>
            </w:r>
          </w:p>
          <w:p>
            <w:pPr>
              <w:pStyle w:val="TableContents"/>
              <w:bidi w:val="0"/>
              <w:spacing w:before="0" w:after="20"/>
              <w:jc w:val="center"/>
              <w:rPr>
                <w:rFonts w:ascii="Times New Roman" w:hAnsi="Times New Roman"/>
                <w:sz w:val="20"/>
              </w:rPr>
            </w:pPr>
            <w:r>
              <w:rPr>
                <w:rFonts w:ascii="Times New Roman" w:hAnsi="Times New Roman"/>
                <w:sz w:val="20"/>
              </w:rPr>
              <w:t>Gunnar Eliassen</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 and Chairman of the Nominating and Corporate Governance Committee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Corbin J. Robertson, Jr.</w:t>
            </w:r>
          </w:p>
          <w:p>
            <w:pPr>
              <w:pStyle w:val="TableContents"/>
              <w:bidi w:val="0"/>
              <w:spacing w:before="0" w:after="20"/>
              <w:jc w:val="center"/>
              <w:rPr>
                <w:rFonts w:ascii="Times New Roman" w:hAnsi="Times New Roman"/>
                <w:sz w:val="20"/>
              </w:rPr>
            </w:pPr>
            <w:r>
              <w:rPr>
                <w:rFonts w:ascii="Times New Roman" w:hAnsi="Times New Roman"/>
                <w:sz w:val="20"/>
              </w:rPr>
              <w:t>Corbin J. Robertson, Jr.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Chairman of the Board of Directors</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T. Collins</w:t>
            </w:r>
          </w:p>
          <w:p>
            <w:pPr>
              <w:pStyle w:val="TableContents"/>
              <w:bidi w:val="0"/>
              <w:spacing w:before="0" w:after="20"/>
              <w:jc w:val="center"/>
              <w:rPr>
                <w:rFonts w:ascii="Times New Roman" w:hAnsi="Times New Roman"/>
                <w:sz w:val="20"/>
              </w:rPr>
            </w:pPr>
            <w:r>
              <w:rPr>
                <w:rFonts w:ascii="Times New Roman" w:hAnsi="Times New Roman"/>
                <w:sz w:val="20"/>
              </w:rPr>
              <w:t>John T. Collins</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Name</w:t>
            </w:r>
          </w:p>
        </w:tc>
        <w:tc>
          <w:tcPr>
            <w:tcW w:w="207" w:type="dxa"/>
            <w:tcBorders/>
            <w:vAlign w:val="bottom"/>
          </w:tcPr>
          <w:p>
            <w:pPr>
              <w:pStyle w:val="TableContents"/>
              <w:bidi w:val="0"/>
              <w:spacing w:before="0" w:after="283"/>
              <w:jc w:val="left"/>
              <w:rPr/>
            </w:pPr>
            <w:r>
              <w:rPr/>
              <w:t>  </w:t>
            </w:r>
          </w:p>
        </w:tc>
        <w:tc>
          <w:tcPr>
            <w:tcW w:w="5312" w:type="dxa"/>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Danielle E. Hunter</w:t>
            </w:r>
          </w:p>
          <w:p>
            <w:pPr>
              <w:pStyle w:val="TableContents"/>
              <w:bidi w:val="0"/>
              <w:spacing w:before="0" w:after="20"/>
              <w:jc w:val="center"/>
              <w:rPr>
                <w:rFonts w:ascii="Times New Roman" w:hAnsi="Times New Roman"/>
                <w:sz w:val="20"/>
              </w:rPr>
            </w:pPr>
            <w:r>
              <w:rPr>
                <w:rFonts w:ascii="Times New Roman" w:hAnsi="Times New Roman"/>
                <w:sz w:val="20"/>
              </w:rPr>
              <w:t>Danielle E. Hunter</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 and Chairman of the Compensation Committee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Thomas P. McCaffrey</w:t>
            </w:r>
          </w:p>
          <w:p>
            <w:pPr>
              <w:pStyle w:val="TableContents"/>
              <w:bidi w:val="0"/>
              <w:spacing w:before="0" w:after="20"/>
              <w:jc w:val="center"/>
              <w:rPr>
                <w:rFonts w:ascii="Times New Roman" w:hAnsi="Times New Roman"/>
                <w:sz w:val="20"/>
              </w:rPr>
            </w:pPr>
            <w:r>
              <w:rPr>
                <w:rFonts w:ascii="Times New Roman" w:hAnsi="Times New Roman"/>
                <w:sz w:val="20"/>
              </w:rPr>
              <w:t>Thomas P. McCaffrey</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p>
    <w:p>
      <w:pPr>
        <w:pStyle w:val="TextBody"/>
        <w:bidi w:val="0"/>
        <w:spacing w:before="0" w:after="0"/>
        <w:jc w:val="right"/>
        <w:rPr>
          <w:rFonts w:ascii="Times New Roman" w:hAnsi="Times New Roman"/>
          <w:b/>
          <w:sz w:val="20"/>
        </w:rPr>
      </w:pPr>
      <w:bookmarkStart w:id="32" w:name="d63698dex44.htm"/>
      <w:bookmarkStart w:id="33" w:name="ksd63698dex44"/>
      <w:bookmarkEnd w:id="32"/>
      <w:bookmarkEnd w:id="33"/>
      <w:r>
        <w:rPr>
          <w:rFonts w:ascii="Times New Roman" w:hAnsi="Times New Roman"/>
          <w:b/>
          <w:sz w:val="20"/>
        </w:rPr>
        <w:t xml:space="preserve">Exhibit 4.4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KLX ENERGY SERVICES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ANY GUARANTORS PARTY HERETO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 </w:t>
      </w:r>
    </w:p>
    <w:p>
      <w:pPr>
        <w:pStyle w:val="TextBody"/>
        <w:bidi w:val="0"/>
        <w:spacing w:before="240" w:after="0"/>
        <w:jc w:val="center"/>
        <w:rPr>
          <w:rFonts w:ascii="Times New Roman" w:hAnsi="Times New Roman"/>
          <w:b/>
          <w:sz w:val="20"/>
        </w:rPr>
      </w:pPr>
      <w:r>
        <w:rPr>
          <w:rFonts w:ascii="Times New Roman" w:hAnsi="Times New Roman"/>
          <w:b/>
          <w:sz w:val="20"/>
        </w:rPr>
        <w:t xml:space="preserve">As Trustee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CROSS-REFERENCE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37"/>
        <w:gridCol w:w="122"/>
        <w:gridCol w:w="4346"/>
      </w:tblGrid>
      <w:tr>
        <w:trPr/>
        <w:tc>
          <w:tcPr>
            <w:tcW w:w="573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46" w:type="dxa"/>
            <w:tcBorders/>
            <w:vAlign w:val="center"/>
          </w:tcPr>
          <w:p>
            <w:pPr>
              <w:pStyle w:val="TableContents"/>
              <w:bidi w:val="0"/>
              <w:spacing w:before="0" w:after="283"/>
              <w:jc w:val="left"/>
              <w:rPr>
                <w:sz w:val="4"/>
                <w:szCs w:val="4"/>
              </w:rPr>
            </w:pPr>
            <w:r>
              <w:rPr>
                <w:sz w:val="4"/>
                <w:szCs w:val="4"/>
              </w:rPr>
            </w:r>
          </w:p>
        </w:tc>
      </w:tr>
      <w:tr>
        <w:trPr/>
        <w:tc>
          <w:tcPr>
            <w:tcW w:w="57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Trust Indenture Act Section</w:t>
            </w:r>
          </w:p>
        </w:tc>
        <w:tc>
          <w:tcPr>
            <w:tcW w:w="122" w:type="dxa"/>
            <w:tcBorders/>
            <w:vAlign w:val="bottom"/>
          </w:tcPr>
          <w:p>
            <w:pPr>
              <w:pStyle w:val="TableContents"/>
              <w:bidi w:val="0"/>
              <w:spacing w:before="0" w:after="283"/>
              <w:jc w:val="left"/>
              <w:rPr/>
            </w:pPr>
            <w:r>
              <w:rPr/>
              <w:t>  </w:t>
            </w:r>
          </w:p>
        </w:tc>
        <w:tc>
          <w:tcPr>
            <w:tcW w:w="4346" w:type="dxa"/>
            <w:tcBorders/>
            <w:vAlign w:val="bottom"/>
          </w:tcPr>
          <w:p>
            <w:pPr>
              <w:pStyle w:val="TableContents"/>
              <w:pBdr>
                <w:bottom w:val="single" w:sz="8" w:space="1" w:color="000000"/>
              </w:pBdr>
              <w:bidi w:val="0"/>
              <w:spacing w:before="0" w:after="0"/>
              <w:jc w:val="right"/>
              <w:rPr>
                <w:rFonts w:ascii="Times New Roman" w:hAnsi="Times New Roman"/>
                <w:b/>
                <w:sz w:val="16"/>
              </w:rPr>
            </w:pPr>
            <w:r>
              <w:rPr>
                <w:rFonts w:ascii="Times New Roman" w:hAnsi="Times New Roman"/>
                <w:b/>
                <w:sz w:val="16"/>
              </w:rPr>
              <w:t>Indenture Section</w:t>
            </w:r>
          </w:p>
        </w:tc>
      </w:tr>
      <w:tr>
        <w:trPr/>
        <w:tc>
          <w:tcPr>
            <w:tcW w:w="5737" w:type="dxa"/>
            <w:tcBorders/>
          </w:tcPr>
          <w:p>
            <w:pPr>
              <w:pStyle w:val="TableContents"/>
              <w:bidi w:val="0"/>
              <w:spacing w:before="0" w:after="283"/>
              <w:jc w:val="left"/>
              <w:rPr/>
            </w:pPr>
            <w:r>
              <w:rPr/>
              <w:t>310(a)(1)</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7.10</w:t>
            </w:r>
          </w:p>
        </w:tc>
      </w:tr>
      <w:tr>
        <w:trPr/>
        <w:tc>
          <w:tcPr>
            <w:tcW w:w="5737" w:type="dxa"/>
            <w:tcBorders/>
          </w:tcPr>
          <w:p>
            <w:pPr>
              <w:pStyle w:val="TableContents"/>
              <w:bidi w:val="0"/>
              <w:spacing w:before="0" w:after="283"/>
              <w:jc w:val="left"/>
              <w:rPr/>
            </w:pPr>
            <w:r>
              <w:rPr/>
              <w:t>(a)(2)</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7.10</w:t>
            </w:r>
          </w:p>
        </w:tc>
      </w:tr>
      <w:tr>
        <w:trPr/>
        <w:tc>
          <w:tcPr>
            <w:tcW w:w="5737" w:type="dxa"/>
            <w:tcBorders/>
          </w:tcPr>
          <w:p>
            <w:pPr>
              <w:pStyle w:val="TableContents"/>
              <w:bidi w:val="0"/>
              <w:spacing w:before="0" w:after="283"/>
              <w:jc w:val="left"/>
              <w:rPr/>
            </w:pPr>
            <w:r>
              <w:rPr/>
              <w:t>(a)(3)</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N/A</w:t>
            </w:r>
          </w:p>
        </w:tc>
      </w:tr>
      <w:tr>
        <w:trPr/>
        <w:tc>
          <w:tcPr>
            <w:tcW w:w="5737" w:type="dxa"/>
            <w:tcBorders/>
          </w:tcPr>
          <w:p>
            <w:pPr>
              <w:pStyle w:val="TableContents"/>
              <w:bidi w:val="0"/>
              <w:spacing w:before="0" w:after="283"/>
              <w:jc w:val="left"/>
              <w:rPr/>
            </w:pPr>
            <w:r>
              <w:rPr/>
              <w:t>(a)(4)</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N/A</w:t>
            </w:r>
          </w:p>
        </w:tc>
      </w:tr>
      <w:tr>
        <w:trPr/>
        <w:tc>
          <w:tcPr>
            <w:tcW w:w="5737" w:type="dxa"/>
            <w:tcBorders/>
          </w:tcPr>
          <w:p>
            <w:pPr>
              <w:pStyle w:val="TableContents"/>
              <w:bidi w:val="0"/>
              <w:spacing w:before="0" w:after="283"/>
              <w:jc w:val="left"/>
              <w:rPr/>
            </w:pPr>
            <w:r>
              <w:rPr/>
              <w:t>(a)(5)</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7.10</w:t>
            </w:r>
          </w:p>
        </w:tc>
      </w:tr>
      <w:tr>
        <w:trPr/>
        <w:tc>
          <w:tcPr>
            <w:tcW w:w="5737"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7.08, 7.10</w:t>
            </w:r>
          </w:p>
        </w:tc>
      </w:tr>
      <w:tr>
        <w:trPr/>
        <w:tc>
          <w:tcPr>
            <w:tcW w:w="5737"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N/A</w:t>
            </w:r>
          </w:p>
        </w:tc>
      </w:tr>
      <w:tr>
        <w:trPr/>
        <w:tc>
          <w:tcPr>
            <w:tcW w:w="5737" w:type="dxa"/>
            <w:tcBorders/>
          </w:tcPr>
          <w:p>
            <w:pPr>
              <w:pStyle w:val="TableContents"/>
              <w:bidi w:val="0"/>
              <w:spacing w:before="0" w:after="283"/>
              <w:jc w:val="left"/>
              <w:rPr/>
            </w:pPr>
            <w:r>
              <w:rPr/>
              <w:t>311(a)</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7.11</w:t>
            </w:r>
          </w:p>
        </w:tc>
      </w:tr>
      <w:tr>
        <w:trPr/>
        <w:tc>
          <w:tcPr>
            <w:tcW w:w="5737"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7.11</w:t>
            </w:r>
          </w:p>
        </w:tc>
      </w:tr>
      <w:tr>
        <w:trPr/>
        <w:tc>
          <w:tcPr>
            <w:tcW w:w="5737"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N/A</w:t>
            </w:r>
          </w:p>
        </w:tc>
      </w:tr>
      <w:tr>
        <w:trPr/>
        <w:tc>
          <w:tcPr>
            <w:tcW w:w="5737" w:type="dxa"/>
            <w:tcBorders/>
          </w:tcPr>
          <w:p>
            <w:pPr>
              <w:pStyle w:val="TableContents"/>
              <w:bidi w:val="0"/>
              <w:spacing w:before="0" w:after="283"/>
              <w:jc w:val="left"/>
              <w:rPr/>
            </w:pPr>
            <w:r>
              <w:rPr/>
              <w:t>312(a)</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2.07</w:t>
            </w:r>
          </w:p>
        </w:tc>
      </w:tr>
      <w:tr>
        <w:trPr/>
        <w:tc>
          <w:tcPr>
            <w:tcW w:w="5737"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11.03</w:t>
            </w:r>
          </w:p>
        </w:tc>
      </w:tr>
      <w:tr>
        <w:trPr/>
        <w:tc>
          <w:tcPr>
            <w:tcW w:w="5737"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11.03</w:t>
            </w:r>
          </w:p>
        </w:tc>
      </w:tr>
      <w:tr>
        <w:trPr/>
        <w:tc>
          <w:tcPr>
            <w:tcW w:w="5737" w:type="dxa"/>
            <w:tcBorders/>
          </w:tcPr>
          <w:p>
            <w:pPr>
              <w:pStyle w:val="TableContents"/>
              <w:bidi w:val="0"/>
              <w:spacing w:before="0" w:after="283"/>
              <w:jc w:val="left"/>
              <w:rPr/>
            </w:pPr>
            <w:r>
              <w:rPr/>
              <w:t>313(a)</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7.06</w:t>
            </w:r>
          </w:p>
        </w:tc>
      </w:tr>
      <w:tr>
        <w:trPr/>
        <w:tc>
          <w:tcPr>
            <w:tcW w:w="5737" w:type="dxa"/>
            <w:tcBorders/>
          </w:tcPr>
          <w:p>
            <w:pPr>
              <w:pStyle w:val="TableContents"/>
              <w:bidi w:val="0"/>
              <w:spacing w:before="0" w:after="283"/>
              <w:jc w:val="left"/>
              <w:rPr/>
            </w:pPr>
            <w:r>
              <w:rPr/>
              <w:t>(b)(1)</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7.06</w:t>
            </w:r>
          </w:p>
        </w:tc>
      </w:tr>
      <w:tr>
        <w:trPr/>
        <w:tc>
          <w:tcPr>
            <w:tcW w:w="5737" w:type="dxa"/>
            <w:tcBorders/>
          </w:tcPr>
          <w:p>
            <w:pPr>
              <w:pStyle w:val="TableContents"/>
              <w:bidi w:val="0"/>
              <w:spacing w:before="0" w:after="283"/>
              <w:jc w:val="left"/>
              <w:rPr/>
            </w:pPr>
            <w:r>
              <w:rPr/>
              <w:t>(b)(2)</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7.06</w:t>
            </w:r>
          </w:p>
        </w:tc>
      </w:tr>
      <w:tr>
        <w:trPr/>
        <w:tc>
          <w:tcPr>
            <w:tcW w:w="5737"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7.06</w:t>
            </w:r>
          </w:p>
        </w:tc>
      </w:tr>
      <w:tr>
        <w:trPr/>
        <w:tc>
          <w:tcPr>
            <w:tcW w:w="5737" w:type="dxa"/>
            <w:tcBorders/>
          </w:tcPr>
          <w:p>
            <w:pPr>
              <w:pStyle w:val="TableContents"/>
              <w:bidi w:val="0"/>
              <w:spacing w:before="0" w:after="283"/>
              <w:jc w:val="left"/>
              <w:rPr/>
            </w:pPr>
            <w:r>
              <w:rPr/>
              <w:t>(d)</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7.06</w:t>
            </w:r>
          </w:p>
        </w:tc>
      </w:tr>
      <w:tr>
        <w:trPr/>
        <w:tc>
          <w:tcPr>
            <w:tcW w:w="5737" w:type="dxa"/>
            <w:tcBorders/>
          </w:tcPr>
          <w:p>
            <w:pPr>
              <w:pStyle w:val="TableContents"/>
              <w:bidi w:val="0"/>
              <w:spacing w:before="0" w:after="283"/>
              <w:jc w:val="left"/>
              <w:rPr/>
            </w:pPr>
            <w:r>
              <w:rPr/>
              <w:t>314(a)</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4.03, 4.04</w:t>
            </w:r>
          </w:p>
        </w:tc>
      </w:tr>
      <w:tr>
        <w:trPr/>
        <w:tc>
          <w:tcPr>
            <w:tcW w:w="5737"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N/A</w:t>
            </w:r>
          </w:p>
        </w:tc>
      </w:tr>
      <w:tr>
        <w:trPr/>
        <w:tc>
          <w:tcPr>
            <w:tcW w:w="5737" w:type="dxa"/>
            <w:tcBorders/>
          </w:tcPr>
          <w:p>
            <w:pPr>
              <w:pStyle w:val="TableContents"/>
              <w:bidi w:val="0"/>
              <w:spacing w:before="0" w:after="283"/>
              <w:jc w:val="left"/>
              <w:rPr/>
            </w:pPr>
            <w:r>
              <w:rPr/>
              <w:t>(c)(1)</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11.04</w:t>
            </w:r>
          </w:p>
        </w:tc>
      </w:tr>
      <w:tr>
        <w:trPr/>
        <w:tc>
          <w:tcPr>
            <w:tcW w:w="5737" w:type="dxa"/>
            <w:tcBorders/>
          </w:tcPr>
          <w:p>
            <w:pPr>
              <w:pStyle w:val="TableContents"/>
              <w:bidi w:val="0"/>
              <w:spacing w:before="0" w:after="283"/>
              <w:jc w:val="left"/>
              <w:rPr/>
            </w:pPr>
            <w:r>
              <w:rPr/>
              <w:t>(c)(2)</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11.04</w:t>
            </w:r>
          </w:p>
        </w:tc>
      </w:tr>
      <w:tr>
        <w:trPr/>
        <w:tc>
          <w:tcPr>
            <w:tcW w:w="5737" w:type="dxa"/>
            <w:tcBorders/>
          </w:tcPr>
          <w:p>
            <w:pPr>
              <w:pStyle w:val="TableContents"/>
              <w:bidi w:val="0"/>
              <w:spacing w:before="0" w:after="283"/>
              <w:jc w:val="left"/>
              <w:rPr/>
            </w:pPr>
            <w:r>
              <w:rPr/>
              <w:t>(c)(3)</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N/A</w:t>
            </w:r>
          </w:p>
        </w:tc>
      </w:tr>
      <w:tr>
        <w:trPr/>
        <w:tc>
          <w:tcPr>
            <w:tcW w:w="5737" w:type="dxa"/>
            <w:tcBorders/>
          </w:tcPr>
          <w:p>
            <w:pPr>
              <w:pStyle w:val="TableContents"/>
              <w:bidi w:val="0"/>
              <w:spacing w:before="0" w:after="283"/>
              <w:jc w:val="left"/>
              <w:rPr/>
            </w:pPr>
            <w:r>
              <w:rPr/>
              <w:t>(d)</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N/A</w:t>
            </w:r>
          </w:p>
        </w:tc>
      </w:tr>
      <w:tr>
        <w:trPr/>
        <w:tc>
          <w:tcPr>
            <w:tcW w:w="5737" w:type="dxa"/>
            <w:tcBorders/>
          </w:tcPr>
          <w:p>
            <w:pPr>
              <w:pStyle w:val="TableContents"/>
              <w:bidi w:val="0"/>
              <w:spacing w:before="0" w:after="283"/>
              <w:jc w:val="left"/>
              <w:rPr/>
            </w:pPr>
            <w:r>
              <w:rPr/>
              <w:t>(e)</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11.05</w:t>
            </w:r>
          </w:p>
        </w:tc>
      </w:tr>
      <w:tr>
        <w:trPr/>
        <w:tc>
          <w:tcPr>
            <w:tcW w:w="5737" w:type="dxa"/>
            <w:tcBorders/>
          </w:tcPr>
          <w:p>
            <w:pPr>
              <w:pStyle w:val="TableContents"/>
              <w:bidi w:val="0"/>
              <w:spacing w:before="0" w:after="283"/>
              <w:jc w:val="left"/>
              <w:rPr/>
            </w:pPr>
            <w:r>
              <w:rPr/>
              <w:t>(f)</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N/A</w:t>
            </w:r>
          </w:p>
        </w:tc>
      </w:tr>
      <w:tr>
        <w:trPr/>
        <w:tc>
          <w:tcPr>
            <w:tcW w:w="5737" w:type="dxa"/>
            <w:tcBorders/>
          </w:tcPr>
          <w:p>
            <w:pPr>
              <w:pStyle w:val="TableContents"/>
              <w:bidi w:val="0"/>
              <w:spacing w:before="0" w:after="283"/>
              <w:jc w:val="left"/>
              <w:rPr/>
            </w:pPr>
            <w:r>
              <w:rPr/>
              <w:t>315(a)</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7.01(b)</w:t>
            </w:r>
          </w:p>
        </w:tc>
      </w:tr>
      <w:tr>
        <w:trPr/>
        <w:tc>
          <w:tcPr>
            <w:tcW w:w="5737"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7.05</w:t>
            </w:r>
          </w:p>
        </w:tc>
      </w:tr>
      <w:tr>
        <w:trPr/>
        <w:tc>
          <w:tcPr>
            <w:tcW w:w="5737"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7.01(a)</w:t>
            </w:r>
          </w:p>
        </w:tc>
      </w:tr>
      <w:tr>
        <w:trPr/>
        <w:tc>
          <w:tcPr>
            <w:tcW w:w="5737" w:type="dxa"/>
            <w:tcBorders/>
          </w:tcPr>
          <w:p>
            <w:pPr>
              <w:pStyle w:val="TableContents"/>
              <w:bidi w:val="0"/>
              <w:spacing w:before="0" w:after="283"/>
              <w:jc w:val="left"/>
              <w:rPr/>
            </w:pPr>
            <w:r>
              <w:rPr/>
              <w:t>(d)</w:t>
            </w:r>
          </w:p>
        </w:tc>
        <w:tc>
          <w:tcPr>
            <w:tcW w:w="122"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right"/>
              <w:rPr/>
            </w:pPr>
            <w:r>
              <w:rPr/>
              <w:t>7.01(c)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68"/>
        <w:gridCol w:w="122"/>
        <w:gridCol w:w="4815"/>
      </w:tblGrid>
      <w:tr>
        <w:trPr/>
        <w:tc>
          <w:tcPr>
            <w:tcW w:w="526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15" w:type="dxa"/>
            <w:tcBorders/>
            <w:vAlign w:val="center"/>
          </w:tcPr>
          <w:p>
            <w:pPr>
              <w:pStyle w:val="TableContents"/>
              <w:bidi w:val="0"/>
              <w:spacing w:before="0" w:after="283"/>
              <w:jc w:val="left"/>
              <w:rPr>
                <w:sz w:val="4"/>
                <w:szCs w:val="4"/>
              </w:rPr>
            </w:pPr>
            <w:r>
              <w:rPr>
                <w:sz w:val="4"/>
                <w:szCs w:val="4"/>
              </w:rPr>
            </w:r>
          </w:p>
        </w:tc>
      </w:tr>
      <w:tr>
        <w:trPr/>
        <w:tc>
          <w:tcPr>
            <w:tcW w:w="52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Trust Indenture Act Section</w:t>
            </w:r>
          </w:p>
        </w:tc>
        <w:tc>
          <w:tcPr>
            <w:tcW w:w="122" w:type="dxa"/>
            <w:tcBorders/>
            <w:vAlign w:val="bottom"/>
          </w:tcPr>
          <w:p>
            <w:pPr>
              <w:pStyle w:val="TableContents"/>
              <w:bidi w:val="0"/>
              <w:spacing w:before="0" w:after="283"/>
              <w:jc w:val="left"/>
              <w:rPr/>
            </w:pPr>
            <w:r>
              <w:rPr/>
              <w:t>  </w:t>
            </w:r>
          </w:p>
        </w:tc>
        <w:tc>
          <w:tcPr>
            <w:tcW w:w="4815" w:type="dxa"/>
            <w:tcBorders/>
            <w:vAlign w:val="bottom"/>
          </w:tcPr>
          <w:p>
            <w:pPr>
              <w:pStyle w:val="TableContents"/>
              <w:pBdr>
                <w:bottom w:val="single" w:sz="8" w:space="1" w:color="000000"/>
              </w:pBdr>
              <w:bidi w:val="0"/>
              <w:spacing w:before="0" w:after="0"/>
              <w:jc w:val="right"/>
              <w:rPr>
                <w:rFonts w:ascii="Times New Roman" w:hAnsi="Times New Roman"/>
                <w:b/>
                <w:sz w:val="16"/>
              </w:rPr>
            </w:pPr>
            <w:r>
              <w:rPr>
                <w:rFonts w:ascii="Times New Roman" w:hAnsi="Times New Roman"/>
                <w:b/>
                <w:sz w:val="16"/>
              </w:rPr>
              <w:t>Indenture Section</w:t>
            </w:r>
          </w:p>
        </w:tc>
      </w:tr>
      <w:tr>
        <w:trPr/>
        <w:tc>
          <w:tcPr>
            <w:tcW w:w="5268" w:type="dxa"/>
            <w:tcBorders/>
          </w:tcPr>
          <w:p>
            <w:pPr>
              <w:pStyle w:val="TableContents"/>
              <w:bidi w:val="0"/>
              <w:spacing w:before="0" w:after="283"/>
              <w:jc w:val="left"/>
              <w:rPr/>
            </w:pPr>
            <w:r>
              <w:rPr/>
              <w:t>(e)</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6.11</w:t>
            </w:r>
          </w:p>
        </w:tc>
      </w:tr>
      <w:tr>
        <w:trPr/>
        <w:tc>
          <w:tcPr>
            <w:tcW w:w="5268" w:type="dxa"/>
            <w:tcBorders/>
          </w:tcPr>
          <w:p>
            <w:pPr>
              <w:pStyle w:val="TableContents"/>
              <w:bidi w:val="0"/>
              <w:spacing w:before="0" w:after="283"/>
              <w:jc w:val="left"/>
              <w:rPr/>
            </w:pPr>
            <w:r>
              <w:rPr/>
              <w:t>316(a)(last sentence)</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2.08</w:t>
            </w:r>
          </w:p>
        </w:tc>
      </w:tr>
      <w:tr>
        <w:trPr/>
        <w:tc>
          <w:tcPr>
            <w:tcW w:w="5268" w:type="dxa"/>
            <w:tcBorders/>
          </w:tcPr>
          <w:p>
            <w:pPr>
              <w:pStyle w:val="TableContents"/>
              <w:bidi w:val="0"/>
              <w:spacing w:before="0" w:after="283"/>
              <w:jc w:val="left"/>
              <w:rPr/>
            </w:pPr>
            <w:r>
              <w:rPr/>
              <w:t>(a)(1)(A)</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6.05</w:t>
            </w:r>
          </w:p>
        </w:tc>
      </w:tr>
      <w:tr>
        <w:trPr/>
        <w:tc>
          <w:tcPr>
            <w:tcW w:w="5268" w:type="dxa"/>
            <w:tcBorders/>
          </w:tcPr>
          <w:p>
            <w:pPr>
              <w:pStyle w:val="TableContents"/>
              <w:bidi w:val="0"/>
              <w:spacing w:before="0" w:after="283"/>
              <w:jc w:val="left"/>
              <w:rPr/>
            </w:pPr>
            <w:r>
              <w:rPr/>
              <w:t>(a)(1)(B)</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6.04</w:t>
            </w:r>
          </w:p>
        </w:tc>
      </w:tr>
      <w:tr>
        <w:trPr/>
        <w:tc>
          <w:tcPr>
            <w:tcW w:w="5268" w:type="dxa"/>
            <w:tcBorders/>
          </w:tcPr>
          <w:p>
            <w:pPr>
              <w:pStyle w:val="TableContents"/>
              <w:bidi w:val="0"/>
              <w:spacing w:before="0" w:after="283"/>
              <w:jc w:val="left"/>
              <w:rPr/>
            </w:pPr>
            <w:r>
              <w:rPr/>
              <w:t>(a)(2)</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N/A</w:t>
            </w:r>
          </w:p>
        </w:tc>
      </w:tr>
      <w:tr>
        <w:trPr/>
        <w:tc>
          <w:tcPr>
            <w:tcW w:w="5268"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6.07</w:t>
            </w:r>
          </w:p>
        </w:tc>
      </w:tr>
      <w:tr>
        <w:trPr/>
        <w:tc>
          <w:tcPr>
            <w:tcW w:w="5268" w:type="dxa"/>
            <w:tcBorders/>
          </w:tcPr>
          <w:p>
            <w:pPr>
              <w:pStyle w:val="TableContents"/>
              <w:bidi w:val="0"/>
              <w:spacing w:before="0" w:after="283"/>
              <w:jc w:val="left"/>
              <w:rPr/>
            </w:pPr>
            <w:r>
              <w:rPr/>
              <w:t>317(a)(1)</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6.08</w:t>
            </w:r>
          </w:p>
        </w:tc>
      </w:tr>
      <w:tr>
        <w:trPr/>
        <w:tc>
          <w:tcPr>
            <w:tcW w:w="5268" w:type="dxa"/>
            <w:tcBorders/>
          </w:tcPr>
          <w:p>
            <w:pPr>
              <w:pStyle w:val="TableContents"/>
              <w:bidi w:val="0"/>
              <w:spacing w:before="0" w:after="283"/>
              <w:jc w:val="left"/>
              <w:rPr/>
            </w:pPr>
            <w:r>
              <w:rPr/>
              <w:t>(a)(2)</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6.09</w:t>
            </w:r>
          </w:p>
        </w:tc>
      </w:tr>
      <w:tr>
        <w:trPr/>
        <w:tc>
          <w:tcPr>
            <w:tcW w:w="5268"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2.06</w:t>
            </w:r>
          </w:p>
        </w:tc>
      </w:tr>
      <w:tr>
        <w:trPr/>
        <w:tc>
          <w:tcPr>
            <w:tcW w:w="5268" w:type="dxa"/>
            <w:tcBorders/>
          </w:tcPr>
          <w:p>
            <w:pPr>
              <w:pStyle w:val="TableContents"/>
              <w:bidi w:val="0"/>
              <w:spacing w:before="0" w:after="283"/>
              <w:jc w:val="left"/>
              <w:rPr/>
            </w:pPr>
            <w:r>
              <w:rPr/>
              <w:t>318(a)</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11.01</w:t>
            </w:r>
          </w:p>
        </w:tc>
      </w:tr>
      <w:tr>
        <w:trPr/>
        <w:tc>
          <w:tcPr>
            <w:tcW w:w="5268" w:type="dxa"/>
            <w:tcBorders/>
          </w:tcPr>
          <w:p>
            <w:pPr>
              <w:pStyle w:val="TableContents"/>
              <w:bidi w:val="0"/>
              <w:spacing w:before="0" w:after="283"/>
              <w:jc w:val="left"/>
              <w:rPr/>
            </w:pPr>
            <w:r>
              <w:rPr/>
              <w:t>(b)</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N/A</w:t>
            </w:r>
          </w:p>
        </w:tc>
      </w:tr>
      <w:tr>
        <w:trPr/>
        <w:tc>
          <w:tcPr>
            <w:tcW w:w="5268" w:type="dxa"/>
            <w:tcBorders/>
          </w:tcPr>
          <w:p>
            <w:pPr>
              <w:pStyle w:val="TableContents"/>
              <w:bidi w:val="0"/>
              <w:spacing w:before="0" w:after="283"/>
              <w:jc w:val="left"/>
              <w:rPr/>
            </w:pPr>
            <w:r>
              <w:rPr/>
              <w:t>(c)</w:t>
            </w:r>
          </w:p>
        </w:tc>
        <w:tc>
          <w:tcPr>
            <w:tcW w:w="122" w:type="dxa"/>
            <w:tcBorders/>
            <w:vAlign w:val="bottom"/>
          </w:tcPr>
          <w:p>
            <w:pPr>
              <w:pStyle w:val="TableContents"/>
              <w:bidi w:val="0"/>
              <w:spacing w:before="0" w:after="283"/>
              <w:jc w:val="left"/>
              <w:rPr/>
            </w:pPr>
            <w:r>
              <w:rPr/>
              <w:t>  </w:t>
            </w:r>
          </w:p>
        </w:tc>
        <w:tc>
          <w:tcPr>
            <w:tcW w:w="4815" w:type="dxa"/>
            <w:tcBorders/>
          </w:tcPr>
          <w:p>
            <w:pPr>
              <w:pStyle w:val="TableContents"/>
              <w:bidi w:val="0"/>
              <w:spacing w:before="0" w:after="283"/>
              <w:jc w:val="right"/>
              <w:rPr/>
            </w:pPr>
            <w:r>
              <w:rPr/>
              <w:t>N/A</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N/A means not applicable. </w:t>
      </w:r>
    </w:p>
    <w:p>
      <w:pPr>
        <w:pStyle w:val="TextBody"/>
        <w:bidi w:val="0"/>
        <w:spacing w:before="0" w:after="0"/>
        <w:jc w:val="left"/>
        <w:rPr>
          <w:rFonts w:ascii="Times New Roman" w:hAnsi="Times New Roman"/>
          <w:sz w:val="20"/>
        </w:rPr>
      </w:pPr>
      <w:r>
        <w:rPr>
          <w:rFonts w:ascii="Times New Roman" w:hAnsi="Times New Roman"/>
          <w:sz w:val="20"/>
        </w:rPr>
        <w:t xml:space="preserve">* This Cross-Reference Table is not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24"/>
        <w:gridCol w:w="125"/>
        <w:gridCol w:w="7395"/>
        <w:gridCol w:w="175"/>
        <w:gridCol w:w="96"/>
        <w:gridCol w:w="426"/>
        <w:gridCol w:w="64"/>
      </w:tblGrid>
      <w:tr>
        <w:trPr/>
        <w:tc>
          <w:tcPr>
            <w:tcW w:w="19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39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92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39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2"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vAlign w:val="bottom"/>
          </w:tcPr>
          <w:p>
            <w:pPr>
              <w:pStyle w:val="TableContents"/>
              <w:bidi w:val="0"/>
              <w:spacing w:before="0" w:after="283"/>
              <w:jc w:val="left"/>
              <w:rPr/>
            </w:pPr>
            <w:r>
              <w:rPr/>
              <w:t>Article I Definitions and Incorporation by Reference</w:t>
            </w:r>
          </w:p>
        </w:tc>
        <w:tc>
          <w:tcPr>
            <w:tcW w:w="175" w:type="dxa"/>
            <w:tcBorders/>
            <w:vAlign w:val="bottom"/>
          </w:tcPr>
          <w:p>
            <w:pPr>
              <w:pStyle w:val="TableContents"/>
              <w:bidi w:val="0"/>
              <w:spacing w:before="0" w:after="283"/>
              <w:jc w:val="left"/>
              <w:rPr/>
            </w:pPr>
            <w:r>
              <w:rPr/>
              <w:t>  </w:t>
            </w:r>
          </w:p>
        </w:tc>
        <w:tc>
          <w:tcPr>
            <w:tcW w:w="522" w:type="dxa"/>
            <w:gridSpan w:val="2"/>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924" w:type="dxa"/>
            <w:tcBorders/>
            <w:vAlign w:val="center"/>
          </w:tcPr>
          <w:p>
            <w:pPr>
              <w:pStyle w:val="TableContents"/>
              <w:bidi w:val="0"/>
              <w:spacing w:before="0" w:after="283"/>
              <w:jc w:val="left"/>
              <w:rPr>
                <w:sz w:val="4"/>
                <w:szCs w:val="4"/>
              </w:rPr>
            </w:pPr>
            <w:r>
              <w:rPr>
                <w:sz w:val="4"/>
                <w:szCs w:val="4"/>
              </w:rPr>
            </w:r>
          </w:p>
        </w:tc>
        <w:tc>
          <w:tcPr>
            <w:tcW w:w="7520"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Other Definitions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Incorporation by Reference of Trust Indenture Act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Rules of Construction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vAlign w:val="bottom"/>
          </w:tcPr>
          <w:p>
            <w:pPr>
              <w:pStyle w:val="TableContents"/>
              <w:bidi w:val="0"/>
              <w:spacing w:before="0" w:after="283"/>
              <w:jc w:val="left"/>
              <w:rPr/>
            </w:pPr>
            <w:r>
              <w:rPr/>
              <w:t>Article II The Securities</w:t>
            </w:r>
          </w:p>
        </w:tc>
        <w:tc>
          <w:tcPr>
            <w:tcW w:w="175" w:type="dxa"/>
            <w:tcBorders/>
            <w:vAlign w:val="bottom"/>
          </w:tcPr>
          <w:p>
            <w:pPr>
              <w:pStyle w:val="TableContents"/>
              <w:bidi w:val="0"/>
              <w:spacing w:before="0" w:after="283"/>
              <w:jc w:val="left"/>
              <w:rPr/>
            </w:pPr>
            <w:r>
              <w:rPr/>
              <w:t>  </w:t>
            </w:r>
          </w:p>
        </w:tc>
        <w:tc>
          <w:tcPr>
            <w:tcW w:w="522" w:type="dxa"/>
            <w:gridSpan w:val="2"/>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924" w:type="dxa"/>
            <w:tcBorders/>
            <w:vAlign w:val="center"/>
          </w:tcPr>
          <w:p>
            <w:pPr>
              <w:pStyle w:val="TableContents"/>
              <w:bidi w:val="0"/>
              <w:spacing w:before="0" w:after="283"/>
              <w:jc w:val="left"/>
              <w:rPr>
                <w:sz w:val="4"/>
                <w:szCs w:val="4"/>
              </w:rPr>
            </w:pPr>
            <w:r>
              <w:rPr>
                <w:sz w:val="4"/>
                <w:szCs w:val="4"/>
              </w:rPr>
            </w:r>
          </w:p>
        </w:tc>
        <w:tc>
          <w:tcPr>
            <w:tcW w:w="7520"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Amount Unlimited; Issuable in Series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Denominations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Forms Generally</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Execution, Authentication, Delivery and Dating</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Registrar and Paying Agent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Paying Agent to Hold Money in Trust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Holder Lists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Transfer and Exchange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Replacement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Outstanding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Original Issue Discount, Foreign-Currency Denominated and Treasury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Temporary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Cancellation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Payments; Defaulted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Persons Deemed Owners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Computation of Interest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Global Securities; Book-Entry Provisions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9444" w:type="dxa"/>
            <w:gridSpan w:val="3"/>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gridSpan w:val="3"/>
            <w:tcBorders/>
            <w:vAlign w:val="bottom"/>
          </w:tcPr>
          <w:p>
            <w:pPr>
              <w:pStyle w:val="TableContents"/>
              <w:bidi w:val="0"/>
              <w:spacing w:before="0" w:after="283"/>
              <w:jc w:val="left"/>
              <w:rPr/>
            </w:pPr>
            <w:r>
              <w:rPr/>
              <w:t>Article III Redemption</w:t>
            </w:r>
          </w:p>
        </w:tc>
        <w:tc>
          <w:tcPr>
            <w:tcW w:w="175" w:type="dxa"/>
            <w:tcBorders/>
            <w:vAlign w:val="bottom"/>
          </w:tcPr>
          <w:p>
            <w:pPr>
              <w:pStyle w:val="TableContents"/>
              <w:bidi w:val="0"/>
              <w:spacing w:before="0" w:after="283"/>
              <w:jc w:val="left"/>
              <w:rPr/>
            </w:pPr>
            <w:r>
              <w:rPr/>
              <w:t>  </w:t>
            </w:r>
          </w:p>
        </w:tc>
        <w:tc>
          <w:tcPr>
            <w:tcW w:w="522" w:type="dxa"/>
            <w:gridSpan w:val="2"/>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924" w:type="dxa"/>
            <w:tcBorders/>
            <w:vAlign w:val="center"/>
          </w:tcPr>
          <w:p>
            <w:pPr>
              <w:pStyle w:val="TableContents"/>
              <w:bidi w:val="0"/>
              <w:spacing w:before="0" w:after="283"/>
              <w:jc w:val="left"/>
              <w:rPr>
                <w:sz w:val="4"/>
                <w:szCs w:val="4"/>
              </w:rPr>
            </w:pPr>
            <w:r>
              <w:rPr>
                <w:sz w:val="4"/>
                <w:szCs w:val="4"/>
              </w:rPr>
            </w:r>
          </w:p>
        </w:tc>
        <w:tc>
          <w:tcPr>
            <w:tcW w:w="7520" w:type="dxa"/>
            <w:gridSpan w:val="2"/>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Applicability of Article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Notice to the Trustee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Selection of Securities To Be Redeemed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Notice of Redemption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Effect of Notice of Redemption</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Deposit of Redemption Price</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Securities Redeemed in Part</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Purchase of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Mandatory and Optional Sinking Funds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283"/>
              <w:jc w:val="left"/>
              <w:rPr/>
            </w:pPr>
            <w:r>
              <w:rPr/>
              <w:t>Satisfaction of Sinking Fund Payments with Securities</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924"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125" w:type="dxa"/>
            <w:tcBorders/>
            <w:vAlign w:val="bottom"/>
          </w:tcPr>
          <w:p>
            <w:pPr>
              <w:pStyle w:val="TableContents"/>
              <w:bidi w:val="0"/>
              <w:spacing w:before="0" w:after="283"/>
              <w:jc w:val="left"/>
              <w:rPr/>
            </w:pPr>
            <w:r>
              <w:rPr/>
              <w:t> </w:t>
            </w:r>
          </w:p>
        </w:tc>
        <w:tc>
          <w:tcPr>
            <w:tcW w:w="7395" w:type="dxa"/>
            <w:tcBorders/>
          </w:tcPr>
          <w:p>
            <w:pPr>
              <w:pStyle w:val="TableContents"/>
              <w:bidi w:val="0"/>
              <w:spacing w:before="0" w:after="0"/>
              <w:jc w:val="left"/>
              <w:rPr>
                <w:rFonts w:ascii="Times New Roman" w:hAnsi="Times New Roman"/>
                <w:sz w:val="20"/>
              </w:rPr>
            </w:pPr>
            <w:r>
              <w:rPr>
                <w:rFonts w:ascii="Times New Roman" w:hAnsi="Times New Roman"/>
                <w:sz w:val="20"/>
              </w:rPr>
              <w:t>Redemption of Securities for Sinking Fund</w:t>
            </w:r>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68"/>
        <w:gridCol w:w="123"/>
        <w:gridCol w:w="7662"/>
        <w:gridCol w:w="165"/>
        <w:gridCol w:w="60"/>
        <w:gridCol w:w="264"/>
        <w:gridCol w:w="63"/>
      </w:tblGrid>
      <w:tr>
        <w:trPr/>
        <w:tc>
          <w:tcPr>
            <w:tcW w:w="186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62"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3" w:type="dxa"/>
            <w:gridSpan w:val="3"/>
            <w:tcBorders/>
            <w:vAlign w:val="bottom"/>
          </w:tcPr>
          <w:p>
            <w:pPr>
              <w:pStyle w:val="TableContents"/>
              <w:bidi w:val="0"/>
              <w:spacing w:before="0" w:after="283"/>
              <w:jc w:val="left"/>
              <w:rPr/>
            </w:pPr>
            <w:r>
              <w:rPr/>
              <w:t>Article IV Covenants</w:t>
            </w:r>
          </w:p>
        </w:tc>
        <w:tc>
          <w:tcPr>
            <w:tcW w:w="165"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868" w:type="dxa"/>
            <w:tcBorders/>
            <w:vAlign w:val="center"/>
          </w:tcPr>
          <w:p>
            <w:pPr>
              <w:pStyle w:val="TableContents"/>
              <w:bidi w:val="0"/>
              <w:spacing w:before="0" w:after="283"/>
              <w:jc w:val="left"/>
              <w:rPr>
                <w:sz w:val="4"/>
                <w:szCs w:val="4"/>
              </w:rPr>
            </w:pPr>
            <w:r>
              <w:rPr>
                <w:sz w:val="4"/>
                <w:szCs w:val="4"/>
              </w:rPr>
            </w:r>
          </w:p>
        </w:tc>
        <w:tc>
          <w:tcPr>
            <w:tcW w:w="7785"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Payment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Maintenance of Office or Agency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SEC Reports; Financial Statements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Compliance Certificate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Existence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4.06</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Waiver of Stay, Extension or Usury Laws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vAlign w:val="bottom"/>
          </w:tcPr>
          <w:p>
            <w:pPr>
              <w:pStyle w:val="TableContents"/>
              <w:bidi w:val="0"/>
              <w:spacing w:before="0" w:after="283"/>
              <w:jc w:val="left"/>
              <w:rPr/>
            </w:pPr>
            <w:r>
              <w:rPr/>
              <w:t>Article V Successors</w:t>
            </w:r>
          </w:p>
        </w:tc>
        <w:tc>
          <w:tcPr>
            <w:tcW w:w="165"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868" w:type="dxa"/>
            <w:tcBorders/>
            <w:vAlign w:val="center"/>
          </w:tcPr>
          <w:p>
            <w:pPr>
              <w:pStyle w:val="TableContents"/>
              <w:bidi w:val="0"/>
              <w:spacing w:before="0" w:after="283"/>
              <w:jc w:val="left"/>
              <w:rPr>
                <w:sz w:val="4"/>
                <w:szCs w:val="4"/>
              </w:rPr>
            </w:pPr>
            <w:r>
              <w:rPr>
                <w:sz w:val="4"/>
                <w:szCs w:val="4"/>
              </w:rPr>
            </w:r>
          </w:p>
        </w:tc>
        <w:tc>
          <w:tcPr>
            <w:tcW w:w="7785"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Limitations on Mergers and Consolidations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Successor Person Substituted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vAlign w:val="bottom"/>
          </w:tcPr>
          <w:p>
            <w:pPr>
              <w:pStyle w:val="TableContents"/>
              <w:bidi w:val="0"/>
              <w:spacing w:before="0" w:after="283"/>
              <w:jc w:val="left"/>
              <w:rPr/>
            </w:pPr>
            <w:r>
              <w:rPr/>
              <w:t>Article VI Defaults and Remedies</w:t>
            </w:r>
          </w:p>
        </w:tc>
        <w:tc>
          <w:tcPr>
            <w:tcW w:w="165"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868" w:type="dxa"/>
            <w:tcBorders/>
            <w:vAlign w:val="center"/>
          </w:tcPr>
          <w:p>
            <w:pPr>
              <w:pStyle w:val="TableContents"/>
              <w:bidi w:val="0"/>
              <w:spacing w:before="0" w:after="283"/>
              <w:jc w:val="left"/>
              <w:rPr>
                <w:sz w:val="4"/>
                <w:szCs w:val="4"/>
              </w:rPr>
            </w:pPr>
            <w:r>
              <w:rPr>
                <w:sz w:val="4"/>
                <w:szCs w:val="4"/>
              </w:rPr>
            </w:r>
          </w:p>
        </w:tc>
        <w:tc>
          <w:tcPr>
            <w:tcW w:w="7785"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Events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Acceleration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Other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Waiver of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Control by Majority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Limitations on Suits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Rights of Holders to Receive Payment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Collection Suit by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Trustee May File Proofs of Claim</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Priorities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Undertaking for Costs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vAlign w:val="bottom"/>
          </w:tcPr>
          <w:p>
            <w:pPr>
              <w:pStyle w:val="TableContents"/>
              <w:bidi w:val="0"/>
              <w:spacing w:before="0" w:after="283"/>
              <w:jc w:val="left"/>
              <w:rPr/>
            </w:pPr>
            <w:r>
              <w:rPr/>
              <w:t>Article VII Trustee</w:t>
            </w:r>
          </w:p>
        </w:tc>
        <w:tc>
          <w:tcPr>
            <w:tcW w:w="165"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1868" w:type="dxa"/>
            <w:tcBorders/>
            <w:vAlign w:val="center"/>
          </w:tcPr>
          <w:p>
            <w:pPr>
              <w:pStyle w:val="TableContents"/>
              <w:bidi w:val="0"/>
              <w:spacing w:before="0" w:after="283"/>
              <w:jc w:val="left"/>
              <w:rPr>
                <w:sz w:val="4"/>
                <w:szCs w:val="4"/>
              </w:rPr>
            </w:pPr>
            <w:r>
              <w:rPr>
                <w:sz w:val="4"/>
                <w:szCs w:val="4"/>
              </w:rPr>
            </w:r>
          </w:p>
        </w:tc>
        <w:tc>
          <w:tcPr>
            <w:tcW w:w="7785"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Duties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Rights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May Hold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Trustee’s Disclaimer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Notice of Defaults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Reports by Trustee to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Compensation and Indemnity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Replacement of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Successor Trustee by Merger, etc.</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Eligibility; Disqualification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Preferential Collection of Claims Against the Company or a Guarantor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9653" w:type="dxa"/>
            <w:gridSpan w:val="3"/>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9653" w:type="dxa"/>
            <w:gridSpan w:val="3"/>
            <w:tcBorders/>
            <w:vAlign w:val="bottom"/>
          </w:tcPr>
          <w:p>
            <w:pPr>
              <w:pStyle w:val="TableContents"/>
              <w:bidi w:val="0"/>
              <w:spacing w:before="0" w:after="283"/>
              <w:jc w:val="left"/>
              <w:rPr/>
            </w:pPr>
            <w:r>
              <w:rPr/>
              <w:t>Article VIII Discharge of Indenture</w:t>
            </w:r>
          </w:p>
        </w:tc>
        <w:tc>
          <w:tcPr>
            <w:tcW w:w="165" w:type="dxa"/>
            <w:tcBorders/>
            <w:vAlign w:val="bottom"/>
          </w:tcPr>
          <w:p>
            <w:pPr>
              <w:pStyle w:val="TableContents"/>
              <w:bidi w:val="0"/>
              <w:spacing w:before="0" w:after="283"/>
              <w:jc w:val="left"/>
              <w:rPr/>
            </w:pPr>
            <w:r>
              <w:rPr/>
              <w:t>  </w:t>
            </w:r>
          </w:p>
        </w:tc>
        <w:tc>
          <w:tcPr>
            <w:tcW w:w="324" w:type="dxa"/>
            <w:gridSpan w:val="2"/>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868" w:type="dxa"/>
            <w:tcBorders/>
            <w:vAlign w:val="center"/>
          </w:tcPr>
          <w:p>
            <w:pPr>
              <w:pStyle w:val="TableContents"/>
              <w:bidi w:val="0"/>
              <w:spacing w:before="0" w:after="283"/>
              <w:jc w:val="left"/>
              <w:rPr>
                <w:sz w:val="4"/>
                <w:szCs w:val="4"/>
              </w:rPr>
            </w:pPr>
            <w:r>
              <w:rPr>
                <w:sz w:val="4"/>
                <w:szCs w:val="4"/>
              </w:rPr>
            </w:r>
          </w:p>
        </w:tc>
        <w:tc>
          <w:tcPr>
            <w:tcW w:w="7785"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Termination of the Company’s and the Guarantors’ Obligations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Application of Trust Money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Repayment to Company or Guarantor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Reinstatement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868"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123" w:type="dxa"/>
            <w:tcBorders/>
            <w:vAlign w:val="bottom"/>
          </w:tcPr>
          <w:p>
            <w:pPr>
              <w:pStyle w:val="TableContents"/>
              <w:bidi w:val="0"/>
              <w:spacing w:before="0" w:after="283"/>
              <w:jc w:val="left"/>
              <w:rPr/>
            </w:pPr>
            <w:r>
              <w:rPr/>
              <w:t> </w:t>
            </w:r>
          </w:p>
        </w:tc>
        <w:tc>
          <w:tcPr>
            <w:tcW w:w="7662" w:type="dxa"/>
            <w:tcBorders/>
          </w:tcPr>
          <w:p>
            <w:pPr>
              <w:pStyle w:val="TableContents"/>
              <w:bidi w:val="0"/>
              <w:spacing w:before="0" w:after="283"/>
              <w:jc w:val="left"/>
              <w:rPr/>
            </w:pPr>
            <w:r>
              <w:rPr/>
              <w:t>Miscellaneous Provisions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21"/>
        <w:gridCol w:w="121"/>
        <w:gridCol w:w="7613"/>
        <w:gridCol w:w="164"/>
        <w:gridCol w:w="60"/>
        <w:gridCol w:w="262"/>
        <w:gridCol w:w="64"/>
      </w:tblGrid>
      <w:tr>
        <w:trPr/>
        <w:tc>
          <w:tcPr>
            <w:tcW w:w="192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613"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vAlign w:val="bottom"/>
          </w:tcPr>
          <w:p>
            <w:pPr>
              <w:pStyle w:val="TableContents"/>
              <w:bidi w:val="0"/>
              <w:spacing w:before="0" w:after="283"/>
              <w:jc w:val="left"/>
              <w:rPr/>
            </w:pPr>
            <w:r>
              <w:rPr/>
              <w:t>Article IX Supplemental Indentures and Amendments</w:t>
            </w:r>
          </w:p>
        </w:tc>
        <w:tc>
          <w:tcPr>
            <w:tcW w:w="164"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rHeight w:val="120" w:hRule="atLeast"/>
        </w:trPr>
        <w:tc>
          <w:tcPr>
            <w:tcW w:w="1921" w:type="dxa"/>
            <w:tcBorders/>
            <w:vAlign w:val="center"/>
          </w:tcPr>
          <w:p>
            <w:pPr>
              <w:pStyle w:val="TableContents"/>
              <w:bidi w:val="0"/>
              <w:spacing w:before="0" w:after="283"/>
              <w:jc w:val="left"/>
              <w:rPr>
                <w:sz w:val="4"/>
                <w:szCs w:val="4"/>
              </w:rPr>
            </w:pPr>
            <w:r>
              <w:rPr>
                <w:sz w:val="4"/>
                <w:szCs w:val="4"/>
              </w:rPr>
            </w:r>
          </w:p>
        </w:tc>
        <w:tc>
          <w:tcPr>
            <w:tcW w:w="7734"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Without Consent of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With Consent of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Compliance with the Trust Indenture Act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Revocation and Effect of Consents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Notation on or Exchange of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Trustee to Sign Amendments,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vAlign w:val="bottom"/>
          </w:tcPr>
          <w:p>
            <w:pPr>
              <w:pStyle w:val="TableContents"/>
              <w:bidi w:val="0"/>
              <w:spacing w:before="0" w:after="283"/>
              <w:jc w:val="left"/>
              <w:rPr/>
            </w:pPr>
            <w:r>
              <w:rPr/>
              <w:t>Article X Guarantee</w:t>
            </w:r>
          </w:p>
        </w:tc>
        <w:tc>
          <w:tcPr>
            <w:tcW w:w="164"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921" w:type="dxa"/>
            <w:tcBorders/>
            <w:vAlign w:val="center"/>
          </w:tcPr>
          <w:p>
            <w:pPr>
              <w:pStyle w:val="TableContents"/>
              <w:bidi w:val="0"/>
              <w:spacing w:before="0" w:after="283"/>
              <w:jc w:val="left"/>
              <w:rPr>
                <w:sz w:val="4"/>
                <w:szCs w:val="4"/>
              </w:rPr>
            </w:pPr>
            <w:r>
              <w:rPr>
                <w:sz w:val="4"/>
                <w:szCs w:val="4"/>
              </w:rPr>
            </w:r>
          </w:p>
        </w:tc>
        <w:tc>
          <w:tcPr>
            <w:tcW w:w="7734"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Guarantee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Execution and Delivery of Guarantees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Limitation on Liability of the Guarantors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Release of Guarantors from Guarantee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Contribution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vAlign w:val="bottom"/>
          </w:tcPr>
          <w:p>
            <w:pPr>
              <w:pStyle w:val="TableContents"/>
              <w:bidi w:val="0"/>
              <w:spacing w:before="0" w:after="283"/>
              <w:jc w:val="left"/>
              <w:rPr/>
            </w:pPr>
            <w:r>
              <w:rPr/>
              <w:t>Article XI Miscellaneous</w:t>
            </w:r>
          </w:p>
        </w:tc>
        <w:tc>
          <w:tcPr>
            <w:tcW w:w="164" w:type="dxa"/>
            <w:tcBorders/>
            <w:vAlign w:val="bottom"/>
          </w:tcPr>
          <w:p>
            <w:pPr>
              <w:pStyle w:val="TableContents"/>
              <w:bidi w:val="0"/>
              <w:spacing w:before="0" w:after="283"/>
              <w:jc w:val="left"/>
              <w:rPr/>
            </w:pPr>
            <w:r>
              <w:rPr/>
              <w:t>  </w:t>
            </w:r>
          </w:p>
        </w:tc>
        <w:tc>
          <w:tcPr>
            <w:tcW w:w="322" w:type="dxa"/>
            <w:gridSpan w:val="2"/>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120" w:hRule="atLeast"/>
        </w:trPr>
        <w:tc>
          <w:tcPr>
            <w:tcW w:w="1921" w:type="dxa"/>
            <w:tcBorders/>
            <w:vAlign w:val="center"/>
          </w:tcPr>
          <w:p>
            <w:pPr>
              <w:pStyle w:val="TableContents"/>
              <w:bidi w:val="0"/>
              <w:spacing w:before="0" w:after="283"/>
              <w:jc w:val="left"/>
              <w:rPr>
                <w:sz w:val="4"/>
                <w:szCs w:val="4"/>
              </w:rPr>
            </w:pPr>
            <w:r>
              <w:rPr>
                <w:sz w:val="4"/>
                <w:szCs w:val="4"/>
              </w:rPr>
            </w:r>
          </w:p>
        </w:tc>
        <w:tc>
          <w:tcPr>
            <w:tcW w:w="7734"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Trust Indenture Act Controls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Notices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Communication by Holders with Other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Certificate and Opinion as to Conditions Precedent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Statements Required in Certificate or Opinion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11.06</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Rules by Trustee and Agents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11.07</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Legal Holidays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11.08</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No Recourse Against Others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11.09</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Governing Law</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No Adverse Interpretation of Other Agreements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Successors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Severability</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11.13</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Counterpart Originals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11.14</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Table of Contents, Headings, etc.</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11.15</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Waiver of Jury Trial</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11.16</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Force Majeure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921" w:type="dxa"/>
            <w:tcBorders/>
          </w:tcPr>
          <w:p>
            <w:pPr>
              <w:pStyle w:val="TableContents"/>
              <w:bidi w:val="0"/>
              <w:spacing w:before="0" w:after="0"/>
              <w:jc w:val="left"/>
              <w:rPr>
                <w:rFonts w:ascii="Times New Roman" w:hAnsi="Times New Roman"/>
                <w:sz w:val="20"/>
              </w:rPr>
            </w:pPr>
            <w:r>
              <w:rPr>
                <w:rFonts w:ascii="Times New Roman" w:hAnsi="Times New Roman"/>
                <w:sz w:val="20"/>
              </w:rPr>
              <w:t>Section 11.17</w:t>
            </w:r>
          </w:p>
        </w:tc>
        <w:tc>
          <w:tcPr>
            <w:tcW w:w="121" w:type="dxa"/>
            <w:tcBorders/>
            <w:vAlign w:val="bottom"/>
          </w:tcPr>
          <w:p>
            <w:pPr>
              <w:pStyle w:val="TableContents"/>
              <w:bidi w:val="0"/>
              <w:spacing w:before="0" w:after="283"/>
              <w:jc w:val="left"/>
              <w:rPr/>
            </w:pPr>
            <w:r>
              <w:rPr/>
              <w:t> </w:t>
            </w:r>
          </w:p>
        </w:tc>
        <w:tc>
          <w:tcPr>
            <w:tcW w:w="7613" w:type="dxa"/>
            <w:tcBorders/>
          </w:tcPr>
          <w:p>
            <w:pPr>
              <w:pStyle w:val="TableContents"/>
              <w:bidi w:val="0"/>
              <w:spacing w:before="0" w:after="283"/>
              <w:jc w:val="left"/>
              <w:rPr/>
            </w:pPr>
            <w:r>
              <w:rPr/>
              <w:t>USA PATRIOT Act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 among KLX Energy Services Holdings, Inc., a Delaware corporation (the “</w:t>
      </w:r>
      <w:r>
        <w:rPr>
          <w:rFonts w:ascii="Times New Roman" w:hAnsi="Times New Roman"/>
          <w:b/>
          <w:sz w:val="20"/>
          <w:u w:val="single"/>
        </w:rPr>
        <w:t>Company</w:t>
      </w:r>
      <w:r>
        <w:rPr>
          <w:rFonts w:ascii="Times New Roman" w:hAnsi="Times New Roman"/>
          <w:sz w:val="20"/>
        </w:rPr>
        <w:t>”), any Guarantors (as defined herein) party hereto and [    ], as trustee (the “</w:t>
      </w:r>
      <w:r>
        <w:rPr>
          <w:rFonts w:ascii="Times New Roman" w:hAnsi="Times New Roman"/>
          <w:b/>
          <w:sz w:val="20"/>
          <w:u w:val="single"/>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and any Guarantors have duly authorized the execution and delivery of this Indenture to provide for the issuance from time to time of the Company’s debentures, notes, bonds or other evidences of indebtedness to be issued in one or more series unlimited as to principal amount (herein called the “</w:t>
      </w:r>
      <w:r>
        <w:rPr>
          <w:rFonts w:ascii="Times New Roman" w:hAnsi="Times New Roman"/>
          <w:b/>
          <w:sz w:val="20"/>
          <w:u w:val="single"/>
        </w:rPr>
        <w:t>Securities</w:t>
      </w:r>
      <w:r>
        <w:rPr>
          <w:rFonts w:ascii="Times New Roman" w:hAnsi="Times New Roman"/>
          <w:sz w:val="20"/>
        </w:rPr>
        <w:t xml:space="preserve">”), and the related Guarantees (as hereinafter defined), if any, as provided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Guarantors and Trustee agree as follows for the benefit of each other and for the equal and ratable benefit of the Holders of the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u w:val="single"/>
        </w:rPr>
        <w:t>Additional Amounts</w:t>
      </w:r>
      <w:r>
        <w:rPr>
          <w:rFonts w:ascii="Times New Roman" w:hAnsi="Times New Roman"/>
          <w:sz w:val="20"/>
        </w:rPr>
        <w:t xml:space="preserve">” means any additional amounts required by the express terms of a Security or by or pursuant to a Board Resolution, under circumstances specified therein or pursuant thereto, to be paid by the Company or any Guarantor, as the case may be, with respect to certain taxes, assessments or other governmental charges imposed on certain Holders and that are owing to such Holders. </w:t>
      </w:r>
    </w:p>
    <w:p>
      <w:pPr>
        <w:pStyle w:val="TextBody"/>
        <w:bidi w:val="0"/>
        <w:spacing w:before="240" w:after="0"/>
        <w:jc w:val="left"/>
        <w:rPr/>
      </w:pPr>
      <w:r>
        <w:rPr/>
        <w:t>“</w:t>
      </w:r>
      <w:r>
        <w:rPr>
          <w:rFonts w:ascii="Times New Roman" w:hAnsi="Times New Roman"/>
          <w:b/>
          <w:sz w:val="20"/>
          <w:u w:val="single"/>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purposes of this definition, “control” of a Person shall mean the power to direct the management and policies of such Person, directly or indirectly, whether through the ownership of voting securities, by contract or otherwise, and the terms “controlling” and “controlled” shall have meanings correlative to the foregoing. </w:t>
      </w:r>
    </w:p>
    <w:p>
      <w:pPr>
        <w:pStyle w:val="TextBody"/>
        <w:bidi w:val="0"/>
        <w:spacing w:before="240" w:after="0"/>
        <w:jc w:val="left"/>
        <w:rPr/>
      </w:pPr>
      <w:r>
        <w:rPr/>
        <w:t>“</w:t>
      </w:r>
      <w:r>
        <w:rPr>
          <w:rFonts w:ascii="Times New Roman" w:hAnsi="Times New Roman"/>
          <w:b/>
          <w:sz w:val="20"/>
          <w:u w:val="single"/>
        </w:rPr>
        <w:t>Agent</w:t>
      </w:r>
      <w:r>
        <w:rPr>
          <w:rFonts w:ascii="Times New Roman" w:hAnsi="Times New Roman"/>
          <w:sz w:val="20"/>
        </w:rPr>
        <w:t xml:space="preserve">” means any Registrar or Paying Agent. </w:t>
      </w:r>
    </w:p>
    <w:p>
      <w:pPr>
        <w:pStyle w:val="TextBody"/>
        <w:bidi w:val="0"/>
        <w:spacing w:before="240" w:after="0"/>
        <w:jc w:val="left"/>
        <w:rPr/>
      </w:pPr>
      <w:r>
        <w:rPr/>
        <w:t>“</w:t>
      </w:r>
      <w:r>
        <w:rPr>
          <w:rFonts w:ascii="Times New Roman" w:hAnsi="Times New Roman"/>
          <w:b/>
          <w:sz w:val="20"/>
          <w:u w:val="single"/>
        </w:rPr>
        <w:t>Bankruptcy Law</w:t>
      </w:r>
      <w:r>
        <w:rPr>
          <w:rFonts w:ascii="Times New Roman" w:hAnsi="Times New Roman"/>
          <w:sz w:val="20"/>
        </w:rPr>
        <w:t xml:space="preserve">” means Title 11 of the United States Code or any similar federal, state or foreign law for the relief of debtors. </w:t>
      </w:r>
    </w:p>
    <w:p>
      <w:pPr>
        <w:pStyle w:val="TextBody"/>
        <w:bidi w:val="0"/>
        <w:spacing w:before="240" w:after="0"/>
        <w:jc w:val="left"/>
        <w:rPr/>
      </w:pPr>
      <w:r>
        <w:rPr/>
        <w:t>“</w:t>
      </w:r>
      <w:r>
        <w:rPr>
          <w:rFonts w:ascii="Times New Roman" w:hAnsi="Times New Roman"/>
          <w:b/>
          <w:sz w:val="20"/>
        </w:rPr>
        <w:t>Board of Director</w:t>
      </w:r>
      <w:r>
        <w:rPr>
          <w:rFonts w:ascii="Times New Roman" w:hAnsi="Times New Roman"/>
          <w:sz w:val="20"/>
        </w:rPr>
        <w:t xml:space="preserve">s” means: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a corporation, the board of directors of the corporation or any committee thereof duly authorized to act on behalf of such board; </w:t>
      </w:r>
    </w:p>
    <w:p>
      <w:pPr>
        <w:pStyle w:val="TextBody"/>
        <w:bidi w:val="0"/>
        <w:spacing w:before="120" w:after="0"/>
        <w:jc w:val="left"/>
        <w:rPr>
          <w:rFonts w:ascii="Times New Roman" w:hAnsi="Times New Roman"/>
          <w:sz w:val="20"/>
        </w:rPr>
      </w:pPr>
      <w:r>
        <w:rPr>
          <w:rFonts w:ascii="Times New Roman" w:hAnsi="Times New Roman"/>
          <w:sz w:val="20"/>
        </w:rPr>
        <w:t xml:space="preserve">(2) with respect to a partnership, the Board of Directors of the general partner of the partnership; </w:t>
      </w:r>
    </w:p>
    <w:p>
      <w:pPr>
        <w:pStyle w:val="TextBody"/>
        <w:bidi w:val="0"/>
        <w:spacing w:before="120" w:after="0"/>
        <w:jc w:val="left"/>
        <w:rPr>
          <w:rFonts w:ascii="Times New Roman" w:hAnsi="Times New Roman"/>
          <w:sz w:val="20"/>
        </w:rPr>
      </w:pPr>
      <w:r>
        <w:rPr>
          <w:rFonts w:ascii="Times New Roman" w:hAnsi="Times New Roman"/>
          <w:sz w:val="20"/>
        </w:rPr>
        <w:t xml:space="preserve">(3) with respect to a limited liability company, the managing member or members or any controlling committee of managers, directors or members thereof or any board or committee serving a similar management function;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with respect to any other Person, the individual or board or committee of such Person serving a management function similar to those described in clauses (1), (2) or (3) of this definition. </w:t>
      </w:r>
    </w:p>
    <w:p>
      <w:pPr>
        <w:pStyle w:val="TextBody"/>
        <w:bidi w:val="0"/>
        <w:spacing w:before="240" w:after="0"/>
        <w:jc w:val="left"/>
        <w:rPr/>
      </w:pPr>
      <w:r>
        <w:rPr/>
        <w:t>“</w:t>
      </w:r>
      <w:r>
        <w:rPr>
          <w:rFonts w:ascii="Times New Roman" w:hAnsi="Times New Roman"/>
          <w:b/>
          <w:sz w:val="20"/>
          <w:u w:val="single"/>
        </w:rPr>
        <w:t>Board Resolution</w:t>
      </w:r>
      <w:r>
        <w:rPr>
          <w:rFonts w:ascii="Times New Roman" w:hAnsi="Times New Roman"/>
          <w:sz w:val="20"/>
        </w:rPr>
        <w:t xml:space="preserve">” means a copy of a resolution certified by the Secretary or an Assistant Secretary of the Company to have been duly adopted by such Board of Directors and to be in full force and effect on the date of such certification, and delivered to the Trustee. </w:t>
      </w:r>
    </w:p>
    <w:p>
      <w:pPr>
        <w:pStyle w:val="TextBody"/>
        <w:bidi w:val="0"/>
        <w:spacing w:before="240" w:after="0"/>
        <w:jc w:val="left"/>
        <w:rPr/>
      </w:pPr>
      <w:r>
        <w:rPr/>
        <w:t>“</w:t>
      </w:r>
      <w:r>
        <w:rPr>
          <w:rFonts w:ascii="Times New Roman" w:hAnsi="Times New Roman"/>
          <w:b/>
          <w:sz w:val="20"/>
          <w:u w:val="single"/>
        </w:rPr>
        <w:t>Business Day</w:t>
      </w:r>
      <w:r>
        <w:rPr>
          <w:rFonts w:ascii="Times New Roman" w:hAnsi="Times New Roman"/>
          <w:sz w:val="20"/>
        </w:rPr>
        <w:t xml:space="preserve">” means any day that is not a Legal Holiday. </w:t>
      </w:r>
    </w:p>
    <w:p>
      <w:pPr>
        <w:pStyle w:val="TextBody"/>
        <w:bidi w:val="0"/>
        <w:spacing w:before="240" w:after="0"/>
        <w:jc w:val="left"/>
        <w:rPr/>
      </w:pPr>
      <w:r>
        <w:rPr/>
        <w:t>“</w:t>
      </w:r>
      <w:r>
        <w:rPr>
          <w:rFonts w:ascii="Times New Roman" w:hAnsi="Times New Roman"/>
          <w:b/>
          <w:sz w:val="20"/>
          <w:u w:val="single"/>
        </w:rPr>
        <w:t>Company</w:t>
      </w:r>
      <w:r>
        <w:rPr>
          <w:rFonts w:ascii="Times New Roman" w:hAnsi="Times New Roman"/>
          <w:sz w:val="20"/>
        </w:rPr>
        <w:t xml:space="preserve">” means the Person named as the “Company” in the first paragraph of this instrument until a successor Person shall have become such pursuant to the applicable provisions of this Indenture, and thereafter “Company” shall mean such successor Person; provided, however, that for purposes of any provision contained herein which is required by the TIA, “Company” shall also mean each other obligor (if any), other than a Guarantor, on the Securities of a series. </w:t>
      </w:r>
    </w:p>
    <w:p>
      <w:pPr>
        <w:pStyle w:val="TextBody"/>
        <w:bidi w:val="0"/>
        <w:spacing w:before="240" w:after="0"/>
        <w:jc w:val="left"/>
        <w:rPr/>
      </w:pPr>
      <w:r>
        <w:rPr/>
        <w:t>“</w:t>
      </w:r>
      <w:r>
        <w:rPr>
          <w:rFonts w:ascii="Times New Roman" w:hAnsi="Times New Roman"/>
          <w:b/>
          <w:sz w:val="20"/>
          <w:u w:val="single"/>
        </w:rPr>
        <w:t>Company Order</w:t>
      </w:r>
      <w:r>
        <w:rPr>
          <w:rFonts w:ascii="Times New Roman" w:hAnsi="Times New Roman"/>
          <w:sz w:val="20"/>
        </w:rPr>
        <w:t xml:space="preserve">” means a written request or order signed on behalf of the Company by one of its Officers and delivered to the Trustee. </w:t>
      </w:r>
    </w:p>
    <w:p>
      <w:pPr>
        <w:pStyle w:val="TextBody"/>
        <w:bidi w:val="0"/>
        <w:spacing w:before="240" w:after="0"/>
        <w:jc w:val="left"/>
        <w:rPr/>
      </w:pPr>
      <w:r>
        <w:rPr/>
        <w:t>“</w:t>
      </w:r>
      <w:r>
        <w:rPr>
          <w:rFonts w:ascii="Times New Roman" w:hAnsi="Times New Roman"/>
          <w:b/>
          <w:sz w:val="20"/>
          <w:u w:val="single"/>
        </w:rPr>
        <w:t>Corporate Trust Office of the Trustee</w:t>
      </w:r>
      <w:r>
        <w:rPr>
          <w:rFonts w:ascii="Times New Roman" w:hAnsi="Times New Roman"/>
          <w:sz w:val="20"/>
        </w:rPr>
        <w:t xml:space="preserve">” means the office of the Trustee located at [  ], Attention: [  ] and as may be located at such other address as the Trustee may give notice to the Company and the Guarantors. </w:t>
      </w:r>
    </w:p>
    <w:p>
      <w:pPr>
        <w:pStyle w:val="TextBody"/>
        <w:bidi w:val="0"/>
        <w:spacing w:before="240" w:after="0"/>
        <w:jc w:val="left"/>
        <w:rPr/>
      </w:pPr>
      <w:r>
        <w:rPr/>
        <w:t>“</w:t>
      </w:r>
      <w:r>
        <w:rPr>
          <w:rFonts w:ascii="Times New Roman" w:hAnsi="Times New Roman"/>
          <w:b/>
          <w:sz w:val="20"/>
          <w:u w:val="single"/>
        </w:rPr>
        <w:t>Debt</w:t>
      </w:r>
      <w:r>
        <w:rPr>
          <w:rFonts w:ascii="Times New Roman" w:hAnsi="Times New Roman"/>
          <w:sz w:val="20"/>
        </w:rPr>
        <w:t xml:space="preserve">” of any Person at any date means any obligation created or assumed by such Person for the repayment of borrowed money or a purchase obligation, or any guarantee thereof. </w:t>
      </w:r>
    </w:p>
    <w:p>
      <w:pPr>
        <w:pStyle w:val="TextBody"/>
        <w:bidi w:val="0"/>
        <w:spacing w:before="240" w:after="0"/>
        <w:jc w:val="left"/>
        <w:rPr/>
      </w:pPr>
      <w:r>
        <w:rPr/>
        <w:t>“</w:t>
      </w:r>
      <w:r>
        <w:rPr>
          <w:rFonts w:ascii="Times New Roman" w:hAnsi="Times New Roman"/>
          <w:b/>
          <w:sz w:val="20"/>
          <w:u w:val="single"/>
        </w:rPr>
        <w:t>Default</w:t>
      </w:r>
      <w:r>
        <w:rPr>
          <w:rFonts w:ascii="Times New Roman" w:hAnsi="Times New Roman"/>
          <w:sz w:val="20"/>
        </w:rPr>
        <w:t xml:space="preserve">” means any event, act or condition that is, or after notice or the passage of time or both would be, an Event of Default. </w:t>
      </w:r>
    </w:p>
    <w:p>
      <w:pPr>
        <w:pStyle w:val="TextBody"/>
        <w:bidi w:val="0"/>
        <w:spacing w:before="240" w:after="0"/>
        <w:jc w:val="left"/>
        <w:rPr/>
      </w:pPr>
      <w:r>
        <w:rPr/>
        <w:t>“</w:t>
      </w:r>
      <w:r>
        <w:rPr>
          <w:rFonts w:ascii="Times New Roman" w:hAnsi="Times New Roman"/>
          <w:b/>
          <w:sz w:val="20"/>
          <w:u w:val="single"/>
        </w:rPr>
        <w:t>deliver</w:t>
      </w:r>
      <w:r>
        <w:rPr>
          <w:rFonts w:ascii="Times New Roman" w:hAnsi="Times New Roman"/>
          <w:sz w:val="20"/>
        </w:rPr>
        <w:t>” or “</w:t>
      </w:r>
      <w:r>
        <w:rPr>
          <w:rFonts w:ascii="Times New Roman" w:hAnsi="Times New Roman"/>
          <w:b/>
          <w:sz w:val="20"/>
          <w:u w:val="single"/>
        </w:rPr>
        <w:t>delivery</w:t>
      </w:r>
      <w:r>
        <w:rPr>
          <w:rFonts w:ascii="Times New Roman" w:hAnsi="Times New Roman"/>
          <w:sz w:val="20"/>
        </w:rPr>
        <w:t xml:space="preserve">” means, in the context of certificated Securities, actual physical delivery of the certificated Securities to the relevant Person required hereunder, together with all endorsements, and in the context of Global Securities, the designation on the records of the Depositary of a change in the beneficial interests of a holder in a Global Security. </w:t>
      </w:r>
    </w:p>
    <w:p>
      <w:pPr>
        <w:pStyle w:val="TextBody"/>
        <w:bidi w:val="0"/>
        <w:spacing w:before="240" w:after="0"/>
        <w:jc w:val="left"/>
        <w:rPr/>
      </w:pPr>
      <w:r>
        <w:rPr/>
        <w:t>“</w:t>
      </w:r>
      <w:r>
        <w:rPr>
          <w:rFonts w:ascii="Times New Roman" w:hAnsi="Times New Roman"/>
          <w:b/>
          <w:sz w:val="20"/>
          <w:u w:val="single"/>
        </w:rPr>
        <w:t>Depositary</w:t>
      </w:r>
      <w:r>
        <w:rPr>
          <w:rFonts w:ascii="Times New Roman" w:hAnsi="Times New Roman"/>
          <w:sz w:val="20"/>
        </w:rPr>
        <w:t xml:space="preserve">” means, with respect to the Securities of any series issuable or issued in whole or in part in global form, the Person specified pursuant to Section 2.01 hereof as the initial Depositary with respect to the Securities of such series, until a successor shall have been appointed and become such pursuant to the applicable provision of this Indenture, and thereafter “Depositary” shall mean or include such successor. </w:t>
      </w:r>
    </w:p>
    <w:p>
      <w:pPr>
        <w:pStyle w:val="TextBody"/>
        <w:bidi w:val="0"/>
        <w:spacing w:before="240" w:after="0"/>
        <w:jc w:val="left"/>
        <w:rPr/>
      </w:pPr>
      <w:r>
        <w:rPr/>
        <w:t>“</w:t>
      </w:r>
      <w:r>
        <w:rPr>
          <w:rFonts w:ascii="Times New Roman" w:hAnsi="Times New Roman"/>
          <w:b/>
          <w:sz w:val="20"/>
          <w:u w:val="single"/>
        </w:rPr>
        <w:t>Dollar</w:t>
      </w:r>
      <w:r>
        <w:rPr>
          <w:rFonts w:ascii="Times New Roman" w:hAnsi="Times New Roman"/>
          <w:sz w:val="20"/>
        </w:rPr>
        <w:t>” or “</w:t>
      </w:r>
      <w:r>
        <w:rPr>
          <w:rFonts w:ascii="Times New Roman" w:hAnsi="Times New Roman"/>
          <w:b/>
          <w:sz w:val="20"/>
          <w:u w:val="single"/>
        </w:rPr>
        <w:t>$</w:t>
      </w:r>
      <w:r>
        <w:rPr>
          <w:rFonts w:ascii="Times New Roman" w:hAnsi="Times New Roman"/>
          <w:sz w:val="20"/>
        </w:rPr>
        <w:t xml:space="preserve">” means a dollar or other equivalent unit in such coin or currency of the United States as at the time shall be legal tender for the payment of public and private debt. </w:t>
      </w:r>
    </w:p>
    <w:p>
      <w:pPr>
        <w:pStyle w:val="TextBody"/>
        <w:bidi w:val="0"/>
        <w:spacing w:before="240" w:after="0"/>
        <w:jc w:val="left"/>
        <w:rPr/>
      </w:pPr>
      <w:r>
        <w:rPr/>
        <w:t>“</w:t>
      </w:r>
      <w:r>
        <w:rPr>
          <w:rFonts w:ascii="Times New Roman" w:hAnsi="Times New Roman"/>
          <w:b/>
          <w:sz w:val="20"/>
          <w:u w:val="single"/>
        </w:rPr>
        <w:t>Exchange Act</w:t>
      </w:r>
      <w:r>
        <w:rPr>
          <w:rFonts w:ascii="Times New Roman" w:hAnsi="Times New Roman"/>
          <w:sz w:val="20"/>
        </w:rPr>
        <w:t xml:space="preserve">” means the Securities Exchange Act of 1934, as amended, and any successor statute. </w:t>
      </w:r>
    </w:p>
    <w:p>
      <w:pPr>
        <w:pStyle w:val="TextBody"/>
        <w:bidi w:val="0"/>
        <w:spacing w:before="240" w:after="0"/>
        <w:jc w:val="left"/>
        <w:rPr/>
      </w:pPr>
      <w:r>
        <w:rPr/>
        <w:t>“</w:t>
      </w:r>
      <w:r>
        <w:rPr>
          <w:rFonts w:ascii="Times New Roman" w:hAnsi="Times New Roman"/>
          <w:b/>
          <w:sz w:val="20"/>
          <w:u w:val="single"/>
        </w:rPr>
        <w:t>GAAP</w:t>
      </w:r>
      <w:r>
        <w:rPr>
          <w:rFonts w:ascii="Times New Roman" w:hAnsi="Times New Roman"/>
          <w:sz w:val="20"/>
        </w:rPr>
        <w:t xml:space="preserve">” means the United States generally accepted accounting principles,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Global Security</w:t>
      </w:r>
      <w:r>
        <w:rPr>
          <w:rFonts w:ascii="Times New Roman" w:hAnsi="Times New Roman"/>
          <w:sz w:val="20"/>
        </w:rPr>
        <w:t xml:space="preserve">” means a Security that is issued in global form in the name of the Depositary with respect thereto or its nominee. </w:t>
      </w:r>
    </w:p>
    <w:p>
      <w:pPr>
        <w:pStyle w:val="TextBody"/>
        <w:bidi w:val="0"/>
        <w:spacing w:before="240" w:after="0"/>
        <w:jc w:val="left"/>
        <w:rPr/>
      </w:pPr>
      <w:r>
        <w:rPr/>
        <w:t>“</w:t>
      </w:r>
      <w:r>
        <w:rPr>
          <w:rFonts w:ascii="Times New Roman" w:hAnsi="Times New Roman"/>
          <w:b/>
          <w:sz w:val="20"/>
          <w:u w:val="single"/>
        </w:rPr>
        <w:t>Government Obligations</w:t>
      </w:r>
      <w:r>
        <w:rPr>
          <w:rFonts w:ascii="Times New Roman" w:hAnsi="Times New Roman"/>
          <w:sz w:val="20"/>
        </w:rPr>
        <w:t xml:space="preserve">” means, with respect to a series of Securities, direct obligations of the government that issues the currency in which the Securities of the series are payable for the payment of which the full faith and credit of such government is pledged, or obligations of a Person controlled or supervised by and acting as an agency or instrumentality of such government, the payment of which is unconditionally guaranteed as a full faith and credit obligation by such government. </w:t>
      </w:r>
    </w:p>
    <w:p>
      <w:pPr>
        <w:pStyle w:val="TextBody"/>
        <w:bidi w:val="0"/>
        <w:spacing w:before="240" w:after="0"/>
        <w:jc w:val="left"/>
        <w:rPr/>
      </w:pPr>
      <w:r>
        <w:rPr/>
        <w:t>“</w:t>
      </w:r>
      <w:r>
        <w:rPr>
          <w:rFonts w:ascii="Times New Roman" w:hAnsi="Times New Roman"/>
          <w:b/>
          <w:sz w:val="20"/>
          <w:u w:val="single"/>
        </w:rPr>
        <w:t>Guarantee</w:t>
      </w:r>
      <w:r>
        <w:rPr>
          <w:rFonts w:ascii="Times New Roman" w:hAnsi="Times New Roman"/>
          <w:sz w:val="20"/>
        </w:rPr>
        <w:t xml:space="preserve">” means the guarantee of the Company’s obligations under the Securities of a series by a Guarantor (specified with respect to such series as contemplated by Section 2.01(9)) as provided in Article X. </w:t>
      </w:r>
    </w:p>
    <w:p>
      <w:pPr>
        <w:pStyle w:val="TextBody"/>
        <w:bidi w:val="0"/>
        <w:spacing w:before="240" w:after="0"/>
        <w:jc w:val="left"/>
        <w:rPr/>
      </w:pPr>
      <w:r>
        <w:rPr/>
        <w:t>“</w:t>
      </w:r>
      <w:r>
        <w:rPr>
          <w:rFonts w:ascii="Times New Roman" w:hAnsi="Times New Roman"/>
          <w:b/>
          <w:sz w:val="20"/>
          <w:u w:val="single"/>
        </w:rPr>
        <w:t>Guarantors</w:t>
      </w:r>
      <w:r>
        <w:rPr>
          <w:rFonts w:ascii="Times New Roman" w:hAnsi="Times New Roman"/>
          <w:sz w:val="20"/>
        </w:rPr>
        <w:t xml:space="preserve">” means, with respect to any series of Securities, the Person or Persons, if any, named in accordance with Section 2.01(9) as the “Guarantors” (i) in or pursuant to a Board Resolution, and set forth, or determined in the manner provided, in an Officers’ Certificate or in a Company Order, or (ii) in an indenture supplemental hereto establishing the terms of such series of Securities until a successor Person or Persons shall have become such pursuant to the applicable provisions of this Indenture, and thereafter “Guarantors” with respect to such series of Securities shall mean such successor Person or Persons, and any Subsidiary of the Company who may execute this Indenture, or a supplement thereto, for the purpose of providing a Guarantee for such series of Securities pursuant to this Indenture. If a series of Securities does not have any Guarantors, all references in this Indenture to Guarantors shall be ignored with respect to such series of Securities. </w:t>
      </w:r>
    </w:p>
    <w:p>
      <w:pPr>
        <w:pStyle w:val="TextBody"/>
        <w:bidi w:val="0"/>
        <w:spacing w:before="240" w:after="0"/>
        <w:jc w:val="left"/>
        <w:rPr/>
      </w:pPr>
      <w:r>
        <w:rPr/>
        <w:t>“</w:t>
      </w:r>
      <w:r>
        <w:rPr>
          <w:rFonts w:ascii="Times New Roman" w:hAnsi="Times New Roman"/>
          <w:b/>
          <w:sz w:val="20"/>
          <w:u w:val="single"/>
        </w:rPr>
        <w:t>Holder</w:t>
      </w:r>
      <w:r>
        <w:rPr>
          <w:rFonts w:ascii="Times New Roman" w:hAnsi="Times New Roman"/>
          <w:sz w:val="20"/>
        </w:rPr>
        <w:t xml:space="preserve">” means a Person in whose name a Security is registered. </w:t>
      </w:r>
    </w:p>
    <w:p>
      <w:pPr>
        <w:pStyle w:val="TextBody"/>
        <w:bidi w:val="0"/>
        <w:spacing w:before="240" w:after="0"/>
        <w:jc w:val="left"/>
        <w:rPr/>
      </w:pPr>
      <w:r>
        <w:rPr/>
        <w:t>“</w:t>
      </w:r>
      <w:r>
        <w:rPr>
          <w:rFonts w:ascii="Times New Roman" w:hAnsi="Times New Roman"/>
          <w:b/>
          <w:sz w:val="20"/>
          <w:u w:val="single"/>
        </w:rPr>
        <w:t>Indenture</w:t>
      </w:r>
      <w:r>
        <w:rPr>
          <w:rFonts w:ascii="Times New Roman" w:hAnsi="Times New Roman"/>
          <w:sz w:val="20"/>
        </w:rPr>
        <w:t xml:space="preserve">” means this Indenture as amended or supplemented from time to time pursuant to the provisions hereof, and includes the terms of a particular series of Securities established as contemplated by Section 2.01. </w:t>
      </w:r>
    </w:p>
    <w:p>
      <w:pPr>
        <w:pStyle w:val="TextBody"/>
        <w:bidi w:val="0"/>
        <w:spacing w:before="240" w:after="0"/>
        <w:jc w:val="left"/>
        <w:rPr/>
      </w:pPr>
      <w:r>
        <w:rPr/>
        <w:t>“</w:t>
      </w:r>
      <w:r>
        <w:rPr>
          <w:rFonts w:ascii="Times New Roman" w:hAnsi="Times New Roman"/>
          <w:b/>
          <w:sz w:val="20"/>
          <w:u w:val="single"/>
        </w:rPr>
        <w:t>interest</w:t>
      </w:r>
      <w:r>
        <w:rPr>
          <w:rFonts w:ascii="Times New Roman" w:hAnsi="Times New Roman"/>
          <w:sz w:val="20"/>
        </w:rPr>
        <w:t xml:space="preserve">” in the context of an Original Issue Discount Security that by its terms bears interest only after Maturity, interest payable after Maturity. </w:t>
      </w:r>
    </w:p>
    <w:p>
      <w:pPr>
        <w:pStyle w:val="TextBody"/>
        <w:bidi w:val="0"/>
        <w:spacing w:before="240" w:after="0"/>
        <w:jc w:val="left"/>
        <w:rPr/>
      </w:pPr>
      <w:r>
        <w:rPr/>
        <w:t>“</w:t>
      </w:r>
      <w:r>
        <w:rPr>
          <w:rFonts w:ascii="Times New Roman" w:hAnsi="Times New Roman"/>
          <w:b/>
          <w:sz w:val="20"/>
          <w:u w:val="single"/>
        </w:rPr>
        <w:t>Interest Payment Date,</w:t>
      </w:r>
      <w:r>
        <w:rPr>
          <w:rFonts w:ascii="Times New Roman" w:hAnsi="Times New Roman"/>
          <w:sz w:val="20"/>
        </w:rPr>
        <w:t xml:space="preserve">” when used with respect to any Security, shall have the meaning assigned to such term in the Security as contemplated by Section 2.01. </w:t>
      </w:r>
    </w:p>
    <w:p>
      <w:pPr>
        <w:pStyle w:val="TextBody"/>
        <w:bidi w:val="0"/>
        <w:spacing w:before="240" w:after="0"/>
        <w:jc w:val="left"/>
        <w:rPr/>
      </w:pPr>
      <w:r>
        <w:rPr/>
        <w:t>“</w:t>
      </w:r>
      <w:r>
        <w:rPr>
          <w:rFonts w:ascii="Times New Roman" w:hAnsi="Times New Roman"/>
          <w:b/>
          <w:sz w:val="20"/>
          <w:u w:val="single"/>
        </w:rPr>
        <w:t>Issue Date</w:t>
      </w:r>
      <w:r>
        <w:rPr>
          <w:rFonts w:ascii="Times New Roman" w:hAnsi="Times New Roman"/>
          <w:sz w:val="20"/>
        </w:rPr>
        <w:t xml:space="preserve">” means, with respect to Securities of a series, the first date on which the Securities of such series are originally issued under this Indenture. </w:t>
      </w:r>
    </w:p>
    <w:p>
      <w:pPr>
        <w:pStyle w:val="TextBody"/>
        <w:bidi w:val="0"/>
        <w:spacing w:before="240" w:after="0"/>
        <w:jc w:val="left"/>
        <w:rPr/>
      </w:pPr>
      <w:r>
        <w:rPr/>
        <w:t>“</w:t>
      </w:r>
      <w:r>
        <w:rPr>
          <w:rFonts w:ascii="Times New Roman" w:hAnsi="Times New Roman"/>
          <w:b/>
          <w:sz w:val="20"/>
          <w:u w:val="single"/>
        </w:rPr>
        <w:t>Legal Holiday</w:t>
      </w:r>
      <w:r>
        <w:rPr>
          <w:rFonts w:ascii="Times New Roman" w:hAnsi="Times New Roman"/>
          <w:sz w:val="20"/>
        </w:rPr>
        <w:t xml:space="preserve">” means a Saturday, a Sunday or a day on which banking institutions in any of The City of New York, New York or a Place of Payment are authorized or obligated by law, regulation or executive order to remain closed. </w:t>
      </w:r>
    </w:p>
    <w:p>
      <w:pPr>
        <w:pStyle w:val="TextBody"/>
        <w:bidi w:val="0"/>
        <w:spacing w:before="240" w:after="0"/>
        <w:jc w:val="left"/>
        <w:rPr/>
      </w:pPr>
      <w:r>
        <w:rPr/>
        <w:t>“</w:t>
      </w:r>
      <w:r>
        <w:rPr>
          <w:rFonts w:ascii="Times New Roman" w:hAnsi="Times New Roman"/>
          <w:b/>
          <w:sz w:val="20"/>
          <w:u w:val="single"/>
        </w:rPr>
        <w:t>Maturity</w:t>
      </w:r>
      <w:r>
        <w:rPr>
          <w:rFonts w:ascii="Times New Roman" w:hAnsi="Times New Roman"/>
          <w:sz w:val="20"/>
        </w:rPr>
        <w:t xml:space="preserve">” means, with respect to any Security, the date on which the principal of such Security or an installment of principal becomes due and payable as therein or herein provided, whether at the Stated Maturity thereof, or by declaration of acceleration, call for redemption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Officer</w:t>
      </w:r>
      <w:r>
        <w:rPr>
          <w:rFonts w:ascii="Times New Roman" w:hAnsi="Times New Roman"/>
          <w:sz w:val="20"/>
        </w:rPr>
        <w:t xml:space="preserve">” means with respect to any Person, the Chief Executive Officer, the President, the Chief Operating Officer, the Chief Financial Officer, the Treasurer, any Assistant Treasurer, the Controller, the Secretary, any Assistant Secretary or any Vice President of such Person. </w:t>
      </w:r>
    </w:p>
    <w:p>
      <w:pPr>
        <w:pStyle w:val="TextBody"/>
        <w:bidi w:val="0"/>
        <w:spacing w:before="240" w:after="0"/>
        <w:jc w:val="left"/>
        <w:rPr/>
      </w:pPr>
      <w:r>
        <w:rPr/>
        <w:t>“</w:t>
      </w:r>
      <w:r>
        <w:rPr>
          <w:rFonts w:ascii="Times New Roman" w:hAnsi="Times New Roman"/>
          <w:b/>
          <w:sz w:val="20"/>
          <w:u w:val="single"/>
        </w:rPr>
        <w:t>Officers’ Certificate</w:t>
      </w:r>
      <w:r>
        <w:rPr>
          <w:rFonts w:ascii="Times New Roman" w:hAnsi="Times New Roman"/>
          <w:sz w:val="20"/>
        </w:rPr>
        <w:t xml:space="preserve">” means a certificate signed on behalf of the Company by any two of its Officers. </w:t>
      </w:r>
    </w:p>
    <w:p>
      <w:pPr>
        <w:pStyle w:val="TextBody"/>
        <w:bidi w:val="0"/>
        <w:spacing w:before="240" w:after="0"/>
        <w:jc w:val="left"/>
        <w:rPr/>
      </w:pPr>
      <w:r>
        <w:rPr/>
        <w:t>“</w:t>
      </w:r>
      <w:r>
        <w:rPr>
          <w:rFonts w:ascii="Times New Roman" w:hAnsi="Times New Roman"/>
          <w:b/>
          <w:sz w:val="20"/>
          <w:u w:val="single"/>
        </w:rPr>
        <w:t>Opinion of Counsel</w:t>
      </w:r>
      <w:r>
        <w:rPr>
          <w:rFonts w:ascii="Times New Roman" w:hAnsi="Times New Roman"/>
          <w:sz w:val="20"/>
        </w:rPr>
        <w:t xml:space="preserve">” means a written opinion from legal counsel who is acceptable to the Trustee. Such counsel may be an employee of or counsel to the Company, a Guarantor or the Trustee. </w:t>
      </w:r>
    </w:p>
    <w:p>
      <w:pPr>
        <w:pStyle w:val="TextBody"/>
        <w:bidi w:val="0"/>
        <w:spacing w:before="240" w:after="0"/>
        <w:jc w:val="left"/>
        <w:rPr/>
      </w:pPr>
      <w:r>
        <w:rPr/>
        <w:t>“</w:t>
      </w:r>
      <w:r>
        <w:rPr>
          <w:rFonts w:ascii="Times New Roman" w:hAnsi="Times New Roman"/>
          <w:b/>
          <w:sz w:val="20"/>
          <w:u w:val="single"/>
        </w:rPr>
        <w:t>Original Issue Discount Security</w:t>
      </w:r>
      <w:r>
        <w:rPr>
          <w:rFonts w:ascii="Times New Roman" w:hAnsi="Times New Roman"/>
          <w:sz w:val="20"/>
        </w:rPr>
        <w:t xml:space="preserve">” means any Security that provides for an amount less than the principal amount thereof to be due and payable upon a declaration of acceleration of the Maturity thereof pursuant to Section 6.02. </w:t>
      </w:r>
    </w:p>
    <w:p>
      <w:pPr>
        <w:pStyle w:val="TextBody"/>
        <w:bidi w:val="0"/>
        <w:spacing w:before="240" w:after="0"/>
        <w:jc w:val="left"/>
        <w:rPr/>
      </w:pPr>
      <w:r>
        <w:rPr/>
        <w:t>“</w:t>
      </w:r>
      <w:r>
        <w:rPr>
          <w:rFonts w:ascii="Times New Roman" w:hAnsi="Times New Roman"/>
          <w:b/>
          <w:sz w:val="20"/>
          <w:u w:val="single"/>
        </w:rPr>
        <w:t>Person</w:t>
      </w:r>
      <w:r>
        <w:rPr>
          <w:rFonts w:ascii="Times New Roman" w:hAnsi="Times New Roman"/>
          <w:sz w:val="20"/>
        </w:rPr>
        <w:t xml:space="preserve">” means any individual, corporation, partnership, limited liability company, joint venture, incorporated or unincorporated association, joint stock company, trust, unincorporated organization or government or other agency, instrumentality or political subdivision thereof or other entity of any kind. </w:t>
      </w:r>
    </w:p>
    <w:p>
      <w:pPr>
        <w:pStyle w:val="TextBody"/>
        <w:bidi w:val="0"/>
        <w:spacing w:before="240" w:after="0"/>
        <w:jc w:val="left"/>
        <w:rPr/>
      </w:pPr>
      <w:r>
        <w:rPr/>
        <w:t>“</w:t>
      </w:r>
      <w:r>
        <w:rPr>
          <w:rFonts w:ascii="Times New Roman" w:hAnsi="Times New Roman"/>
          <w:b/>
          <w:sz w:val="20"/>
          <w:u w:val="single"/>
        </w:rPr>
        <w:t>Place of Payment</w:t>
      </w:r>
      <w:r>
        <w:rPr>
          <w:rFonts w:ascii="Times New Roman" w:hAnsi="Times New Roman"/>
          <w:sz w:val="20"/>
        </w:rPr>
        <w:t xml:space="preserve">” means, with respect to the Securities of any series, the place or places where the principal of, premium (if any) and interest on and any Additional Amounts with respect to the Securities of that series are payable as specified in accordance with Section 2.01 subject to the provisions of Section 4.02. </w:t>
      </w:r>
    </w:p>
    <w:p>
      <w:pPr>
        <w:pStyle w:val="TextBody"/>
        <w:bidi w:val="0"/>
        <w:spacing w:before="240" w:after="0"/>
        <w:jc w:val="left"/>
        <w:rPr/>
      </w:pPr>
      <w:r>
        <w:rPr/>
        <w:t>“</w:t>
      </w:r>
      <w:r>
        <w:rPr>
          <w:rFonts w:ascii="Times New Roman" w:hAnsi="Times New Roman"/>
          <w:b/>
          <w:sz w:val="20"/>
          <w:u w:val="single"/>
        </w:rPr>
        <w:t>principal</w:t>
      </w:r>
      <w:r>
        <w:rPr>
          <w:rFonts w:ascii="Times New Roman" w:hAnsi="Times New Roman"/>
          <w:sz w:val="20"/>
        </w:rPr>
        <w:t xml:space="preserve">” of a Security means the principal of the Security plus, when appropriate, the premium, if any, on the Security. </w:t>
      </w:r>
    </w:p>
    <w:p>
      <w:pPr>
        <w:pStyle w:val="TextBody"/>
        <w:bidi w:val="0"/>
        <w:spacing w:before="240" w:after="0"/>
        <w:jc w:val="left"/>
        <w:rPr/>
      </w:pPr>
      <w:r>
        <w:rPr/>
        <w:t>“</w:t>
      </w:r>
      <w:r>
        <w:rPr>
          <w:rFonts w:ascii="Times New Roman" w:hAnsi="Times New Roman"/>
          <w:b/>
          <w:sz w:val="20"/>
          <w:u w:val="single"/>
        </w:rPr>
        <w:t>Redemption Date</w:t>
      </w:r>
      <w:r>
        <w:rPr>
          <w:rFonts w:ascii="Times New Roman" w:hAnsi="Times New Roman"/>
          <w:sz w:val="20"/>
        </w:rPr>
        <w:t xml:space="preserve">” means, with respect to any Security to be redeemed, the date fixed for such redemption by or pursuant to this Indenture. </w:t>
      </w:r>
    </w:p>
    <w:p>
      <w:pPr>
        <w:pStyle w:val="TextBody"/>
        <w:bidi w:val="0"/>
        <w:spacing w:before="240" w:after="0"/>
        <w:jc w:val="left"/>
        <w:rPr/>
      </w:pPr>
      <w:r>
        <w:rPr/>
        <w:t>“</w:t>
      </w:r>
      <w:r>
        <w:rPr>
          <w:rFonts w:ascii="Times New Roman" w:hAnsi="Times New Roman"/>
          <w:b/>
          <w:sz w:val="20"/>
          <w:u w:val="single"/>
        </w:rPr>
        <w:t>Redemption Price</w:t>
      </w:r>
      <w:r>
        <w:rPr>
          <w:rFonts w:ascii="Times New Roman" w:hAnsi="Times New Roman"/>
          <w:sz w:val="20"/>
        </w:rPr>
        <w:t xml:space="preserve">” means, with respect to any Security to be redeemed, the price at which it is to be redeemed pursuant to this Indenture. </w:t>
      </w:r>
    </w:p>
    <w:p>
      <w:pPr>
        <w:pStyle w:val="TextBody"/>
        <w:bidi w:val="0"/>
        <w:spacing w:before="240" w:after="0"/>
        <w:jc w:val="left"/>
        <w:rPr/>
      </w:pPr>
      <w:r>
        <w:rPr/>
        <w:t>“</w:t>
      </w:r>
      <w:r>
        <w:rPr>
          <w:rFonts w:ascii="Times New Roman" w:hAnsi="Times New Roman"/>
          <w:b/>
          <w:sz w:val="20"/>
          <w:u w:val="single"/>
        </w:rPr>
        <w:t>Responsible Officer</w:t>
      </w:r>
      <w:r>
        <w:rPr>
          <w:rFonts w:ascii="Times New Roman" w:hAnsi="Times New Roman"/>
          <w:sz w:val="20"/>
        </w:rPr>
        <w:t xml:space="preserv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 </w:t>
      </w:r>
    </w:p>
    <w:p>
      <w:pPr>
        <w:pStyle w:val="TextBody"/>
        <w:bidi w:val="0"/>
        <w:spacing w:before="240" w:after="0"/>
        <w:jc w:val="left"/>
        <w:rPr/>
      </w:pPr>
      <w:r>
        <w:rPr/>
        <w:t>“</w:t>
      </w:r>
      <w:r>
        <w:rPr>
          <w:rFonts w:ascii="Times New Roman" w:hAnsi="Times New Roman"/>
          <w:b/>
          <w:sz w:val="20"/>
          <w:u w:val="single"/>
        </w:rPr>
        <w:t>Rule 144A Securities</w:t>
      </w:r>
      <w:r>
        <w:rPr>
          <w:rFonts w:ascii="Times New Roman" w:hAnsi="Times New Roman"/>
          <w:sz w:val="20"/>
        </w:rPr>
        <w:t xml:space="preserve">” means Securities of a series designated pursuant to Section 2.01 as entitled to the benefits of Section 4.03(2).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b/>
          <w:sz w:val="20"/>
          <w:u w:val="single"/>
        </w:rPr>
        <w:t>Securities</w:t>
      </w:r>
      <w:r>
        <w:rPr>
          <w:rFonts w:ascii="Times New Roman" w:hAnsi="Times New Roman"/>
          <w:sz w:val="20"/>
        </w:rPr>
        <w:t xml:space="preserve">” has the meaning stated in the preamble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b/>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u w:val="single"/>
        </w:rPr>
        <w:t>Security Custodian</w:t>
      </w:r>
      <w:r>
        <w:rPr>
          <w:rFonts w:ascii="Times New Roman" w:hAnsi="Times New Roman"/>
          <w:sz w:val="20"/>
        </w:rPr>
        <w:t xml:space="preserve">” means, with respect to Securities of a series issued in global form, the Trustee for Securities of such series, as custodian with respect to the Securities of such series, or any successor entity thereto. </w:t>
      </w:r>
    </w:p>
    <w:p>
      <w:pPr>
        <w:pStyle w:val="TextBody"/>
        <w:bidi w:val="0"/>
        <w:spacing w:before="240" w:after="0"/>
        <w:jc w:val="left"/>
        <w:rPr/>
      </w:pPr>
      <w:r>
        <w:rPr/>
        <w:t>“</w:t>
      </w:r>
      <w:r>
        <w:rPr>
          <w:rFonts w:ascii="Times New Roman" w:hAnsi="Times New Roman"/>
          <w:b/>
          <w:sz w:val="20"/>
          <w:u w:val="single"/>
        </w:rPr>
        <w:t>Significant Subsidiary</w:t>
      </w:r>
      <w:r>
        <w:rPr>
          <w:rFonts w:ascii="Times New Roman" w:hAnsi="Times New Roman"/>
          <w:sz w:val="20"/>
        </w:rPr>
        <w:t xml:space="preserve">” means a Subsidiary of the Company that is a “significant subsidiary” of the Company as such term is defined in Rule 1-02(w) of Regulation S-X as in effect on the date hereof. </w:t>
      </w:r>
    </w:p>
    <w:p>
      <w:pPr>
        <w:pStyle w:val="TextBody"/>
        <w:bidi w:val="0"/>
        <w:spacing w:before="240" w:after="0"/>
        <w:jc w:val="left"/>
        <w:rPr/>
      </w:pPr>
      <w:r>
        <w:rPr/>
        <w:t>“</w:t>
      </w:r>
      <w:r>
        <w:rPr>
          <w:rFonts w:ascii="Times New Roman" w:hAnsi="Times New Roman"/>
          <w:b/>
          <w:sz w:val="20"/>
          <w:u w:val="single"/>
        </w:rPr>
        <w:t>Stated Maturity</w:t>
      </w:r>
      <w:r>
        <w:rPr>
          <w:rFonts w:ascii="Times New Roman" w:hAnsi="Times New Roman"/>
          <w:sz w:val="20"/>
        </w:rPr>
        <w:t xml:space="preserve">” means, when used with respect to any Security or any installment of principal thereof or interest thereon, the date specified in such Security as the fixed date on which the principal of such Security or such installment of principal or interest is due and payable. </w:t>
      </w:r>
    </w:p>
    <w:p>
      <w:pPr>
        <w:pStyle w:val="TextBody"/>
        <w:bidi w:val="0"/>
        <w:spacing w:before="240" w:after="0"/>
        <w:jc w:val="left"/>
        <w:rPr/>
      </w:pPr>
      <w:r>
        <w:rPr/>
        <w:t>“</w:t>
      </w:r>
      <w:r>
        <w:rPr>
          <w:rFonts w:ascii="Times New Roman" w:hAnsi="Times New Roman"/>
          <w:b/>
          <w:sz w:val="20"/>
          <w:u w:val="single"/>
        </w:rPr>
        <w:t>Subsidiary</w:t>
      </w:r>
      <w:r>
        <w:rPr>
          <w:rFonts w:ascii="Times New Roman" w:hAnsi="Times New Roman"/>
          <w:sz w:val="20"/>
        </w:rPr>
        <w:t xml:space="preserve">” of any Person means: </w:t>
      </w:r>
    </w:p>
    <w:p>
      <w:pPr>
        <w:pStyle w:val="TextBody"/>
        <w:bidi w:val="0"/>
        <w:spacing w:before="120" w:after="0"/>
        <w:jc w:val="left"/>
        <w:rPr>
          <w:rFonts w:ascii="Times New Roman" w:hAnsi="Times New Roman"/>
          <w:sz w:val="20"/>
        </w:rPr>
      </w:pPr>
      <w:r>
        <w:rPr>
          <w:rFonts w:ascii="Times New Roman" w:hAnsi="Times New Roman"/>
          <w:sz w:val="20"/>
        </w:rPr>
        <w:t xml:space="preserve">(2) any corporation, association or other business entity of which more than 50% of the total voting power of equity interests entitled, without regard to the occurrence of any contingency, to vote in the election of directors, managers, trustees or equivalent Persons thereof is at the time of determination owned or controlled, directly or indirectly, by such Person or one or more of the other Subsidiaries of such Person or any combination thereof; or </w:t>
      </w:r>
    </w:p>
    <w:p>
      <w:pPr>
        <w:pStyle w:val="TextBody"/>
        <w:bidi w:val="0"/>
        <w:spacing w:before="120" w:after="0"/>
        <w:jc w:val="left"/>
        <w:rPr>
          <w:rFonts w:ascii="Times New Roman" w:hAnsi="Times New Roman"/>
          <w:sz w:val="20"/>
        </w:rPr>
      </w:pPr>
      <w:r>
        <w:rPr>
          <w:rFonts w:ascii="Times New Roman" w:hAnsi="Times New Roman"/>
          <w:sz w:val="20"/>
        </w:rPr>
        <w:t xml:space="preserve">(3) a partnership (a) the sole general partner or the managing partner of which is such Person or a Subsidiary of such Person, (b) the only general partners of which are that Person or one or more Subsidiaries of that Person (or any combination thereof) or (c) of which more than 50% of the partners’ equity interests, considering all partners’ equity interests as a single class, is at the time of determination owned or controlled, directly or indirectly, by such Person or one or more of the other Subsidiaries of such Person or any combination thereof. </w:t>
      </w:r>
    </w:p>
    <w:p>
      <w:pPr>
        <w:pStyle w:val="TextBody"/>
        <w:bidi w:val="0"/>
        <w:spacing w:before="240" w:after="0"/>
        <w:jc w:val="left"/>
        <w:rPr/>
      </w:pPr>
      <w:r>
        <w:rPr/>
        <w:t>“</w:t>
      </w:r>
      <w:r>
        <w:rPr>
          <w:rFonts w:ascii="Times New Roman" w:hAnsi="Times New Roman"/>
          <w:b/>
          <w:sz w:val="20"/>
          <w:u w:val="single"/>
        </w:rPr>
        <w:t>surrender</w:t>
      </w:r>
      <w:r>
        <w:rPr>
          <w:rFonts w:ascii="Times New Roman" w:hAnsi="Times New Roman"/>
          <w:sz w:val="20"/>
        </w:rPr>
        <w:t xml:space="preserve">” shall have the same meaning as “deliver” in the context of the surrender of a Security. </w:t>
      </w:r>
    </w:p>
    <w:p>
      <w:pPr>
        <w:pStyle w:val="TextBody"/>
        <w:bidi w:val="0"/>
        <w:spacing w:before="240" w:after="0"/>
        <w:jc w:val="left"/>
        <w:rPr/>
      </w:pPr>
      <w:r>
        <w:rPr/>
        <w:t>“</w:t>
      </w:r>
      <w:r>
        <w:rPr>
          <w:rFonts w:ascii="Times New Roman" w:hAnsi="Times New Roman"/>
          <w:b/>
          <w:sz w:val="20"/>
          <w:u w:val="single"/>
        </w:rPr>
        <w:t>TIA</w:t>
      </w:r>
      <w:r>
        <w:rPr>
          <w:rFonts w:ascii="Times New Roman" w:hAnsi="Times New Roman"/>
          <w:sz w:val="20"/>
        </w:rPr>
        <w:t xml:space="preserve">” means the Trust Indenture Act of 1939, as amended, as in effect on the date hereof; provided, however, that, in the event the Trust Indenture Act of 1939 is amended after such date, “TIA” means, to the extent required by any such amendment, the Trust Indenture Act of 1939 as so amended. </w:t>
      </w:r>
    </w:p>
    <w:p>
      <w:pPr>
        <w:pStyle w:val="TextBody"/>
        <w:bidi w:val="0"/>
        <w:spacing w:before="240" w:after="0"/>
        <w:jc w:val="left"/>
        <w:rPr/>
      </w:pPr>
      <w:r>
        <w:rPr/>
        <w:t>“</w:t>
      </w:r>
      <w:r>
        <w:rPr>
          <w:rFonts w:ascii="Times New Roman" w:hAnsi="Times New Roman"/>
          <w:b/>
          <w:sz w:val="20"/>
          <w:u w:val="single"/>
        </w:rPr>
        <w:t>Trustee</w:t>
      </w:r>
      <w:r>
        <w:rPr>
          <w:rFonts w:ascii="Times New Roman" w:hAnsi="Times New Roman"/>
          <w:sz w:val="20"/>
        </w:rPr>
        <w:t xml:space="preserve">” means the Person named as such above until a successor replaces it in accordance with the applicable provisions of this Indenture, and thereafter “Trustee” means each Person who is then a Trustee hereunder, and if at any time there is more than one such Person, “Trustee” as used with respect to the Securities of any series means the Trustee with respect to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u w:val="single"/>
        </w:rPr>
        <w:t>United States</w:t>
      </w:r>
      <w:r>
        <w:rPr>
          <w:rFonts w:ascii="Times New Roman" w:hAnsi="Times New Roman"/>
          <w:sz w:val="20"/>
        </w:rPr>
        <w:t xml:space="preserve">” means the United States of America (including the States and the District of Columbia) and its territories and possessions, which include Puerto Rico, the U.S. Virgin Islands, Guam, American Samoa, Wake Island and the Northern Mariana Islands. </w:t>
      </w:r>
    </w:p>
    <w:p>
      <w:pPr>
        <w:pStyle w:val="TextBody"/>
        <w:bidi w:val="0"/>
        <w:spacing w:before="240" w:after="0"/>
        <w:jc w:val="left"/>
        <w:rPr/>
      </w:pPr>
      <w:r>
        <w:rPr/>
        <w:t>“</w:t>
      </w:r>
      <w:r>
        <w:rPr>
          <w:rFonts w:ascii="Times New Roman" w:hAnsi="Times New Roman"/>
          <w:b/>
          <w:sz w:val="20"/>
          <w:u w:val="single"/>
        </w:rPr>
        <w:t>U.S. Government Obligations</w:t>
      </w:r>
      <w:r>
        <w:rPr>
          <w:rFonts w:ascii="Times New Roman" w:hAnsi="Times New Roman"/>
          <w:sz w:val="20"/>
        </w:rPr>
        <w:t xml:space="preserve">” means Government Obligations with respect to Securities payable in Dollars.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35"/>
        <w:gridCol w:w="120"/>
        <w:gridCol w:w="3850"/>
      </w:tblGrid>
      <w:tr>
        <w:trPr/>
        <w:tc>
          <w:tcPr>
            <w:tcW w:w="6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623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Term</w:t>
            </w:r>
          </w:p>
        </w:tc>
        <w:tc>
          <w:tcPr>
            <w:tcW w:w="120" w:type="dxa"/>
            <w:tcBorders/>
            <w:vAlign w:val="bottom"/>
          </w:tcPr>
          <w:p>
            <w:pPr>
              <w:pStyle w:val="TableContents"/>
              <w:bidi w:val="0"/>
              <w:spacing w:before="0" w:after="283"/>
              <w:jc w:val="left"/>
              <w:rPr/>
            </w:pPr>
            <w:r>
              <w:rPr/>
              <w:t>  </w:t>
            </w:r>
          </w:p>
        </w:tc>
        <w:tc>
          <w:tcPr>
            <w:tcW w:w="38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Defined in Section</w:t>
            </w:r>
          </w:p>
        </w:tc>
      </w:tr>
      <w:tr>
        <w:trPr/>
        <w:tc>
          <w:tcPr>
            <w:tcW w:w="6235" w:type="dxa"/>
            <w:tcBorders/>
          </w:tcPr>
          <w:p>
            <w:pPr>
              <w:pStyle w:val="TableContents"/>
              <w:bidi w:val="0"/>
              <w:spacing w:before="0" w:after="283"/>
              <w:jc w:val="left"/>
              <w:rPr/>
            </w:pPr>
            <w:r>
              <w:rPr/>
              <w:t>“</w:t>
            </w:r>
            <w:r>
              <w:rPr/>
              <w:t>Agent Members”</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2.17</w:t>
            </w:r>
          </w:p>
        </w:tc>
      </w:tr>
      <w:tr>
        <w:trPr/>
        <w:tc>
          <w:tcPr>
            <w:tcW w:w="6235" w:type="dxa"/>
            <w:tcBorders/>
          </w:tcPr>
          <w:p>
            <w:pPr>
              <w:pStyle w:val="TableContents"/>
              <w:bidi w:val="0"/>
              <w:spacing w:before="0" w:after="283"/>
              <w:jc w:val="left"/>
              <w:rPr/>
            </w:pPr>
            <w:r>
              <w:rPr/>
              <w:t>“</w:t>
            </w:r>
            <w:r>
              <w:rPr/>
              <w:t>Bankruptcy Custodian”</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6.01</w:t>
            </w:r>
          </w:p>
        </w:tc>
      </w:tr>
      <w:tr>
        <w:trPr/>
        <w:tc>
          <w:tcPr>
            <w:tcW w:w="6235" w:type="dxa"/>
            <w:tcBorders/>
          </w:tcPr>
          <w:p>
            <w:pPr>
              <w:pStyle w:val="TableContents"/>
              <w:bidi w:val="0"/>
              <w:spacing w:before="0" w:after="283"/>
              <w:jc w:val="left"/>
              <w:rPr/>
            </w:pPr>
            <w:r>
              <w:rPr/>
              <w:t>“</w:t>
            </w:r>
            <w:r>
              <w:rPr/>
              <w:t>covenant defeasance”</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8.01</w:t>
            </w:r>
          </w:p>
        </w:tc>
      </w:tr>
      <w:tr>
        <w:trPr/>
        <w:tc>
          <w:tcPr>
            <w:tcW w:w="6235" w:type="dxa"/>
            <w:tcBorders/>
          </w:tcPr>
          <w:p>
            <w:pPr>
              <w:pStyle w:val="TableContents"/>
              <w:bidi w:val="0"/>
              <w:spacing w:before="0" w:after="283"/>
              <w:jc w:val="left"/>
              <w:rPr/>
            </w:pPr>
            <w:r>
              <w:rPr/>
              <w:t>“</w:t>
            </w:r>
            <w:r>
              <w:rPr/>
              <w:t>EDGAR”</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4.03</w:t>
            </w:r>
          </w:p>
        </w:tc>
      </w:tr>
      <w:tr>
        <w:trPr/>
        <w:tc>
          <w:tcPr>
            <w:tcW w:w="6235" w:type="dxa"/>
            <w:tcBorders/>
          </w:tcPr>
          <w:p>
            <w:pPr>
              <w:pStyle w:val="TableContents"/>
              <w:bidi w:val="0"/>
              <w:spacing w:before="0" w:after="283"/>
              <w:jc w:val="left"/>
              <w:rPr/>
            </w:pPr>
            <w:r>
              <w:rPr/>
              <w:t>“</w:t>
            </w:r>
            <w:r>
              <w:rPr/>
              <w:t>Event of Default”</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6.01</w:t>
            </w:r>
          </w:p>
        </w:tc>
      </w:tr>
      <w:tr>
        <w:trPr/>
        <w:tc>
          <w:tcPr>
            <w:tcW w:w="6235" w:type="dxa"/>
            <w:tcBorders/>
          </w:tcPr>
          <w:p>
            <w:pPr>
              <w:pStyle w:val="TableContents"/>
              <w:bidi w:val="0"/>
              <w:spacing w:before="0" w:after="283"/>
              <w:jc w:val="left"/>
              <w:rPr/>
            </w:pPr>
            <w:r>
              <w:rPr/>
              <w:t>“</w:t>
            </w:r>
            <w:r>
              <w:rPr/>
              <w:t>Exchange Rate”</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2.11</w:t>
            </w:r>
          </w:p>
        </w:tc>
      </w:tr>
      <w:tr>
        <w:trPr/>
        <w:tc>
          <w:tcPr>
            <w:tcW w:w="6235" w:type="dxa"/>
            <w:tcBorders/>
          </w:tcPr>
          <w:p>
            <w:pPr>
              <w:pStyle w:val="TableContents"/>
              <w:bidi w:val="0"/>
              <w:spacing w:before="0" w:after="283"/>
              <w:jc w:val="left"/>
              <w:rPr/>
            </w:pPr>
            <w:r>
              <w:rPr/>
              <w:t>“</w:t>
            </w:r>
            <w:r>
              <w:rPr/>
              <w:t>Funding Guarantor”</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10.05</w:t>
            </w:r>
          </w:p>
        </w:tc>
      </w:tr>
      <w:tr>
        <w:trPr/>
        <w:tc>
          <w:tcPr>
            <w:tcW w:w="6235" w:type="dxa"/>
            <w:tcBorders/>
          </w:tcPr>
          <w:p>
            <w:pPr>
              <w:pStyle w:val="TableContents"/>
              <w:bidi w:val="0"/>
              <w:spacing w:before="0" w:after="283"/>
              <w:jc w:val="left"/>
              <w:rPr/>
            </w:pPr>
            <w:r>
              <w:rPr/>
              <w:t>“</w:t>
            </w:r>
            <w:r>
              <w:rPr/>
              <w:t>Judgment Currency”</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6.01</w:t>
            </w:r>
          </w:p>
        </w:tc>
      </w:tr>
      <w:tr>
        <w:trPr/>
        <w:tc>
          <w:tcPr>
            <w:tcW w:w="6235" w:type="dxa"/>
            <w:tcBorders/>
          </w:tcPr>
          <w:p>
            <w:pPr>
              <w:pStyle w:val="TableContents"/>
              <w:bidi w:val="0"/>
              <w:spacing w:before="0" w:after="283"/>
              <w:jc w:val="left"/>
              <w:rPr/>
            </w:pPr>
            <w:r>
              <w:rPr/>
              <w:t>“</w:t>
            </w:r>
            <w:r>
              <w:rPr/>
              <w:t>legal defeasance”</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8.01</w:t>
            </w:r>
          </w:p>
        </w:tc>
      </w:tr>
      <w:tr>
        <w:trPr/>
        <w:tc>
          <w:tcPr>
            <w:tcW w:w="6235" w:type="dxa"/>
            <w:tcBorders/>
          </w:tcPr>
          <w:p>
            <w:pPr>
              <w:pStyle w:val="TableContents"/>
              <w:bidi w:val="0"/>
              <w:spacing w:before="0" w:after="283"/>
              <w:jc w:val="left"/>
              <w:rPr/>
            </w:pPr>
            <w:r>
              <w:rPr/>
              <w:t>“</w:t>
            </w:r>
            <w:r>
              <w:rPr/>
              <w:t>mandatory sinking fund payment”</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3.09</w:t>
            </w:r>
          </w:p>
        </w:tc>
      </w:tr>
      <w:tr>
        <w:trPr/>
        <w:tc>
          <w:tcPr>
            <w:tcW w:w="6235" w:type="dxa"/>
            <w:tcBorders/>
          </w:tcPr>
          <w:p>
            <w:pPr>
              <w:pStyle w:val="TableContents"/>
              <w:bidi w:val="0"/>
              <w:spacing w:before="0" w:after="283"/>
              <w:jc w:val="left"/>
              <w:rPr/>
            </w:pPr>
            <w:r>
              <w:rPr/>
              <w:t>“</w:t>
            </w:r>
            <w:r>
              <w:rPr/>
              <w:t>optional sinking fund payment”</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3.09</w:t>
            </w:r>
          </w:p>
        </w:tc>
      </w:tr>
      <w:tr>
        <w:trPr/>
        <w:tc>
          <w:tcPr>
            <w:tcW w:w="6235" w:type="dxa"/>
            <w:tcBorders/>
          </w:tcPr>
          <w:p>
            <w:pPr>
              <w:pStyle w:val="TableContents"/>
              <w:bidi w:val="0"/>
              <w:spacing w:before="0" w:after="283"/>
              <w:jc w:val="left"/>
              <w:rPr/>
            </w:pPr>
            <w:r>
              <w:rPr/>
              <w:t>“</w:t>
            </w:r>
            <w:r>
              <w:rPr/>
              <w:t>Paying Agent”</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2.05</w:t>
            </w:r>
          </w:p>
        </w:tc>
      </w:tr>
      <w:tr>
        <w:trPr/>
        <w:tc>
          <w:tcPr>
            <w:tcW w:w="6235" w:type="dxa"/>
            <w:tcBorders/>
          </w:tcPr>
          <w:p>
            <w:pPr>
              <w:pStyle w:val="TableContents"/>
              <w:bidi w:val="0"/>
              <w:spacing w:before="0" w:after="283"/>
              <w:jc w:val="left"/>
              <w:rPr/>
            </w:pPr>
            <w:r>
              <w:rPr/>
              <w:t>“</w:t>
            </w:r>
            <w:r>
              <w:rPr/>
              <w:t>Registrar”</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2.05</w:t>
            </w:r>
          </w:p>
        </w:tc>
      </w:tr>
      <w:tr>
        <w:trPr/>
        <w:tc>
          <w:tcPr>
            <w:tcW w:w="6235" w:type="dxa"/>
            <w:tcBorders/>
          </w:tcPr>
          <w:p>
            <w:pPr>
              <w:pStyle w:val="TableContents"/>
              <w:bidi w:val="0"/>
              <w:spacing w:before="0" w:after="283"/>
              <w:jc w:val="left"/>
              <w:rPr/>
            </w:pPr>
            <w:r>
              <w:rPr/>
              <w:t>“</w:t>
            </w:r>
            <w:r>
              <w:rPr/>
              <w:t>Required Currency”</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6.10</w:t>
            </w:r>
          </w:p>
        </w:tc>
      </w:tr>
      <w:tr>
        <w:trPr/>
        <w:tc>
          <w:tcPr>
            <w:tcW w:w="6235" w:type="dxa"/>
            <w:tcBorders/>
          </w:tcPr>
          <w:p>
            <w:pPr>
              <w:pStyle w:val="TableContents"/>
              <w:bidi w:val="0"/>
              <w:spacing w:before="0" w:after="283"/>
              <w:jc w:val="left"/>
              <w:rPr/>
            </w:pPr>
            <w:r>
              <w:rPr/>
              <w:t>“</w:t>
            </w:r>
            <w:r>
              <w:rPr/>
              <w:t>Successor”</w:t>
            </w:r>
          </w:p>
        </w:tc>
        <w:tc>
          <w:tcPr>
            <w:tcW w:w="120" w:type="dxa"/>
            <w:tcBorders/>
            <w:vAlign w:val="bottom"/>
          </w:tcPr>
          <w:p>
            <w:pPr>
              <w:pStyle w:val="TableContents"/>
              <w:bidi w:val="0"/>
              <w:spacing w:before="0" w:after="283"/>
              <w:jc w:val="left"/>
              <w:rPr/>
            </w:pPr>
            <w:r>
              <w:rPr/>
              <w:t>  </w:t>
            </w:r>
          </w:p>
        </w:tc>
        <w:tc>
          <w:tcPr>
            <w:tcW w:w="3850" w:type="dxa"/>
            <w:tcBorders/>
          </w:tcPr>
          <w:p>
            <w:pPr>
              <w:pStyle w:val="TableContents"/>
              <w:bidi w:val="0"/>
              <w:spacing w:before="0" w:after="283"/>
              <w:jc w:val="right"/>
              <w:rPr/>
            </w:pPr>
            <w:r>
              <w:rPr/>
              <w:t>5.01</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(and if the Indenture is not qualified under the TIA at that time, as if it were so qualified unless otherwise provided). The following TIA terms used in this Indenture have the following meanings: </w:t>
      </w:r>
    </w:p>
    <w:p>
      <w:pPr>
        <w:pStyle w:val="TextBody"/>
        <w:bidi w:val="0"/>
        <w:spacing w:before="120" w:after="0"/>
        <w:jc w:val="left"/>
        <w:rPr/>
      </w:pPr>
      <w:r>
        <w:rPr/>
        <w:t>“</w:t>
      </w:r>
      <w:r>
        <w:rPr>
          <w:rFonts w:ascii="Times New Roman" w:hAnsi="Times New Roman"/>
          <w:b/>
          <w:sz w:val="20"/>
          <w:u w:val="single"/>
        </w:rPr>
        <w:t>Commission</w:t>
      </w:r>
      <w:r>
        <w:rPr>
          <w:rFonts w:ascii="Times New Roman" w:hAnsi="Times New Roman"/>
          <w:sz w:val="20"/>
        </w:rPr>
        <w:t xml:space="preserve">” means the SEC. </w:t>
      </w:r>
    </w:p>
    <w:p>
      <w:pPr>
        <w:pStyle w:val="TextBody"/>
        <w:bidi w:val="0"/>
        <w:spacing w:before="240" w:after="0"/>
        <w:jc w:val="left"/>
        <w:rPr/>
      </w:pPr>
      <w:r>
        <w:rPr/>
        <w:t>“</w:t>
      </w:r>
      <w:r>
        <w:rPr>
          <w:rFonts w:ascii="Times New Roman" w:hAnsi="Times New Roman"/>
          <w:b/>
          <w:sz w:val="20"/>
          <w:u w:val="single"/>
        </w:rPr>
        <w:t>indenture securities</w:t>
      </w:r>
      <w:r>
        <w:rPr>
          <w:rFonts w:ascii="Times New Roman" w:hAnsi="Times New Roman"/>
          <w:sz w:val="20"/>
        </w:rPr>
        <w:t xml:space="preserve">” means the Securities. </w:t>
      </w:r>
    </w:p>
    <w:p>
      <w:pPr>
        <w:pStyle w:val="TextBody"/>
        <w:bidi w:val="0"/>
        <w:spacing w:before="240" w:after="0"/>
        <w:jc w:val="left"/>
        <w:rPr/>
      </w:pPr>
      <w:r>
        <w:rPr/>
        <w:t>“</w:t>
      </w:r>
      <w:r>
        <w:rPr>
          <w:rFonts w:ascii="Times New Roman" w:hAnsi="Times New Roman"/>
          <w:b/>
          <w:sz w:val="20"/>
          <w:u w:val="single"/>
        </w:rPr>
        <w:t>indenture security holder</w:t>
      </w:r>
      <w:r>
        <w:rPr>
          <w:rFonts w:ascii="Times New Roman" w:hAnsi="Times New Roman"/>
          <w:sz w:val="20"/>
        </w:rPr>
        <w:t xml:space="preserve">” means a Holder. </w:t>
      </w:r>
    </w:p>
    <w:p>
      <w:pPr>
        <w:pStyle w:val="TextBody"/>
        <w:bidi w:val="0"/>
        <w:spacing w:before="240" w:after="0"/>
        <w:jc w:val="left"/>
        <w:rPr/>
      </w:pPr>
      <w:r>
        <w:rPr/>
        <w:t>“</w:t>
      </w:r>
      <w:r>
        <w:rPr>
          <w:rFonts w:ascii="Times New Roman" w:hAnsi="Times New Roman"/>
          <w:b/>
          <w:sz w:val="20"/>
          <w:u w:val="single"/>
        </w:rPr>
        <w:t>indenture to be qualified</w:t>
      </w:r>
      <w:r>
        <w:rPr>
          <w:rFonts w:ascii="Times New Roman" w:hAnsi="Times New Roman"/>
          <w:sz w:val="20"/>
        </w:rPr>
        <w:t xml:space="preserve">” means this Indenture. </w:t>
      </w:r>
    </w:p>
    <w:p>
      <w:pPr>
        <w:pStyle w:val="TextBody"/>
        <w:bidi w:val="0"/>
        <w:spacing w:before="240" w:after="0"/>
        <w:jc w:val="left"/>
        <w:rPr/>
      </w:pPr>
      <w:r>
        <w:rPr/>
        <w:t>“</w:t>
      </w:r>
      <w:r>
        <w:rPr>
          <w:rFonts w:ascii="Times New Roman" w:hAnsi="Times New Roman"/>
          <w:b/>
          <w:sz w:val="20"/>
          <w:u w:val="single"/>
        </w:rPr>
        <w:t>indenture trustee</w:t>
      </w:r>
      <w:r>
        <w:rPr>
          <w:rFonts w:ascii="Times New Roman" w:hAnsi="Times New Roman"/>
          <w:sz w:val="20"/>
        </w:rPr>
        <w:t>” or “</w:t>
      </w:r>
      <w:r>
        <w:rPr>
          <w:rFonts w:ascii="Times New Roman" w:hAnsi="Times New Roman"/>
          <w:b/>
          <w:sz w:val="20"/>
          <w:u w:val="single"/>
        </w:rPr>
        <w:t>institutional trustee</w:t>
      </w:r>
      <w:r>
        <w:rPr>
          <w:rFonts w:ascii="Times New Roman" w:hAnsi="Times New Roman"/>
          <w:sz w:val="20"/>
        </w:rPr>
        <w:t xml:space="preserve">” means the Trustee. </w:t>
      </w:r>
    </w:p>
    <w:p>
      <w:pPr>
        <w:pStyle w:val="TextBody"/>
        <w:bidi w:val="0"/>
        <w:spacing w:before="240" w:after="0"/>
        <w:jc w:val="left"/>
        <w:rPr/>
      </w:pPr>
      <w:r>
        <w:rPr/>
        <w:t>“</w:t>
      </w:r>
      <w:r>
        <w:rPr>
          <w:rFonts w:ascii="Times New Roman" w:hAnsi="Times New Roman"/>
          <w:b/>
          <w:sz w:val="20"/>
          <w:u w:val="single"/>
        </w:rPr>
        <w:t>obligor</w:t>
      </w:r>
      <w:r>
        <w:rPr>
          <w:rFonts w:ascii="Times New Roman" w:hAnsi="Times New Roman"/>
          <w:sz w:val="20"/>
        </w:rPr>
        <w:t xml:space="preserve">” on the indenture securities means the Company, any Guarantor or any other obligor on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terms used in this Indenture that are defined by the TIA, defined by a TIA reference to another statute or defined by an SEC rule under the TIA have the meanings so assigned to them.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(1) a term has the meaning assigned to it; </w:t>
      </w:r>
    </w:p>
    <w:p>
      <w:pPr>
        <w:pStyle w:val="TextBody"/>
        <w:bidi w:val="0"/>
        <w:spacing w:before="240" w:after="0"/>
        <w:jc w:val="left"/>
        <w:rPr>
          <w:rFonts w:ascii="Times New Roman" w:hAnsi="Times New Roman"/>
          <w:sz w:val="20"/>
        </w:rPr>
      </w:pPr>
      <w:r>
        <w:rPr>
          <w:rFonts w:ascii="Times New Roman" w:hAnsi="Times New Roman"/>
          <w:sz w:val="20"/>
        </w:rPr>
        <w:t xml:space="preserve">(2) an accounting term not otherwise defined has the meaning assigned to it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(3)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(4) words in the singular include the plural, and in the plural include the singular; </w:t>
      </w:r>
    </w:p>
    <w:p>
      <w:pPr>
        <w:pStyle w:val="TextBody"/>
        <w:bidi w:val="0"/>
        <w:spacing w:before="240" w:after="0"/>
        <w:jc w:val="left"/>
        <w:rPr>
          <w:rFonts w:ascii="Times New Roman" w:hAnsi="Times New Roman"/>
          <w:sz w:val="20"/>
        </w:rPr>
      </w:pPr>
      <w:r>
        <w:rPr>
          <w:rFonts w:ascii="Times New Roman" w:hAnsi="Times New Roman"/>
          <w:sz w:val="20"/>
        </w:rPr>
        <w:t xml:space="preserve">(5) provisions apply to successive events and transactions; and </w:t>
      </w:r>
    </w:p>
    <w:p>
      <w:pPr>
        <w:pStyle w:val="TextBody"/>
        <w:bidi w:val="0"/>
        <w:spacing w:before="240" w:after="0"/>
        <w:jc w:val="left"/>
        <w:rPr>
          <w:rFonts w:ascii="Times New Roman" w:hAnsi="Times New Roman"/>
          <w:sz w:val="20"/>
        </w:rPr>
      </w:pPr>
      <w:r>
        <w:rPr>
          <w:rFonts w:ascii="Times New Roman" w:hAnsi="Times New Roman"/>
          <w:sz w:val="20"/>
        </w:rPr>
        <w:t xml:space="preserve">(6) all references in this instrument to Articles and Sections are references to the corresponding Articles and Sections in and of this instrument.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Amount Unlimited; Issuable in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There shall be established in or pursuant to a Board Resolution, and set forth, or determined in the manner provided, in an Officers’ Certificate or in a Company Order, or established in one or more indentures supplemental hereto, prior to the issuance of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(1) the title of the Securities of the series (which shall distinguish the Securities of the series from the Securities of all other series); </w:t>
      </w:r>
    </w:p>
    <w:p>
      <w:pPr>
        <w:pStyle w:val="TextBody"/>
        <w:bidi w:val="0"/>
        <w:spacing w:before="240" w:after="0"/>
        <w:jc w:val="left"/>
        <w:rPr>
          <w:rFonts w:ascii="Times New Roman" w:hAnsi="Times New Roman"/>
          <w:sz w:val="20"/>
        </w:rPr>
      </w:pPr>
      <w:r>
        <w:rPr>
          <w:rFonts w:ascii="Times New Roman" w:hAnsi="Times New Roman"/>
          <w:sz w:val="20"/>
        </w:rPr>
        <w:t xml:space="preserve">(2) if there is to be a limit, the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Section 2.09, Section 2.12, Section 2.17, Section 3.07 or Section 9.05 and except for any Securities which, pursuant to Section 2.04 or Section 2.17, are deemed never to have been authenticated and delivered hereunder); provided, however, that unless otherwise provided in the terms of the series, the authorized aggregate principal amount of such series may be increased before or after the issuance of any Securities of the series by a Board Resolution (or action pursuant to a Board Resolution) to such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whether any Securities of the series are to be issuable initially in temporary global form and whether any Securities of the series are to be issuable in permanent global form, as Global Securities or otherwise, and, if so, whether beneficial owners of interests in any such Global Security may exchange such interests for Securities of such series and of like tenor of any authorized form and denomination and the circumstances under which any such exchanges may occur, if other than in the manner provided in Section 2.17, and the initial Depositary and Security Custodian, if any, for any Global Security 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(4) the manner in which any interest payable on a temporary Global Security on any Interest Payment Date will be paid if other than in the manner provided in Section 2.14; </w:t>
      </w:r>
    </w:p>
    <w:p>
      <w:pPr>
        <w:pStyle w:val="TextBody"/>
        <w:bidi w:val="0"/>
        <w:spacing w:before="240" w:after="0"/>
        <w:jc w:val="left"/>
        <w:rPr>
          <w:rFonts w:ascii="Times New Roman" w:hAnsi="Times New Roman"/>
          <w:sz w:val="20"/>
        </w:rPr>
      </w:pPr>
      <w:r>
        <w:rPr>
          <w:rFonts w:ascii="Times New Roman" w:hAnsi="Times New Roman"/>
          <w:sz w:val="20"/>
        </w:rPr>
        <w:t xml:space="preserve">(5) the date or dates on which the principal of and premium (if any) on the Securities of the series is payable or the method of determination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(6) the rate or rates, or the method of determination thereof, at which the Securities of the series shall bear interest, if any, whether and under what circumstances Additional Amounts with respect to such Securities shall be payable, the date or dates from which such interest shall accrue, the Interest Payment Dates on which such interest shall be payable and the record date for the interest payable on any Securities on any Interest Payment Date, or if other than provided herein, the Person to whom any interest on Securities of the series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(7) the place or places where, subject to the provisions of Section 4.02, the principal of, premium (if any) and interest on and any Additional Amounts with respect to the Securities of the series shall be payable; </w:t>
      </w:r>
    </w:p>
    <w:p>
      <w:pPr>
        <w:pStyle w:val="TextBody"/>
        <w:bidi w:val="0"/>
        <w:spacing w:before="240" w:after="0"/>
        <w:jc w:val="left"/>
        <w:rPr>
          <w:rFonts w:ascii="Times New Roman" w:hAnsi="Times New Roman"/>
          <w:sz w:val="20"/>
        </w:rPr>
      </w:pPr>
      <w:r>
        <w:rPr>
          <w:rFonts w:ascii="Times New Roman" w:hAnsi="Times New Roman"/>
          <w:sz w:val="20"/>
        </w:rPr>
        <w:t xml:space="preserve">(8) the period or periods within which, the price or prices (whether denominated in cash, securities or otherwise) at which and the terms and conditions upon which Securities of the series may be redeemed, in whole or in part, at the option of the Company, if the Company is to have that option, and the manner in which the Company must exercise any such option, if different from those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(9) whether Securities of the series are entitled to the benefits of any Guarantee of any Guarantor pursuant to this Indenture, the identity of any such Guarantors and any terms of such Guarantee with respect to the Securities of the series in addition to those set forth in Article X, or any exceptions to or changes to those set forth in Article X; </w:t>
      </w:r>
    </w:p>
    <w:p>
      <w:pPr>
        <w:pStyle w:val="TextBody"/>
        <w:bidi w:val="0"/>
        <w:spacing w:before="240" w:after="0"/>
        <w:jc w:val="left"/>
        <w:rPr>
          <w:rFonts w:ascii="Times New Roman" w:hAnsi="Times New Roman"/>
          <w:sz w:val="20"/>
        </w:rPr>
      </w:pPr>
      <w:r>
        <w:rPr>
          <w:rFonts w:ascii="Times New Roman" w:hAnsi="Times New Roman"/>
          <w:sz w:val="20"/>
        </w:rPr>
        <w:t xml:space="preserve">(10) the obligation, if any, of the Company to redeem, purchase or repay Securities of the series pursuant to any sinking fund or analogous provisions or at the option of a Holder thereof and the period or periods within which the price or prices (whether denominated in cash, securities or otherwise) at which and the terms and conditions upon which Securities of the series shall be redeemed, purchased or repaid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(11) if other than denominations of $1,000 and any integral multiple thereof, the denomination in which any Securities of that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(12) if other than Dollars, the currency or currencies (including composite currencies) or the form, including equity securities, other debt securities (including Securities), warrants or any other securities or property of the Company, any Guarantor or any other Person, in which payment of the principal of, premium (if any) and interest on and any Additional Amounts with respect to the Securities of the series shall be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if the principal of, premium (if any) or interest on or any Additional Amounts with respect to the Securities of the series are to be payable, at the election of the Company or a Holder thereof, in a currency or currencies (including composite currencies) other than that in which the Securities are stated to be payable, the currency or currencies (including composite currencies) in which payment of the principal of, premium (if any) and interest on and any Additional Amounts with respect to Securities of such series as to which such election is made shall be payable, and the periods within which and the terms and conditions upon which such election is to be made; </w:t>
      </w:r>
    </w:p>
    <w:p>
      <w:pPr>
        <w:pStyle w:val="TextBody"/>
        <w:bidi w:val="0"/>
        <w:spacing w:before="240" w:after="0"/>
        <w:jc w:val="left"/>
        <w:rPr>
          <w:rFonts w:ascii="Times New Roman" w:hAnsi="Times New Roman"/>
          <w:sz w:val="20"/>
        </w:rPr>
      </w:pPr>
      <w:r>
        <w:rPr>
          <w:rFonts w:ascii="Times New Roman" w:hAnsi="Times New Roman"/>
          <w:sz w:val="20"/>
        </w:rPr>
        <w:t xml:space="preserve">(14) if the amount of payments of principal of, premium (if any) and interest on and any Additional Amounts with respect to the Securities of the series may be determined with reference to any commodities, currencies or indices, values, rates or prices or any other index or formula, the manner in which such amounts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(15) if other than the entire principal amount thereof, the portion of the principal amount of Securities of the series that shall be payable upon declaration of acceleration of the Maturity thereof pursuant to Section 6.02; </w:t>
      </w:r>
    </w:p>
    <w:p>
      <w:pPr>
        <w:pStyle w:val="TextBody"/>
        <w:bidi w:val="0"/>
        <w:spacing w:before="240" w:after="0"/>
        <w:jc w:val="left"/>
        <w:rPr>
          <w:rFonts w:ascii="Times New Roman" w:hAnsi="Times New Roman"/>
          <w:sz w:val="20"/>
        </w:rPr>
      </w:pPr>
      <w:r>
        <w:rPr>
          <w:rFonts w:ascii="Times New Roman" w:hAnsi="Times New Roman"/>
          <w:sz w:val="20"/>
        </w:rPr>
        <w:t xml:space="preserve">(16) any additional means of satisfaction and discharge of this Indenture and any additional conditions or limitations to discharge with respect to Securities of the series and the related Guarantees, if any, pursuant to Article VIII or any modifications of or deletions from such conditions or limitations; </w:t>
      </w:r>
    </w:p>
    <w:p>
      <w:pPr>
        <w:pStyle w:val="TextBody"/>
        <w:bidi w:val="0"/>
        <w:spacing w:before="240" w:after="0"/>
        <w:jc w:val="left"/>
        <w:rPr>
          <w:rFonts w:ascii="Times New Roman" w:hAnsi="Times New Roman"/>
          <w:sz w:val="20"/>
        </w:rPr>
      </w:pPr>
      <w:r>
        <w:rPr>
          <w:rFonts w:ascii="Times New Roman" w:hAnsi="Times New Roman"/>
          <w:sz w:val="20"/>
        </w:rPr>
        <w:t xml:space="preserve">(17) any deletions or modifications of or additions to the Events of Default set forth in Section 6.01 or covenants of the Company or any Guarantor set forth in Article IV pertaining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(18) any restrictions or other provisions with respect to the transfer or exchange of Securities of the series, which may amend, supplement, modify or supersede those contained in this Article II; </w:t>
      </w:r>
    </w:p>
    <w:p>
      <w:pPr>
        <w:pStyle w:val="TextBody"/>
        <w:bidi w:val="0"/>
        <w:spacing w:before="240" w:after="0"/>
        <w:jc w:val="left"/>
        <w:rPr>
          <w:rFonts w:ascii="Times New Roman" w:hAnsi="Times New Roman"/>
          <w:sz w:val="20"/>
        </w:rPr>
      </w:pPr>
      <w:r>
        <w:rPr>
          <w:rFonts w:ascii="Times New Roman" w:hAnsi="Times New Roman"/>
          <w:sz w:val="20"/>
        </w:rPr>
        <w:t xml:space="preserve">(19) if the Securities of the series are to be convertible into or exchangeable for capital stock, other debt securities (including Securities), warrants, other equity securities or any other securities or property of the Company, any Guarantor or any other Person, at the option of the Company or the Holder or upon the occurrence of any condition or event, the terms and conditions for such conversion or exchange; </w:t>
      </w:r>
    </w:p>
    <w:p>
      <w:pPr>
        <w:pStyle w:val="TextBody"/>
        <w:bidi w:val="0"/>
        <w:spacing w:before="240" w:after="0"/>
        <w:jc w:val="left"/>
        <w:rPr>
          <w:rFonts w:ascii="Times New Roman" w:hAnsi="Times New Roman"/>
          <w:sz w:val="20"/>
        </w:rPr>
      </w:pPr>
      <w:r>
        <w:rPr>
          <w:rFonts w:ascii="Times New Roman" w:hAnsi="Times New Roman"/>
          <w:sz w:val="20"/>
        </w:rPr>
        <w:t xml:space="preserve">(20) whether the Securities of the series are to be entitled to the benefit of Section 4.03(2) (and accordingly constitute Rule 144A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(21) any other terms of the series (which terms shall not be prohibited by the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Securities of any one series shall be substantially identical except as to denomination and except as may otherwise be provided in or pursuant to the Board Resolution referred to above and (subject to Section 2.03) set forth, or determined in the manner provided, in the Officers’ Certificate or Company Order referred to above or in any such indenture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a copy of an appropriate record of such action, together with such Board Resolution, shall be set forth in an Officers’ Certificate or certified by the Secretary or an Assistant Secretary of the Company and delivered to the Trustee at or prior to the delivery of the Officers’ Certificate or Company Order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Denominations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series shall be issuable in such denominations as shall be specified as contemplated by Section 2.01. In the absence of any such provisions with respect to the Securities of any series, the Securities of such series denominated in Dollars shall be issuable in denominations of $1,000 and any integral multiples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Forms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series shall be in fully registered form and in substantially such form or forms (including temporary or permanent global form) established by or pursuant to a Board Resolution or in one or more indentures supplemental hereto. The Securities may have notations, legends or endorsements required by law, securities exchange rules, the Company’s certificate of incorporation, bylaws or other similar governing documents, agreements to which the Company is subject, if any, or usage (provided that any such notation, legend or endorsement is in a form acceptable to the Company). A copy of the Board Resolution establishing the form or forms of Securities of any series shall be delivered to the Trustee at or prior to the delivery of the Company Order contemplated by Section 2.04 for the authentication and delivery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definitive Securities of each series shall be printed, lithographed or engraved on steel engraved borders or may be produced in any other manner, all as determined by the Officers executing such Securities, as evidenced by their execution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Trustee’s certificate of authentication shall be in substantially the following form: </w:t>
      </w:r>
    </w:p>
    <w:p>
      <w:pPr>
        <w:pStyle w:val="TextBody"/>
        <w:bidi w:val="0"/>
        <w:spacing w:before="120" w:after="0"/>
        <w:jc w:val="left"/>
        <w:rPr/>
      </w:pPr>
      <w:r>
        <w:rPr/>
        <w:t>“</w:t>
      </w: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43"/>
        <w:gridCol w:w="60"/>
        <w:gridCol w:w="368"/>
        <w:gridCol w:w="60"/>
        <w:gridCol w:w="3151"/>
      </w:tblGrid>
      <w:tr>
        <w:trPr/>
        <w:tc>
          <w:tcPr>
            <w:tcW w:w="4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443"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9" w:type="dxa"/>
            <w:gridSpan w:val="3"/>
            <w:tcBorders/>
          </w:tcPr>
          <w:p>
            <w:pPr>
              <w:pStyle w:val="TableContents"/>
              <w:bidi w:val="0"/>
              <w:spacing w:before="0" w:after="283"/>
              <w:jc w:val="left"/>
              <w:rPr/>
            </w:pPr>
            <w:r>
              <w:rPr/>
              <w:t>[    ], as Trustee</w:t>
            </w:r>
          </w:p>
        </w:tc>
      </w:tr>
      <w:tr>
        <w:trPr>
          <w:trHeight w:val="240" w:hRule="atLeast"/>
        </w:trPr>
        <w:tc>
          <w:tcPr>
            <w:tcW w:w="443" w:type="dxa"/>
            <w:tcBorders/>
            <w:vAlign w:val="center"/>
          </w:tcPr>
          <w:p>
            <w:pPr>
              <w:pStyle w:val="TableContents"/>
              <w:bidi w:val="0"/>
              <w:spacing w:before="0" w:after="283"/>
              <w:jc w:val="left"/>
              <w:rPr>
                <w:sz w:val="4"/>
                <w:szCs w:val="4"/>
              </w:rPr>
            </w:pPr>
            <w:r>
              <w:rPr>
                <w:sz w:val="4"/>
                <w:szCs w:val="4"/>
              </w:rPr>
            </w:r>
          </w:p>
        </w:tc>
        <w:tc>
          <w:tcPr>
            <w:tcW w:w="428" w:type="dxa"/>
            <w:gridSpan w:val="2"/>
            <w:tcBorders/>
            <w:vAlign w:val="center"/>
          </w:tcPr>
          <w:p>
            <w:pPr>
              <w:pStyle w:val="TableContents"/>
              <w:bidi w:val="0"/>
              <w:spacing w:before="0" w:after="283"/>
              <w:jc w:val="left"/>
              <w:rPr>
                <w:sz w:val="4"/>
                <w:szCs w:val="4"/>
              </w:rPr>
            </w:pPr>
            <w:r>
              <w:rPr>
                <w:sz w:val="4"/>
                <w:szCs w:val="4"/>
              </w:rPr>
            </w:r>
          </w:p>
        </w:tc>
        <w:tc>
          <w:tcPr>
            <w:tcW w:w="3211" w:type="dxa"/>
            <w:gridSpan w:val="2"/>
            <w:tcBorders/>
            <w:vAlign w:val="center"/>
          </w:tcPr>
          <w:p>
            <w:pPr>
              <w:pStyle w:val="TableContents"/>
              <w:bidi w:val="0"/>
              <w:spacing w:before="0" w:after="283"/>
              <w:jc w:val="left"/>
              <w:rPr>
                <w:sz w:val="4"/>
                <w:szCs w:val="4"/>
              </w:rPr>
            </w:pPr>
            <w:r>
              <w:rPr>
                <w:sz w:val="4"/>
                <w:szCs w:val="4"/>
              </w:rPr>
            </w:r>
          </w:p>
        </w:tc>
      </w:tr>
      <w:tr>
        <w:trPr/>
        <w:tc>
          <w:tcPr>
            <w:tcW w:w="4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51" w:type="dxa"/>
            <w:tcBorders/>
          </w:tcPr>
          <w:p>
            <w:pPr>
              <w:pStyle w:val="TableContents"/>
              <w:pBdr>
                <w:bottom w:val="single" w:sz="2" w:space="1" w:color="000000"/>
              </w:pBdr>
              <w:bidi w:val="0"/>
              <w:spacing w:before="0" w:after="20"/>
              <w:jc w:val="left"/>
              <w:rPr/>
            </w:pPr>
            <w:r>
              <w:rPr/>
              <w:t> </w:t>
            </w:r>
          </w:p>
        </w:tc>
      </w:tr>
      <w:tr>
        <w:trPr/>
        <w:tc>
          <w:tcPr>
            <w:tcW w:w="4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51" w:type="dxa"/>
            <w:tcBorders/>
          </w:tcPr>
          <w:p>
            <w:pPr>
              <w:pStyle w:val="TableContents"/>
              <w:bidi w:val="0"/>
              <w:spacing w:before="0" w:after="283"/>
              <w:jc w:val="left"/>
              <w:rPr>
                <w:i/>
              </w:rPr>
            </w:pPr>
            <w:r>
              <w:rPr>
                <w:i/>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Execution, Authentication, Delivery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least one Officer of the Company shall sign the Securities on behalf of the Company and, with respect to any related Guarantees, an Officer of each Guarantor shall sign the Notation of Guarantee on behalf of such Guarantor, in each case by manual, facsimile or electronic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Officer of the Company or a Guarantor whose signature is on a Security no longer holds that office at the time the Security or the Notation of Guarantee, as the case may be, is authenticated, the Security shall be valid nevertheless.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entitled to any benefit under this Indenture or the related Guarantees, if any, or be valid or obligatory for any purpose until authenticated by the manual signature of an authorized signatory of the Trustee, which signature shall be conclusive evidence that the Security has been authenticated under this Indenture. Notwithstanding the foregoing, if any Security has been authenticated and delivered hereunder but never issued and sold by the Company, and the Company delivers such Security to the Trustee for cancellation as provided in Section 2.13, together with a written statement (which need not comply with Section 11.05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 or the related Guarantees, if any.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(and if applicable, the Notation of Guarantee for such series executed by each Guarantor with respect to such series) to the Trustee for authentication, and the Trustee shall authenticate and deliver such Securities for original issue upon a Company Order for the authentication and delivery of such Securities or pursuant to such procedures acceptable to the Trustee as may be specified from time to time by Company Order. Such order shall specify the amount of the Securities to be authenticated, the date on which the original issue of Securities is to be authenticated, the name or names of the initial Holder or Holders and any other terms of the Securities of such series not otherwise determined. If provided for in such procedures, such Company Order may authorize (1) authentication and delivery of Securities of such series for original issue from time to time, with certain terms (including, without limitation, the Maturity date or dates, original issue date or dates and interest rate or rates) that differ from Security to Security and (2) may authorize authentication and delivery pursuant to oral or electronic instructions from the Company or its duly authorized agent, which instructions shall be promptly confirmed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form or terms of the Securities of the series have been established in or pursuant to one or more Board Resolutions as permitted by Section 2.01, in authenticating such Securities, and accepting the additional responsibilities under this Indenture in relation to such Securities, the Trustee shall be entitled to receive (in addition to the Company Order referred to above and the other documents required by Section 11.04), and (subject to Section 7.01) shall be fully protected in relying upon: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setting forth the Board Resolution and, if applicable, an appropriate record of any action taken pursuant thereto, as contemplated by the last paragraph of Section 2.01; and </w:t>
      </w:r>
    </w:p>
    <w:p>
      <w:pPr>
        <w:pStyle w:val="TextBody"/>
        <w:bidi w:val="0"/>
        <w:spacing w:before="240" w:after="0"/>
        <w:jc w:val="left"/>
        <w:rPr>
          <w:rFonts w:ascii="Times New Roman" w:hAnsi="Times New Roman"/>
          <w:sz w:val="20"/>
        </w:rPr>
      </w:pPr>
      <w:r>
        <w:rPr>
          <w:rFonts w:ascii="Times New Roman" w:hAnsi="Times New Roman"/>
          <w:sz w:val="20"/>
        </w:rPr>
        <w:t xml:space="preserve">(2) an Opinion of Counsel substantially to the effect that: </w:t>
      </w:r>
    </w:p>
    <w:p>
      <w:pPr>
        <w:pStyle w:val="TextBody"/>
        <w:bidi w:val="0"/>
        <w:spacing w:before="120" w:after="0"/>
        <w:jc w:val="left"/>
        <w:rPr>
          <w:rFonts w:ascii="Times New Roman" w:hAnsi="Times New Roman"/>
          <w:sz w:val="20"/>
        </w:rPr>
      </w:pPr>
      <w:r>
        <w:rPr>
          <w:rFonts w:ascii="Times New Roman" w:hAnsi="Times New Roman"/>
          <w:sz w:val="20"/>
        </w:rPr>
        <w:t xml:space="preserve">(a) the form of such Seicurities has been established in conformity with the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terms of such Securities have been established in conformity with the provisions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(c) that when authenticated and delivered by the Trustee and issued by the Company in the manner and subject to any conditions specified in such Opinion of Counsel, such Securities and the related Guarantees, if any, will constitute valid and binding obligations of the Company and the Guarantors, respectively, enforceable against the Company and the Guarantors, respectively, in accordance with their respective terms, except as the enforceability thereof may be limited by applicable bankruptcy, insolvency, reorganization, moratorium, fraudulent conveyance or transfer or other similar laws in effect from time to time affecting the rights of creditors generally, and the application of general principles of equity (regardless of whether such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If all the Securities of any series are not to be issued at one time, it shall not be necessary to deliver an Officers’ Certificate and Opinion of Counsel at the time of issuance of each such Security, but such Officers’ Certificate and Opinion of Counsel shall be delivered at or before the time of issuance of the first Security of the series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issuance of such Securities pursuant to this Indenture would affect the Trustee’s own rights, duties or immunities under the Securities and this Indenture or otherwise in a manner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Unless limited by the terms of such appointment, an authenticating agent may authenticate Securities whenever the Trustee may do so. Each reference in this Indenture to authentication by the Trustee includes authentication by such agent. An authenticating agent has the same rights as an Agent to deal with the Company, any Guarantor or any other Affiliate of the Company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Registrar and Paying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maintain an office or agency for each series of Securities where Securities of such series may be presented for registration of transfer or exchange (“</w:t>
      </w:r>
      <w:r>
        <w:rPr>
          <w:rFonts w:ascii="Times New Roman" w:hAnsi="Times New Roman"/>
          <w:b/>
          <w:sz w:val="20"/>
          <w:u w:val="single"/>
        </w:rPr>
        <w:t>Registrar</w:t>
      </w:r>
      <w:r>
        <w:rPr>
          <w:rFonts w:ascii="Times New Roman" w:hAnsi="Times New Roman"/>
          <w:sz w:val="20"/>
        </w:rPr>
        <w:t>”) and an office or agency where Securities of such series may be presented for payment (“</w:t>
      </w:r>
      <w:r>
        <w:rPr>
          <w:rFonts w:ascii="Times New Roman" w:hAnsi="Times New Roman"/>
          <w:b/>
          <w:sz w:val="20"/>
          <w:u w:val="single"/>
        </w:rPr>
        <w:t>Paying Agent</w:t>
      </w:r>
      <w:r>
        <w:rPr>
          <w:rFonts w:ascii="Times New Roman" w:hAnsi="Times New Roman"/>
          <w:sz w:val="20"/>
        </w:rPr>
        <w:t xml:space="preserve">”). The Registrar shall keep a register of the Securities of such series and of their transfer and exchange. The Company may appoint one or more co-registrars and one or more additional paying agents. The term “Registrar” includes any co-registrar and the term “Paying Agent” includes any additional paying agent.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enter into an appropriate agency agreement with any Registrar or Paying Agent not a party to this Indenture. The agreement shall implement the provisions of this Indenture that relate to such Agent. The Company shall notify the Trustee of the name and address of any Agent not a party to this Indenture. The Company may change any Paying Agent or Registrar without notice to any Holder. If the Company fails to appoint or maintain another entity as Registrar or Paying Agent, the Trustee shall act as such. The Company, any Guarantor or any Subsidiary may act as Paying Agent or Registrar.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initially appoints the Trustee as Registrar and Paying Agent.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Paying Agent to Hold Money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require each Paying Agent other than the Trustee to agree in writing that the Paying Agent will hold in trust for the benefit of Holders or the Trustee all money held by the Paying Agent for the payment of principal of, premium, if any, or interest on or any Additional Amounts with respect to Securities and will notify the Trustee of any default by the Company in making any such payment. While any such default continues, the Trustee may require a Paying Agent to pay all money held by it to the Trustee and to account for any funds disbursed. The Company at any time may require a Paying Agent to pay all money held by it to the Trustee and to account for any funds disbursed. Upon payment over to the Trustee and upon accounting for any funds disbursed, the Paying Agent (if other than the Company, a Guarantor or a Subsidiary of the Company) shall have no further liability for the money. If the Company, a Guarantor or a Subsidiary of the Company acts as Paying Agent, it shall segregate and hold in a separate trust fund for the benefit of the Holders all money held by it as Paying Agent. Each Paying Agent shall otherwise comply with TIA § 317(b).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preserve in as current a form as is reasonably practicable the most recent list available to it of the names and addresses of Holders and shall otherwise comply with TIA § 312(a). If the Trustee is not the Registrar with respect to a series of Securities, the Company shall furnish to the Trustee at least five Business Days before each Interest Payment Date with respect to such series of Securities, and at such other times as the Trustee may request in writing within 30 days after the receipt by the Company of any such request, a list in such form and as of such date as the Trustee may reasonably require of the names and addresses of Holders of such series, and the Company shall otherwise comply with TIA § 312(a).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Section 2.17 or as may be provided pursuant to Section 2.01: </w:t>
      </w:r>
    </w:p>
    <w:p>
      <w:pPr>
        <w:pStyle w:val="TextBody"/>
        <w:bidi w:val="0"/>
        <w:spacing w:before="120" w:after="0"/>
        <w:jc w:val="left"/>
        <w:rPr>
          <w:rFonts w:ascii="Times New Roman" w:hAnsi="Times New Roman"/>
          <w:sz w:val="20"/>
        </w:rPr>
      </w:pPr>
      <w:r>
        <w:rPr>
          <w:rFonts w:ascii="Times New Roman" w:hAnsi="Times New Roman"/>
          <w:sz w:val="20"/>
        </w:rPr>
        <w:t xml:space="preserve">When Securities of any series are presented to the Registrar with the request to register the transfer of such Securities or to exchange such Securities for an equal principal amount of Securities of the same series of like tenor and of other authorized denominations, the Registrar shall register the transfer or make the exchange as requested if its requirements and the requirements of this Indenture for such transactions are met; provided, however, that the Securities presented or surrendered for registration of transfer or exchange shall be duly endorsed or accompanied by a written instruction of transfer in form reasonably satisfactory to the Registrar duly executed by the Holder thereof or by his attorney, duly authorized in writing, on which instruction the Registrar can rely.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permit registrations of transfers and exchanges, the Company shall execute Securities (and if applicable, each Guarantor with respect to such series shall execute the Notation of Guarantee for such series) and the Trustee shall authenticate such Securities at the Registrar’s written request and submission of the Securities or Global Securities. No service charge shall be made to a Holder for any registration of transfer or exchange (except as otherwise expressly permitted herein), but the Company may require payment of a sum sufficient to cover any transfer tax or similar governmental charge payable in connection therewith (other than such transfer tax or similar governmental charge payable upon exchanges pursuant to Section 2.12, Section 3.07 or Section 9.05). The Trustee shall authenticate such Securities in accordance with the provisions of Section 2.04. Notwithstanding any other provisions of this Indenture to the contrary, the Company shall not be required to register the transfer or exchange of (a) any Security selected for redemption in whole or in part pursuant to Article III, except the unredeemed portion of any Security being redeemed in part, or (b) any Security during the period beginning 15 Business Days prior to the mailing of notice of any offer to repurchase Securities of the series required pursuant to the terms thereof or of redemption of Securities of a series to be redeemed and ending at the close of business on the day of mailing.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Replacement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Security is surrendered to the Trustee, or if the Holder of a Security claims that the Security has been destroyed, lost or stolen and the Company and the Trustee receive evidence to their satisfaction of the destruction, loss or theft of such Security, the Company shall issue, each Guarantor with respect to such series shall execute the Notation of Guarantee relating to such Security, if any, and the Trustee shall authenticate a replacement Security of the same series if the Trustee’s requirements are met. If any such mutilated, destroyed, lost or stolen Security has become or is about to become due and payable, the Company in its discretion may, instead of issuing a new Security, pay such Security. If required by the Trustee, any Guarantor or the Company, such Holder must furnish an indemnity bond that is sufficient in the judgment of the Trustee and the Company to protect the Company, each Guarantor, the Trustee, any Agent or any authenticating agent from any loss that any of them may suffer if a Security is replaced. The Company and the Trustee may charge a Holder for their expenses in replacing a Security.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Security is an additional obligation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Outstanding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it, those delivered to it for cancellation, those reductions in the interest in a Global Security effected by the Trustee hereunder and those described in this Section 2.10 as not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2.09, it ceases to be outstanding unless the Trustee receives proof satisfactory to it that the replaced Security is held by a bona fide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principal amount of any Security is considered paid under Section 4.01, it ceases to be outstanding and interest on it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A Security does not cease to be outstanding because the Company, a Guarantor or an Affiliate of the Company or a Guarantor holds the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Original Issue Discount, Foreign-Currency Denominated and Treasury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determining whether the Holders of the required principal amount of Securities have concurred in any direction, amendment, supplement, waiver or consent, (a) the principal amount of an Original Issue Discount Security shall be the principal amount thereof that would be due and payable as of the date of such determination upon acceleration of the Maturity thereof pursuant to Section 6.02, (b) the principal amount of a Security denominated in a foreign currency shall be the Dollar equivalent, as determined by the Company by reference to the noon buying rate in The City of New York for cable transfers for such currency, as such rate is certified for customs purposes by the Federal Reserve Bank of New York (the “</w:t>
      </w:r>
      <w:r>
        <w:rPr>
          <w:rFonts w:ascii="Times New Roman" w:hAnsi="Times New Roman"/>
          <w:b/>
          <w:sz w:val="20"/>
          <w:u w:val="single"/>
        </w:rPr>
        <w:t>Exchange Rate</w:t>
      </w:r>
      <w:r>
        <w:rPr>
          <w:rFonts w:ascii="Times New Roman" w:hAnsi="Times New Roman"/>
          <w:sz w:val="20"/>
        </w:rPr>
        <w:t xml:space="preserve">”) on the date of original issuance of such Security, of the principal amount (or, in the case of an Original Issue Discount Security, the Dollar equivalent, as determined by the Company by reference to the Exchange Rate on the date of original issuance of such Security, of the amount determined in (a) above), of such Security and (c) Securities owned by the Company, a Guarantor or any other obligor upon the Securities or any Affiliate of the Company, of a Guarantor or of such other obligor shall be disregarded, except that, for the purpose of determining whether the Trustee shall be protected in relying upon any such direction, amendment, supplement, waiver or consent, only Securities that a Responsible Officer of the Trustee actually knows are so owned shall be so disregarded.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definitive Securities of any series are ready for delivery, the Company may prepare and execute temporary Securities, each Guarantor with respect to such series shall execute the Notation of Guarantee relating to such Security relating to such temporary Securities, if any, and the Trustee shall authenticate temporary Securities. Temporary Securities shall be substantially in the form of definitive Securities, but may have variations that the Company considers appropriate for temporary Securities. Without unreasonable delay, the Company shall prepare and execute definitive Securities, each Guarantor with respect to such series shall execute the Notation of Guarantee relating to such definitive Security, if any, and the Trustee shall authenticate such definitive Securities in exchange for temporary Securities. Until so exchanged, the temporary Securities shall in all respects be entitled to the same benefits under this Indenture as definitive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any Guarantor at any time may deliver Securities to the Trustee for cancellation. The Registrar and the Paying Agent shall forward to the Trustee any Securities surrendered to them for registration of transfer, exchange, payment or redemption or for credit against any sinking fund payment. The Trustee shall cancel all Securities surrendered for registration of transfer, exchange, payment, redemption, replacement or cancellation or for credit against any sinking fund. Unless the Company shall direct in writing that canceled Securities be returned to it, after written notice to the Company all canceled Securities held by the Trustee shall be disposed of in accordance with the usual disposal procedures of the Trustee, and the Trustee shall maintain a record of their disposal. The Company may not issue new Securities to replace Securities that have been paid or that have been delivered to the Trustee for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Payments; Defaulted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as contemplated by Section 2.01, interest (except defaulted interest) on any Security that is payable, and is punctually paid or duly provided for, on any Interest Payment Date shall be paid to the Persons who are registered Holders of that Security at the close of business on the record date next preceding such Interest Payment Date, even if such Securities are canceled after such record date and on or before such Interest Payment Date. The Holder must surrender a Security to a Paying Agent to collect principal payments. Unless otherwise provided with respect to the Securities of any series, the Company will pay the principal of, premium (if any) and interest on and any Additional Amounts with respect to the Securities in Dollars. Such amounts shall be payable at the offices of the Trustee or any Paying Agent, provided that at the option of the Company, the Company may pay such amounts (1) by wire transfer with respect to Global Securities or (2) by check payable in such money mailed to a Holder’s registered address with respect to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defaults in a payment of interest on the Securities of any series, the Company shall pay the defaulted interest in any lawful manner plus, to the extent lawful, interest on the defaulted interest, in each case at the rate provided in the Securities of such series and in Section 4.01. The Company may pay the defaulted interest to the Persons who are Holders on a subsequent special record date. At least 15 days before any special record date selected by the Company, the Company (or the Trustee, in the name of and at the expense of the Company upon 20 days’ prior written notice from the Company setting forth such special record date and the interest amount to be paid) shall mail to Holders a notice that states the special record date, the related payment date and the amount of such interest to be paid.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Persons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Guarantors, the Trustee, any Agent and any authenticating agent may treat the Person in whose name any Security is registered as the owner of such Security for the purpose of receiving payments of principal of, premium (if any) or interest on or any Additional Amounts with respect to such Security and for all other purposes. None of the Company, any Guarantor, the Trustee, any Agent or any authenticating agent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Computation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as contemplated by Section 2.01 for Securities of any series, interest on the Securities of each series shall be computed on the basis of a year comprising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Global Securities; Book-Entry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Securities of a series are issuable in global form as a Global Security, as contemplated by Section 2.01, then, notwithstanding clause (11) of Section 2.01 and the provisions of Section 2.02, any such Global Security shall represent such of the outstanding Securities of such series as shall be specified therein and may provide that it shall represent the aggregate amount of outstanding Securities from time to time endorsed thereon and that the aggregate amount of outstanding Securities represented thereby may from time to time be reduced or increased,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appropriate, to reflect exchanges, transfers or redemptions. Any endorsement of a Global Security to reflect the amount, or any increase or decrease in the amount, of outstanding Securities represented thereby shall be made by the Trustee (i) in such manner and upon instructions given by such Person or Persons as shall be specified in such Security or in a Company Order to be delivered to the Trustee pursuant to Section 2.04 or (ii) otherwise in accordance with written instructions or such other written form of instructions as is customary for the Depositary for such Security, from such Depositary or its nominee on behalf of any Person having a beneficial interest in such Global Security. Subject to the provisions of Section 2.04 and, if applicable, Section 2.12, the Trustee shall deliver and redeliver any Security in permanent global form in the manner and upon instructions given by the Person or Persons specified in such Security or in the applicable Company Order. With respect to the Securities of any series that are represented by a Global Security, the Company and the Guarantors authorize the execution and delivery by the Trustee of a letter of representations or other similar agreement or instrument in the form customarily provided for by the Depositary appointed with respect to such Global Security. Any Global Security may be deposited with the Depositary or its nominee, or may remain in the custody of the Trustee or the Security Custodian therefor pursuant to a FAST Balance Certificate Agreement or similar agreement between the Trustee and the Depositary. If a Company Order has been, or simultaneously is, delivered, any instructions by the Company with respect to endorsement or delivery or redelivery of a Security in global form shall be in writing but need not comply with Section 11.05 and need not be accompanied by an Opinion of Counsel. </w:t>
      </w:r>
    </w:p>
    <w:p>
      <w:pPr>
        <w:pStyle w:val="TextBody"/>
        <w:bidi w:val="0"/>
        <w:spacing w:before="240" w:after="0"/>
        <w:jc w:val="left"/>
        <w:rPr>
          <w:rFonts w:ascii="Times New Roman" w:hAnsi="Times New Roman"/>
          <w:sz w:val="20"/>
        </w:rPr>
      </w:pPr>
      <w:r>
        <w:rPr>
          <w:rFonts w:ascii="Times New Roman" w:hAnsi="Times New Roman"/>
          <w:sz w:val="20"/>
        </w:rPr>
        <w:t>Members of, or participants in, the Depositary (“</w:t>
      </w:r>
      <w:r>
        <w:rPr>
          <w:rFonts w:ascii="Times New Roman" w:hAnsi="Times New Roman"/>
          <w:b/>
          <w:sz w:val="20"/>
          <w:u w:val="single"/>
        </w:rPr>
        <w:t>Agent Members</w:t>
      </w:r>
      <w:r>
        <w:rPr>
          <w:rFonts w:ascii="Times New Roman" w:hAnsi="Times New Roman"/>
          <w:sz w:val="20"/>
        </w:rPr>
        <w:t xml:space="preserve">”) shall have no rights under this Indenture with respect to any Global Security held on their behalf by the Depositary, or the Trustee or the Security Custodian as its custodian, or under such Global Security, and the Depositary may be treated by the Company, any Guarantor, the Trustee or the Security Custodian and any agent of the Company, any Guarantor, the Trustee or the Security Custodian as the absolute owner of such Global Security for all purposes whatsoever. Notwithstanding the foregoing, (i) the registered holder of a Global Security of a series may grant proxies and otherwise authorize any Person, including Agent Members and Persons that may hold interests through Agent Members, to take any action that a Holder of Securities of such series is entitled to take under this Indenture or the Securities of such series and (ii) nothing herein shall prevent the Company, any Guarantor, the Trustee or the Security Custodian, or any agent of the Company, any Guarantor, the Trustee or the Security Custodian, from giving effect to any written certification, proxy or other authorization furnished by the Depositary or shall impair, as between the Depositary and its Agent Members, the operation of customary practices governing the exercise of the rights of a beneficial owner of any Security.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Section 2.08, and except as otherwise provided pursuant to Section 2.01, transfers of a Global Security shall be limited to transfers of such Global Security in whole, but not in part, to the Depositary, its successors or their respective nominees. Interests of beneficial owners in a Global Security may be transferred in accordance with the rules and procedures of the Depositary. Securities shall be transferred to all beneficial owners in exchange for their beneficial interests in a Global Security if, and only if, either (1) the Depositary notifies the Company that it is unwilling or unable to continue as Depositary for the Global Security and a successor Depositary is not appointed by the Company within 90 days of such notice, (2) an Event of Default has occurred with respect to such series and is continuing and the Registrar has received a request from the Depositary to issue Securities in lieu of all or a portion of the Global Security (in which case the Company shall deliver Securities within 30 days of such request) or (3) the Company in its sole discretion determines not to have the Securities represented by a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any transfer of a portion of the beneficial interests in a Global Security to beneficial owners pursuant to this Section 2.17, the Registrar shall reflect on its books and records the date and a decrease in the principal amount of the Global Security in an amount equal to the principal amount of the beneficial interests in the Global Security to be transferred, and the Company shall execute, each Guarantor with respect to such series shall execute the Notation of Guarantee relating to such Global Security, if any, and the Trustee upon receipt of a Company Order for the authentication and delivery of Securities shall authenticate and deliver, one or more Securities of the same series of like tenor and amount.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transfer of all of the beneficial interests in a Global Security to beneficial owners pursuant to this Section 2.17, the Global Security shall be deemed to be surrendered to the Trustee for cancellation, and the Company shall execute, each Guarantor with respect to such series shall execute the Notation of Guarantee relating to such Global Security, if any, and the Trustee shall authenticate and deliver, to each beneficial owner identified by the Depositary in exchange for its beneficial interests in the Global Security, an equal aggregate principal amount of Securities of authorized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any Guarantor or the Trustee will have any responsibility or liability for any aspect of the records relating to, or payments made on account of, Securities by the Depositary, or for maintaining, supervising or reviewing any records of the Depositary relating to such Securities. None of the Company, any Guarantor or the Trustee shall be liable for any delay by the Holder of the Global Security or the Depositary in identifying the beneficial owners, and each such Person may conclusively rely on, and shall be protected in relying on, instructions from such Holder of the Global Security or the Depositary for all purposes (including with respect to the registration and delivery, and the respective principal amounts, of the Securities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last sentence of the third paragraph of Section 2.04 shall apply to any Global Security if such Global Security was never issued and sold by the Company and the Company or a Guarantor delivers to the Trustee the Global Security together with written instructions (which need not comply with Section 11.05 and need not be accompanied by an Opinion of Counsel) with regard to the cancellation or reduction in the principal amount of Securities represented thereby, together with the written statement contemplated by the last sentence of the third paragraph of Section 2.04.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2.03 and Section 2.14, unless otherwise specified as contemplated by Section 2.01, payment of principal of, premium (if any) and interest on and any Additional Amounts with respect to any Global Security shall be made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Securities of any series may use CUSIP and corresponding ISIN numbers (if then generally in use), and, if so, the Trustee shall use CUSIP and corresponding ISIN numbers in notices of redemption as a convenience to Holders of Securities of such series; provided that any such notice may state that no representation is made as to the correctness of such numbers either as printed on the Securities of such series or as contained in any notice of a redemption and that reliance may be placed only on the other identification numbers printed on the Securities of such series, and any such redemption shall not be affected by any defect in or omission of such numbers. The Company will promptly notify the Trustee in writing of any change in the CUSIP or ISIN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herein to the contrary, delivery or surrender of a Security shall not be required in the case of Global Securities in order to obtain the rights or benefits provided hereunder upon the delivery or surrender of a Security.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that are redeemable before their Stated Maturity shall be redeemable in accordance with their terms and (except as otherwise specified as contemplated by Section 2.01 for Securities of any series) in accordance with this Article III.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Notice to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elects to redeem Securities of any series pursuant to this Indenture, it shall notify the Trustee of the Redemption Date and the principal amount of Securities of such series to be redeemed. The Company shall so notify the Trustee at least 45 days before the Redemption Date (unless a shorter notice shall be satisfactory to the Trustee) by delivering to the Trustee an Officers’ Certificate stating that such redemption will comply with the provisions of this Indenture and of the Securities of such series. Any such notice may be canceled at any time prior to the mailing of such notice of such redemption to any Holder and shall thereupon be void and of no effect. A redemption or notice thereof may be subject to one or more conditions.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Selection of Securities To Be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of the Securities of any series are to be redeemed (unless all of the Securities of such series of a specified tenor are to be redeemed), the particular Securities to be redeemed shall be selected not more than 60 days prior to the Redemption Date by the Trustee from the outstanding Securities of such series (and tenor) not previously called for redemption, either pro rata, by lot or by such other method as the Trustee shall deem appropriate in accordance with industry standards at the time of such redemption and that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or of the principal amount of Global Securities of such series; provided that, if at the time of redemption such Securities are registered as a Global Security, the Depositary shall determine, in accordance with its procedures, the principal amount of such Securities held by each beneficial owner of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promptly notify the Company and the Registrar in writing of the Securities selected for redemption and, in the case of any Securities selected for partial redemption, the principal amount thereof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this Indenture, unless the context otherwise requires, all provisions relating to redemption of Securities shall relate, in the case of any of the Securities redeemed or to be redeemed only in part, to the portion of the principal amount thereof which has been or is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shall be given by first-class mail, postage prepaid, mailed not less than 30 nor more than 60 days prior to the Redemption Date, to each Holder of Securities to be redeemed, at the address of such Holder appearing in the register of Securities maintained by the Registrar.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redemption shall identify the Securities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(1)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(2) the Redemption Price (or the method of calculating or determining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(3) that, unless the Company and the Guarantors default in making the redemption payment, interest on Securities called for redemption ceases to accrue on and after the Redemption Date, and the only remaining right of the Holders of such Securities is to receive payment of the Redemption Price upon surrender to the Paying Agent of the Securities redeemed; </w:t>
      </w:r>
    </w:p>
    <w:p>
      <w:pPr>
        <w:pStyle w:val="TextBody"/>
        <w:bidi w:val="0"/>
        <w:spacing w:before="240" w:after="0"/>
        <w:jc w:val="left"/>
        <w:rPr>
          <w:rFonts w:ascii="Times New Roman" w:hAnsi="Times New Roman"/>
          <w:sz w:val="20"/>
        </w:rPr>
      </w:pPr>
      <w:r>
        <w:rPr>
          <w:rFonts w:ascii="Times New Roman" w:hAnsi="Times New Roman"/>
          <w:sz w:val="20"/>
        </w:rPr>
        <w:t xml:space="preserve">(4) if any Security is to be redeemed in part, the portion of the principal amount thereof to be redeemed and that on and after the Redemption Date, upon surrender for cancellation of such Security to the Paying Agent, a new Security or Securities in the aggregate principal amount equal to the unredeemed portion thereof will be issued without charge to the Holder; </w:t>
      </w:r>
    </w:p>
    <w:p>
      <w:pPr>
        <w:pStyle w:val="TextBody"/>
        <w:bidi w:val="0"/>
        <w:spacing w:before="240" w:after="0"/>
        <w:jc w:val="left"/>
        <w:rPr>
          <w:rFonts w:ascii="Times New Roman" w:hAnsi="Times New Roman"/>
          <w:sz w:val="20"/>
        </w:rPr>
      </w:pPr>
      <w:r>
        <w:rPr>
          <w:rFonts w:ascii="Times New Roman" w:hAnsi="Times New Roman"/>
          <w:sz w:val="20"/>
        </w:rPr>
        <w:t xml:space="preserve">(5) that Securities called for redemption must be surrendered to the Paying Agent to collect the Redemption Price and the name and address of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(6) that the redemption is for a sinking or analogous fund, if such is the case; </w:t>
      </w:r>
    </w:p>
    <w:p>
      <w:pPr>
        <w:pStyle w:val="TextBody"/>
        <w:bidi w:val="0"/>
        <w:spacing w:before="240" w:after="0"/>
        <w:jc w:val="left"/>
        <w:rPr>
          <w:rFonts w:ascii="Times New Roman" w:hAnsi="Times New Roman"/>
          <w:sz w:val="20"/>
        </w:rPr>
      </w:pPr>
      <w:r>
        <w:rPr>
          <w:rFonts w:ascii="Times New Roman" w:hAnsi="Times New Roman"/>
          <w:sz w:val="20"/>
        </w:rPr>
        <w:t xml:space="preserve">(7) the CUSIP or ISIN number, if any, relating to such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(8) if the redemption or notice thereof is subject to one or more conditions, a statement to such effect and the condition or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of Securities to be redeemed at the election of the Company shall be given by the Company or, at the Company’s written request, by the Trustee in the name and at the expense of the Company; provided, however, that the Company shall have delivered to the Trustee at least 45 days before the Redemption Date (unless a shorter notice shall be satisfactory to the Trustee), as provided in Section 3.02, an Officers’ Certificate requesting that the Trustee give such notice and setting forth the information to be stated in such notice as provided in the second preceding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notice of redemption is mailed, unless the redemption or notice thereof is subject to one or more conditions as specified in the notice, Securities called for redemption become due and payable on the Redemption Date and at the Redemption Price. Upon surrender to the Paying Agent, such Securities called for redemption shall be paid at the Redemption Price, but interest installments whose maturity is on or prior to such Redemption Date will be payable on the relevant Interest Payment Dates to the Holders of record at the close of business on the relevant record dates specified pursuant to Section 2.01.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11:00 a.m., New York City time, on any Redemption Date, the Company or a Guarantor shall deposit with the Trustee or the Paying Agent (or, if the Company or such Guarantor is acting as the Paying Agent, segregate and hold in trust as provided in Section 2.06) an amount of money in same day funds sufficient to pay the Redemption Price of, and (except if the Redemption Date shall be an Interest Payment Date) accrued interest on and any Additional Amounts with respect to, the Securities or portions thereof which are to be redeemed on that date, other than Securities or portions thereof called for redemption on that date which have been delivered by the Company or a Guarantor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or a Guarantor complies with the preceding paragraph, then, unless the Company or the Guarantors default in the payment of such Redemption Price, interest on the Securities to be redeemed will cease to accrue on and after the applicable Redemption Date, whether or not such Securities are presented for payment, and the Holders of such Securities shall have no further rights with respect to such Securities except for the right to receive the Redemption Price upon surrender of such Securities. If any Security called for redemption shall not be so paid upon surrender thereof for redemption, the principal, premium, if any, any Additional Amounts, and, to the extent lawful, accrued interest thereon shall, until paid, bear interest from the Redemption Date at the rate specified pursuant to Section 2.01 or provided in the Securities or, in the case of Original Issue Discount Securities, such Securities’ yield to maturity. </w:t>
      </w:r>
    </w:p>
    <w:p>
      <w:pPr>
        <w:pStyle w:val="TextBody"/>
        <w:bidi w:val="0"/>
        <w:spacing w:before="24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Securities Redeemed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to the Paying Agent of a Security to be redeemed in part, the Company shall execute, each Guarantor with respect to such series shall execute the Notation of Guarantee relating to such Security, if any, and the Trustee shall authenticate and deliver to the Holder of such Security without service charge a new Security or Securities, of the same series and of any authorized denomination as requested by such Holder in aggregate principal amount equal to, and in exchange for, the unredeemed portion of the principal of the Security so surrendered that is not redeemed.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Purchase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as contemplated by Section 2.01, the Company, any Guarantor or any Affiliate of the Company or any Guarantor may, subject to applicable law, at any time purchase or otherwise acquire Securities in the open market or by private agreement. Any such acquisition shall not operate as or be deemed for any purpose to be a redemption of the indebtedness represented by such Securities. Any Securities purchased or acquired by the Company or a Guarantor may be delivered to the Trustee and, upon such delivery, the indebtedness represented thereby shall be deemed to be satisfied. Section 2.13 shall apply to all Securities so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Mandatory and Optional Sinking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Unless otherwise provided by the terms of Securities of any series, the cash amount of any sinking fund payment may be subject to reduction as provided in Section 3.10. Each sinking fund payment shall be applied to the redemption of Securities of any series as provided for by the terms of Securities of such series and by this Article III.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a Guarantor may deliver outstanding Securities of a series (other than any previously called for redemption) and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series of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5 Business Days prior (unless a shorter period shall be satisfactory to the Trustee) to each sinking fund payment date for any series of Securities, the Company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delivery of or by crediting Securities of that series pursuant to Section 3.10 and will also deliver or cause to be delivered to the Trustee any Securities to be so delivered. Failure of the Company to timely deliver or cause to be delivered such Officers’ Certificate and Securities specified in this paragraph, if any, shall not constitute a default but shall constitute the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 3.11.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sinking fund payment or payments (mandatory or optional or both) to be made in cash on the next succeeding sinking fund payment date plus any unused balance of any preceding sinking fund payments made in cash shall exceed $100,000 (or the Dollar equivalent thereof based on the applicable Exchange Rate on the date of original issue of the applicable Securities) or a lesser sum if the Company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$100,000 (or the Dollar equivalent thereof as aforesaid) or less and the Company makes no such request then it shall be carried over until a sum in excess of $100,000 (or the Dollar equivalent thereof as aforesaid) is available. Not less than 30 days before each such sinking fund payment date, the Trustee shall select the Securities to be redeemed upon such sinking fund payment date in the manner specified in Section 3.03 and cause notice of the redemption thereof to be given in the name of and at the expense of the Company in the manner provided in Section 3.04. Such notice having been duly given, the redemption of such Securities shall be made upon the terms and in the manner stated in Section 3.05, Section 3.06 and Section 3.07.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Payment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the principal of, premium (if any) and interest on and any Additional Amounts with respect to the Securities of each series on the dates and in the manner provided in the Securities of such series and in this Indenture. Principal, premium, interest and any Additional Amounts shall be considered paid on the date due if the Paying Agent (other than the Company, a Guarantor or a Subsidiary) holds by 11:00 a.m., New York City time, on that date money deposited by the Company or a Guarantor designated for and sufficient to pay all principal, premium, interest and any Additional Amounts then due.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interest (including post-petition interest in any proceeding under any Bankruptcy Law) on overdue principal and premium (if any), at a rate equal to the then applicable interest rate on the Securities to the extent lawful; and it shall pay interest (including post-petition interest in any proceeding under any Bankruptcy Law) on overdue installments of interest and any Additional Amount (without regard to any applicable grace period) at the same rate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maintain in each Place of Payment for any series of Securities an office or agency (which may be an office of the Trustee, the Registrar or the Paying Agent) where Securities of that series may be presented for registration of transfer or exchange, where Securities of that series may be presented for payment and where notices and demands to or upon the Company or a Guarantor in respect of the Securities of that series and this Indenture may be served. Unless otherwise designated by the Company by written notice to the Trustee and the Guarantors, such office or agency shall be the office of the Trustee in The City of New York, which on the date hereof is located at [ ]. The Company will give prompt written notice to the Trustee and the Guarantors of the location, and any change in the location, of such office or agency. If at any time the Company shall fail to maintain any such required office or agency or shall fail to furnish the Trustee and the Guarantors with the address thereof, such presentations, surrenders, notices and demands may be made or served at the Corporate Trust Office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SEC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the Company is subject to the requirements of Section 13 or 15(d) of the Exchange Act, the Company shall, so long as any of the Securities are outstanding, file with the Trustee, within 15 days after it files the same with the SEC, copies of the annual reports and the information, documents and other reports (or copies of such portions of any of the foregoing as the SEC may by rules and regulations prescribe) that the Company is required to file with the SEC pursuant to Section 13 or 15(d) of the Exchange Act. If this Indenture is qualified under the TIA, but not otherwise, the Company shall also comply with the provisions of TIA § 314(a). Delivery of such reports, information and documents to the Trustee shall be for informational purposes only, and the Trustee’s receipt thereof shall not constitute constructive notice of any information contained therein or determinable from information contained therein, including the Company’s and the Guarantors’ compliance with any of their covenants hereunder (as to which the Trustee is entitled to rely exclusively on Officers’ Certificates or certificates delivered pursuant to Section 4.04). </w:t>
      </w:r>
    </w:p>
    <w:p>
      <w:pPr>
        <w:pStyle w:val="TextBody"/>
        <w:bidi w:val="0"/>
        <w:spacing w:before="240" w:after="0"/>
        <w:jc w:val="left"/>
        <w:rPr>
          <w:rFonts w:ascii="Times New Roman" w:hAnsi="Times New Roman"/>
          <w:sz w:val="20"/>
        </w:rPr>
      </w:pPr>
      <w:r>
        <w:rPr>
          <w:rFonts w:ascii="Times New Roman" w:hAnsi="Times New Roman"/>
          <w:sz w:val="20"/>
        </w:rPr>
        <w:t xml:space="preserve">(2) If the Company is not subject to the requirements of Section 13 or 15(d) of the Exchange Act, the Company shall furnish to all Holders of Rule 144A Securities and prospective purchasers of Rule 144A Securities designated by the Holders of Rule 144A Securities, promptly upon their request, the information required to be delivered pursuant to Rule 144A(d)(4) promulgated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(3) The Company intends to file the reports, information and documents referred to in Section 4.03(1) hereof with the SEC in electronic form pursuant to Regulation S-T promulgated by the SEC using the SEC’s Electronic Data Gathering, Analysis and Retrieval (“</w:t>
      </w:r>
      <w:r>
        <w:rPr>
          <w:rFonts w:ascii="Times New Roman" w:hAnsi="Times New Roman"/>
          <w:b/>
          <w:sz w:val="20"/>
          <w:u w:val="single"/>
        </w:rPr>
        <w:t>EDGAR</w:t>
      </w:r>
      <w:r>
        <w:rPr>
          <w:rFonts w:ascii="Times New Roman" w:hAnsi="Times New Roman"/>
          <w:sz w:val="20"/>
        </w:rPr>
        <w:t xml:space="preserve">”) system. The Trustee is hereby authorized and directed to access the EDGAR system for purposes of retrieving the reports so filed. Compliance with the foregoing shall constitute delivery by the Company of such reports to the Trustee in compliance with the provisions of TIA § 314(a). The Trustee shall have no duty to search for or obtain any electronic or other filings that the Company makes with the SEC, regardless of whether such filings are periodic, supplemental or otherwise. Delivery of the reports, information and documents to the Trustee pursuant to this Section 4.03 shall be solely for the purposes of compliance with this Section 4.03 and with TIA § 314(a). The Trustee’s receipt of such reports, information and documents shall not constitute notice to it of the content thereof or of any matter determinable from the content thereof, including the Company’s and any Guarantor’s compliance with any of their covenants hereunder, as to which the Trustee is entitled to rely upon Officers’ Certificates.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Compliance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Company shall, so long as any of the Securities are outstanding, deliver to the Trustee, within 120 days after the end of each fiscal year of the Company a statement signed by an Officer of the Company, which need not constitute an Officers’ Certificate, complying with TIA § 314(a)(4) and stating that in the course of performance by the signing Officer of his or her duties as such Officer of the Company, he or she would normally obtain knowledge of the keeping, observing, performing and fulfilling by the Company and any Guarantor of its obligations under this Indenture, and further stating that to the best of his or her knowledge the Company and any Guarantor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such Officer may have knowledge and what action the Company and any Guarantor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(2) The Company shall, so long as Securities of any series are outstanding, deliver to the Trustee, as soon as practicable, but in no event more than 20 Business Days, after any Officer of the Company becomes aware of any Default or Event of Default under this Indenture, an Officers’ Certificate specifying such Default or Event of Default and what action the Company and any Guarantor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Existence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permitted by Article V, the Company shall do or cause to be done all things necessary to preserve and keep in full force and effect its existence. This Section 4.05 shall not prohibit or restrict the Company from converting into a different form of legal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Waiver of Stay, Extension or Usury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each of the Guarantors covenants (to the extent that it may lawfully do so) that it will not at any time insist upon, or plead, or in any manner whatsoever claim or take the benefit or advantage of, any stay or extension law or any usury law, wherever enacted, now or at any time hereafter in force, that may affect the covenants or the performance of this Indenture; and (to the extent that it may lawfully do so) the Company and each of the Guarantors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Limitations on Mergers and Consolidations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any Guarantor shall consolidate with or merge into any Person, or sell, lease, convey, assign, transfer or otherwise dispose of, in any transaction or series of transactions, all or substantially all of its and its Subsidiaries’ assets take as a whole to any Person (other than a consolidation or merger of the Company and one or more Guarantors or two or more Guarantors, or a sale, lease, conveyance, assignment, transfer or other disposition of all or substantially all of the assets of the Company to a Guarantor, a Guarantor to the Company or of a Guarantor to another Guarantor),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 either (a) the Company or such Guarantor, as the case may be, shall be the continuing Person or (b) the Person (if other than the Company or such Guarantor) formed by such consolidation or into which the Company or such Guarantor is merged, or to which such sale, lease, conveyance, assignment, transfer or other disposition shall be made (collectively, the “</w:t>
      </w:r>
      <w:r>
        <w:rPr>
          <w:rFonts w:ascii="Times New Roman" w:hAnsi="Times New Roman"/>
          <w:b/>
          <w:sz w:val="20"/>
          <w:u w:val="single"/>
        </w:rPr>
        <w:t>Successor</w:t>
      </w:r>
      <w:r>
        <w:rPr>
          <w:rFonts w:ascii="Times New Roman" w:hAnsi="Times New Roman"/>
          <w:sz w:val="20"/>
        </w:rPr>
        <w:t xml:space="preserve">”), is organized and validly existing under the laws of the United States, any political subdivision thereof or any State thereof or the District of Columbia, and expressly assumes by supplemental indenture, in the case of the Company, the due and punctual payment of the principal of, premium (if any) and interest on and any Additional Amounts with respect to all the Securities and the performance of the Company’s covenants and obligations under this Indenture and the Securities, or, in the case of such Guarantor, the performance of the Guarantee and such Guarantor’s covenants and obligations under this Indenture and the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(2) immediately after giving effect to such transaction or series of transactions, no Default or Event of Default shall have occurred and be continuing or would result therefrom.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Successor Person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or merger of the Company or a Guarantor, as the case may be, or any sale, lease, conveyance, assignment, transfer or other disposition of all or substantially all of the assets of the Company or such Guarantor in accordance with Section 5.01, the Successor formed by such consolidation or into or with which the Company or such Guarantor is merged or to which such sale, lease, conveyance, assignment, transfer or other disposition is made shall succeed to, and be substituted for, and may exercise every right and power of the Company or such Guarantor, as the case may be, under this Indenture and the Securities with the same effect as if such Successor had been named as the Company or such Guarantor, as the case may be, herein and the predecessor Company or Guarantor, in the case of a sale, lease, conveyance, assignment, transfer or other disposition, shall be released from all obligations and covenants under this Indenture, the Securities and, in the case of a Guarantor, its Guarantee.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Unless either inapplicable to a particular series or specifically deleted or modified in or pursuant to the supplemental indenture or Board Resolution establishing such series of Securities or in the form of Security for such series, an “</w:t>
      </w:r>
      <w:r>
        <w:rPr>
          <w:rFonts w:ascii="Times New Roman" w:hAnsi="Times New Roman"/>
          <w:b/>
          <w:sz w:val="20"/>
          <w:u w:val="single"/>
        </w:rPr>
        <w:t>Event of Default,</w:t>
      </w:r>
      <w:r>
        <w:rPr>
          <w:rFonts w:ascii="Times New Roman" w:hAnsi="Times New Roman"/>
          <w:sz w:val="20"/>
        </w:rPr>
        <w:t xml:space="preserve">” wherever used herein with respect to Securities of any series, occurs if: </w:t>
      </w:r>
    </w:p>
    <w:p>
      <w:pPr>
        <w:pStyle w:val="TextBody"/>
        <w:bidi w:val="0"/>
        <w:spacing w:before="120" w:after="0"/>
        <w:jc w:val="left"/>
        <w:rPr>
          <w:rFonts w:ascii="Times New Roman" w:hAnsi="Times New Roman"/>
          <w:sz w:val="20"/>
        </w:rPr>
      </w:pPr>
      <w:r>
        <w:rPr>
          <w:rFonts w:ascii="Times New Roman" w:hAnsi="Times New Roman"/>
          <w:sz w:val="20"/>
        </w:rPr>
        <w:t xml:space="preserve">(1) the Company defaults in the payment of interest on or any Additional Amounts with respect to any Security of that series when the same becomes due and payable and such default continues for a period of 30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Company defaults in the payment of the principal of or premium, if any, on any Securities of that series as and when the same shall become due and payable, whether at Stated Maturity, upon redemption, by declaration, upon required repurchase or otherwise; </w:t>
      </w:r>
    </w:p>
    <w:p>
      <w:pPr>
        <w:pStyle w:val="TextBody"/>
        <w:bidi w:val="0"/>
        <w:spacing w:before="240" w:after="0"/>
        <w:jc w:val="left"/>
        <w:rPr>
          <w:rFonts w:ascii="Times New Roman" w:hAnsi="Times New Roman"/>
          <w:sz w:val="20"/>
        </w:rPr>
      </w:pPr>
      <w:r>
        <w:rPr>
          <w:rFonts w:ascii="Times New Roman" w:hAnsi="Times New Roman"/>
          <w:sz w:val="20"/>
        </w:rPr>
        <w:t xml:space="preserve">(3) the Company defaults in the deposit of any sinking fund payment with respect to any Securities of that series as and when the same shall become due and payable, and such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(4) the Company fails to comply with any of its other agreements in this Indenture (other than an agreement, covenant or provision that has expressly been included in this Indenture solely for the benefit of one or more series of Securities other than that series) which shall not have been remedied within the specified period after written notice, as specified in the last paragraph of this Section 6.01; </w:t>
      </w:r>
    </w:p>
    <w:p>
      <w:pPr>
        <w:pStyle w:val="TextBody"/>
        <w:bidi w:val="0"/>
        <w:spacing w:before="240" w:after="0"/>
        <w:jc w:val="left"/>
        <w:rPr>
          <w:rFonts w:ascii="Times New Roman" w:hAnsi="Times New Roman"/>
          <w:sz w:val="20"/>
        </w:rPr>
      </w:pPr>
      <w:r>
        <w:rPr>
          <w:rFonts w:ascii="Times New Roman" w:hAnsi="Times New Roman"/>
          <w:sz w:val="20"/>
        </w:rPr>
        <w:t xml:space="preserve">(5) the Company, or if that series of Securities is entitled to the benefits of a Guarantee by any Guarantor that is a Significant Subsidiary, any such Guarantor,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(a) commences a 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(c) consents to the appointment of a Bankruptcy Custodian of it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(d) makes a general assignment for the benefit of its creditors; </w:t>
      </w:r>
    </w:p>
    <w:p>
      <w:pPr>
        <w:pStyle w:val="TextBody"/>
        <w:bidi w:val="0"/>
        <w:spacing w:before="240" w:after="0"/>
        <w:jc w:val="left"/>
        <w:rPr>
          <w:rFonts w:ascii="Times New Roman" w:hAnsi="Times New Roman"/>
          <w:sz w:val="20"/>
        </w:rPr>
      </w:pPr>
      <w:r>
        <w:rPr>
          <w:rFonts w:ascii="Times New Roman" w:hAnsi="Times New Roman"/>
          <w:sz w:val="20"/>
        </w:rPr>
        <w:t xml:space="preserve">(6) a court of competent jurisdiction enters an order or decree under any Bankruptcy Law that remains unstayed and in effect for 90 days and that: </w:t>
      </w:r>
    </w:p>
    <w:p>
      <w:pPr>
        <w:pStyle w:val="TextBody"/>
        <w:bidi w:val="0"/>
        <w:spacing w:before="120" w:after="0"/>
        <w:jc w:val="left"/>
        <w:rPr>
          <w:rFonts w:ascii="Times New Roman" w:hAnsi="Times New Roman"/>
          <w:sz w:val="20"/>
        </w:rPr>
      </w:pPr>
      <w:r>
        <w:rPr>
          <w:rFonts w:ascii="Times New Roman" w:hAnsi="Times New Roman"/>
          <w:sz w:val="20"/>
        </w:rPr>
        <w:t xml:space="preserve">(a) is for relief against the Company or any Guarantor with respect to such series that is a Significant Subsidiary as debtor in an involuntary case, </w:t>
      </w:r>
    </w:p>
    <w:p>
      <w:pPr>
        <w:pStyle w:val="TextBody"/>
        <w:bidi w:val="0"/>
        <w:spacing w:before="120" w:after="0"/>
        <w:jc w:val="left"/>
        <w:rPr>
          <w:rFonts w:ascii="Times New Roman" w:hAnsi="Times New Roman"/>
          <w:sz w:val="20"/>
        </w:rPr>
      </w:pPr>
      <w:r>
        <w:rPr>
          <w:rFonts w:ascii="Times New Roman" w:hAnsi="Times New Roman"/>
          <w:sz w:val="20"/>
        </w:rPr>
        <w:t xml:space="preserve">(b) appoints a Bankruptcy Custodian of the Company or any Guarantor with respect to such series that is a Significant Subsidiary, or </w:t>
      </w:r>
    </w:p>
    <w:p>
      <w:pPr>
        <w:pStyle w:val="TextBody"/>
        <w:bidi w:val="0"/>
        <w:spacing w:before="240" w:after="0"/>
        <w:jc w:val="left"/>
        <w:rPr>
          <w:rFonts w:ascii="Times New Roman" w:hAnsi="Times New Roman"/>
          <w:sz w:val="20"/>
        </w:rPr>
      </w:pPr>
      <w:r>
        <w:rPr>
          <w:rFonts w:ascii="Times New Roman" w:hAnsi="Times New Roman"/>
          <w:sz w:val="20"/>
        </w:rPr>
        <w:t xml:space="preserve">(c) orders the liquidation of the Company or any Guarantor with respect to such series that is a Significant Subsidiary; </w:t>
      </w:r>
    </w:p>
    <w:p>
      <w:pPr>
        <w:pStyle w:val="TextBody"/>
        <w:bidi w:val="0"/>
        <w:spacing w:before="240" w:after="0"/>
        <w:jc w:val="left"/>
        <w:rPr>
          <w:rFonts w:ascii="Times New Roman" w:hAnsi="Times New Roman"/>
          <w:sz w:val="20"/>
        </w:rPr>
      </w:pPr>
      <w:r>
        <w:rPr>
          <w:rFonts w:ascii="Times New Roman" w:hAnsi="Times New Roman"/>
          <w:sz w:val="20"/>
        </w:rPr>
        <w:t xml:space="preserve">(7) if that series of Securities is entitled to the benefits of a Guarantee by the Guarantors, the Guarantee of any of such Guarantors ceases to be in full force and effect with respect to Securities of that series (except as otherwise provided in this Indenture) or is declared null and void in a judicial proceeding, or any such Guarantor denies or disaffirms its obligations under this Indenture or such Guarantee;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any other Event of Default provided with respect to Securities of that series occurs.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sz w:val="20"/>
          <w:u w:val="single"/>
        </w:rPr>
        <w:t>Bankruptcy 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deemed to know or have notice of any Default or Event of Default unless a Responsible Officer of the Trustee has actual knowledge thereof or unless written notice of any event which is in fact such a Default or Event of Default is received by the Trustee at the Corporate Trust Office of the Trustee, and such notice references the Securities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When a Default or Event of Default is cured, it ceases.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Section 6.01, if the principal of, premium (if any) or interest on or Additional Amounts with respect to any Security is payable in a currency or currencies (including a composite currency) other than Dollars and such currency or currencies are not available to the Company or a Guarantor for making payment thereof due to the imposition of exchange controls or other circumstances beyond the control of the Company or such Guarantor, the Company will be entitled to satisfy its obligations to Holders of the Securities by making such payment in Dollars in an amount equal to the Dollar equivalent of the amount payable in such other currency, as determined by the Company or the Guarantor, as the case may be, by reference to the Exchange Rate on the date of such payment, or, if such rate is not then available, on the basis of the most recently available Exchange Rate. Notwithstanding the foregoing provisions of this Section 6.01, any payment made under such circumstances in Dollars where the required payment is in a currency other than Dollars will not constitute an Event of Default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 Default under clause (4) or (8) of this Section 6.01 is not an Event of Default until the Trustee notifies the Company and the Guarantors, or the Holders of at least 25% in aggregate principal amount of the then outstanding Securities of the series affected by such Default (or, in the case of a Default under clause (4) of this Section 6.01, if outstanding Securities of other series are affected by such Default, then at least 25% in aggregate principal amount of the then outstanding Securities so affected) notify the Company, the Guarantors and the Trustee, of the Default, and the Company or the applicable Guarantor, as the case may be, fails to cure the Default within 90 days after receipt of the notice. The notice must specify the Default, demand that it be remedied and state that the notice is a “Notice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Acceleration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at the time outstanding (other than an Event of Default specified in clause (5) or (6) of Section 6.01) occurs and is continuing, the Trustee by notice to the Company and the Guarantors, or the Holders of at least 25% in aggregate principal amount of the then outstanding Securities of the series affected by such Event of Default (or, in the case of an Event of Default described in clause (4) of Section 6.01, if outstanding Securities of other series are affected by such Event of Default, then at least 25%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principal amount of the then outstanding Securities so affected voting as one class) by notice to the Company, the Guarantors and the Trustee, may declare the principal of (or, if any such Securities are Original Issue Discount Securities, such portion of the principal amount as may be specified in the terms of that series) and all accrued and unpaid interest on all then outstanding Securities of such series or of all series, as the case may be, to be due and payable. Upon any such declaration, the amounts due and payable on the Securities shall be due and payable immediately. If an Event of Default specified in clause (5) or (6) of Section 6.01 hereof occurs, such amounts shall ipso facto become and be immediately due and payable without any declaration, notice or other act on the part of the Trustee or any Holder. The Holders of a majority in aggregate principal amount of the then outstanding Securities of the series affected by such Event of Default or all series so affected, as the case may be, by written notice to the Trustee may rescind an acceleration and its consequences (other than nonpayment of principal of or premium or interest on or any Additional Amounts with respect to the Securities) if the rescission would not conflict with any judgment or decree and if all existing Events of Default with respect to Securities of that series (or of all series, as the case may be) have been cured or waived, except nonpayment of principal, premium, interest or any Additional Amounts that has become due solely because of the acceleration.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Other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the Trustee may pursue any available remedy to collect the payment of principal of, or premium, if any, or interest on the Securities or to enforce the rights vested in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Waiver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6.07 and Section 9.02, the Holders of a majority in aggregate principal amount of the then outstanding Securities of any series or of all series affected thereby (acting as one class) by notice to the Trustee may waive an existing or past Default or Event of Default with respect to such series or all series so affected, as the case may be, and its consequences (including waivers obtained in connection with a tender offer or exchange offer for Securities of such series or all series so affected or a solicitation of consents in respect of Securities of such series or all series so affected, provided that in each case such offer or solicitation is made to all Holders of then outstanding Securities of such series or all series so affected (but the terms of such offer or solicitation may vary from series to series)), except (1) a continuing Default or Event of Default in the payment of the principal of, or premium, if any, or interest on or any Additional Amounts with respect to any Security or (2) a continued Default in respect of a provision that under Section 9.02 cannot be amended or supplemented without the consent of each Holder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Control by Majority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Securities of any series, the Holders of a majority in aggregate principal amount of the then outstanding Securities of such series may direct in writing the time, method and place of conducting any proceeding for any remedy available to the Trustee or exercising any trust or power conferred on it relating to or arising as a result of an Event of Default described in clause (1), (2), (3) or (7) of Section 6.01, and with respect to all Securities, the Holders of a majority in aggregate principal amount of all the then outstanding Securities affected may direct in writing the time, method and place of conducting any proceeding for any remedy available to the Trustee or exercising any trust or power conferred on it not relating to or arising under such an Event of Default. However, the Trustee may refuse to follow any direction that conflicts with applicable law or this Indenture, that the Trustee determines may be unduly prejudicial to the rights of other Holders, or that may involve the Trustee in personal liability; provided, however, that the Trustee may take any other action deemed proper by the Trustee that is not inconsistent with such direction. Prior to taking any action hereunder, the Trustee shall be entitled to indemnification satisfactory to it in its sole discretion from Holders directing the Trustee against all losses and expenses caused by taking or not taking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Limitations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6.07 hereof, a Holder of a Security of any series may pursue a remedy with respect to this Indenture or the Securities of such series or the related Guarantees, if any, only if: </w:t>
      </w:r>
    </w:p>
    <w:p>
      <w:pPr>
        <w:pStyle w:val="TextBody"/>
        <w:bidi w:val="0"/>
        <w:spacing w:before="120" w:after="0"/>
        <w:jc w:val="left"/>
        <w:rPr>
          <w:rFonts w:ascii="Times New Roman" w:hAnsi="Times New Roman"/>
          <w:sz w:val="20"/>
        </w:rPr>
      </w:pPr>
      <w:r>
        <w:rPr>
          <w:rFonts w:ascii="Times New Roman" w:hAnsi="Times New Roman"/>
          <w:sz w:val="20"/>
        </w:rPr>
        <w:t xml:space="preserve">(1) the Holder has previously given to the Trustee written notice of a continuing Event of Default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(2) the Holders of at least 25% in aggregate principal amount of the then outstanding Securities of such series make a written request to the Trustee to pursue the remedy; </w:t>
      </w:r>
    </w:p>
    <w:p>
      <w:pPr>
        <w:pStyle w:val="TextBody"/>
        <w:bidi w:val="0"/>
        <w:spacing w:before="240" w:after="0"/>
        <w:jc w:val="left"/>
        <w:rPr>
          <w:rFonts w:ascii="Times New Roman" w:hAnsi="Times New Roman"/>
          <w:sz w:val="20"/>
        </w:rPr>
      </w:pPr>
      <w:r>
        <w:rPr>
          <w:rFonts w:ascii="Times New Roman" w:hAnsi="Times New Roman"/>
          <w:sz w:val="20"/>
        </w:rPr>
        <w:t xml:space="preserve">(3) such Holder or Holders offer to the Trustee indemnity satisfactory to the Trustee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(4) the Trustee does not comply with the request within 60 days after receipt of the request and the offer of indemnity; and </w:t>
      </w:r>
    </w:p>
    <w:p>
      <w:pPr>
        <w:pStyle w:val="TextBody"/>
        <w:bidi w:val="0"/>
        <w:spacing w:before="240" w:after="0"/>
        <w:jc w:val="left"/>
        <w:rPr>
          <w:rFonts w:ascii="Times New Roman" w:hAnsi="Times New Roman"/>
          <w:sz w:val="20"/>
        </w:rPr>
      </w:pPr>
      <w:r>
        <w:rPr>
          <w:rFonts w:ascii="Times New Roman" w:hAnsi="Times New Roman"/>
          <w:sz w:val="20"/>
        </w:rPr>
        <w:t xml:space="preserve">(5) during such 60-day period, the Holders of a majority in aggregate principal amount of the Securities of such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A Holder may not use this Indenture to prejudice the rights of another Holder or to obtain a preference or priority over another Holder (it being understood that the Trustee does not have an affirmative duty to ascertain whether or not any such use by a Holder prejudices the rights of any other Holder or obtains preference or priority over such other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Rights of Holders to Receive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the right of any Holder of a Security to receive payment of principal of and premium, if any, and interest on and any Additional Amounts with respect to the Security, on or after the respective due dates expressed in the Security, or to bring suit for the enforcement of any such payment on or after such respective dates, is absolute and unconditional and shall not be impaired or affected without the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Collection Suit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clause (1) or (2) of Section 6.01 hereof occurs and is continuing, the Trustee is authorized to recover judgment in its own name and as trustee of an express trust against the Company or a Guarantor for the amount of principal, premium (if any), interest and any Additional Amounts remaining unpaid on the Securities of the series affected by the Event of Default, and interest on overdue principal and premium, if any, and, to the extent lawful, interest on overdue interest, and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authorized to file such proofs of claim and other papers or documents and to take such actions, including participating as a member, voting or otherwise, of any committee of creditors, as may be necessary or advisable to have the claims of the Trustee (including any claim for the reasonable compensation, expenses, disbursements and advances of the Trustee, its agents and counsel) and the Holders allowed in any judicial proceedings relative to the Company or a Guarantor or their respective creditors or properties and shall be entitled and empowered to collect, receive and distribute any money or other property payable or deliverable on any such claims and any Bankruptcy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which the Holders of the Securities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Priorities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collects any money pursuant to this Article VI, it shall pay out the money in the following order: </w:t>
      </w:r>
    </w:p>
    <w:p>
      <w:pPr>
        <w:pStyle w:val="TextBody"/>
        <w:bidi w:val="0"/>
        <w:spacing w:before="120" w:after="0"/>
        <w:jc w:val="left"/>
        <w:rPr>
          <w:rFonts w:ascii="Times New Roman" w:hAnsi="Times New Roman"/>
          <w:sz w:val="20"/>
        </w:rPr>
      </w:pPr>
      <w:r>
        <w:rPr>
          <w:rFonts w:ascii="Times New Roman" w:hAnsi="Times New Roman"/>
          <w:sz w:val="20"/>
        </w:rPr>
        <w:t xml:space="preserve">First: to the Trustee for amounts due under Section 7.07; </w:t>
      </w:r>
    </w:p>
    <w:p>
      <w:pPr>
        <w:pStyle w:val="TextBody"/>
        <w:bidi w:val="0"/>
        <w:spacing w:before="240" w:after="0"/>
        <w:jc w:val="left"/>
        <w:rPr>
          <w:rFonts w:ascii="Times New Roman" w:hAnsi="Times New Roman"/>
          <w:sz w:val="20"/>
        </w:rPr>
      </w:pPr>
      <w:r>
        <w:rPr>
          <w:rFonts w:ascii="Times New Roman" w:hAnsi="Times New Roman"/>
          <w:sz w:val="20"/>
        </w:rPr>
        <w:t xml:space="preserve">Second: to Holders for amounts due and unpaid on the Securities in respect of which or for the benefit of which such money has been collected, for principal, premium (if any), interest and any Additional Amounts ratably, without preference or priority of any kind, according to the amounts due and payable on such Securities for principal, premium (if any), interest and any Additional Amounts,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Trustee, upon prior written notice to the Company, may fix record dates and payment dates for any payment to Holders pursuant to this Article VI. </w:t>
      </w:r>
    </w:p>
    <w:p>
      <w:pPr>
        <w:pStyle w:val="TextBody"/>
        <w:bidi w:val="0"/>
        <w:spacing w:before="240" w:after="0"/>
        <w:jc w:val="left"/>
        <w:rPr>
          <w:rFonts w:ascii="Times New Roman" w:hAnsi="Times New Roman"/>
          <w:sz w:val="20"/>
        </w:rPr>
      </w:pPr>
      <w:r>
        <w:rPr>
          <w:rFonts w:ascii="Times New Roman" w:hAnsi="Times New Roman"/>
          <w:sz w:val="20"/>
        </w:rPr>
        <w:t>To the fullest extent allowed under applicable law, if for the purpose of obtaining a judgment against the Company or a Guarantor in any court it is necessary to convert the sum due in respect of the principal of, premium (if any) or interest on or Additional Amounts with respect to the Securities of any series (the “</w:t>
      </w:r>
      <w:r>
        <w:rPr>
          <w:rFonts w:ascii="Times New Roman" w:hAnsi="Times New Roman"/>
          <w:b/>
          <w:sz w:val="20"/>
          <w:u w:val="single"/>
        </w:rPr>
        <w:t>Required Currency</w:t>
      </w:r>
      <w:r>
        <w:rPr>
          <w:rFonts w:ascii="Times New Roman" w:hAnsi="Times New Roman"/>
          <w:sz w:val="20"/>
        </w:rPr>
        <w:t>”) into a currency in which a judgment will be rendered (the “</w:t>
      </w:r>
      <w:r>
        <w:rPr>
          <w:rFonts w:ascii="Times New Roman" w:hAnsi="Times New Roman"/>
          <w:b/>
          <w:sz w:val="20"/>
          <w:u w:val="single"/>
        </w:rPr>
        <w:t>Judgment Currency</w:t>
      </w:r>
      <w:r>
        <w:rPr>
          <w:rFonts w:ascii="Times New Roman" w:hAnsi="Times New Roman"/>
          <w:sz w:val="20"/>
        </w:rPr>
        <w:t xml:space="preserve">”), the rate of exchange used for purposes of rendering the judgment shall be the rate at which in accordance with normal banking procedures the Trustee could purchase in The City of New York the Required Currency with the Judgment Currency on the Business Day in The City of New York next preceding that on which final judgment is given. None of the Company, any Guarantor or the Trustee shall be liable for any shortfall nor shall it benefit from any windfall in payments to Holders of Securities under this Section 6.10 caused by a change in exchange rates between the time the amount of a judgment against it is calculated as above and the time the Trustee converts the Judgment Currency into the Required Currency to make payments under this Section 6.10 to Holders of Securities, but payment of such judgment shall discharge all amounts owed by the Company and the Guarantors on the claim or claims underlying such judgment.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or a suit by a Holder or Holders of more than 10% in aggregate principal amount of the then outstanding Securities of any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(2) Except during the continuance of an Event of Default with respect to the Securities of any series: </w:t>
      </w:r>
    </w:p>
    <w:p>
      <w:pPr>
        <w:pStyle w:val="TextBody"/>
        <w:bidi w:val="0"/>
        <w:spacing w:before="120" w:after="0"/>
        <w:jc w:val="left"/>
        <w:rPr>
          <w:rFonts w:ascii="Times New Roman" w:hAnsi="Times New Roman"/>
          <w:sz w:val="20"/>
        </w:rPr>
      </w:pPr>
      <w:r>
        <w:rPr>
          <w:rFonts w:ascii="Times New Roman" w:hAnsi="Times New Roman"/>
          <w:sz w:val="20"/>
        </w:rPr>
        <w:t xml:space="preserve">(a) the Trustee need perform only those duties that are specifically set forth in this Indenture and no others,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(b) 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(3) The Trustee may not be relieved from liabilities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(a) this paragraph does not limit the effect of Section 7.01(2); </w:t>
      </w:r>
    </w:p>
    <w:p>
      <w:pPr>
        <w:pStyle w:val="TextBody"/>
        <w:bidi w:val="0"/>
        <w:spacing w:before="120" w:after="0"/>
        <w:jc w:val="left"/>
        <w:rPr>
          <w:rFonts w:ascii="Times New Roman" w:hAnsi="Times New Roman"/>
          <w:sz w:val="20"/>
        </w:rPr>
      </w:pPr>
      <w:r>
        <w:rPr>
          <w:rFonts w:ascii="Times New Roman" w:hAnsi="Times New Roman"/>
          <w:sz w:val="20"/>
        </w:rPr>
        <w:t xml:space="preserve">(b) the Trustee shall not be liable for any error of judgment made in good faith by a Responsible Officer, unless it is proved that the Trustee was negligent in ascertaining the pertinent facts; and </w:t>
      </w:r>
    </w:p>
    <w:p>
      <w:pPr>
        <w:pStyle w:val="TextBody"/>
        <w:bidi w:val="0"/>
        <w:spacing w:before="120" w:after="0"/>
        <w:jc w:val="left"/>
        <w:rPr>
          <w:rFonts w:ascii="Times New Roman" w:hAnsi="Times New Roman"/>
          <w:sz w:val="20"/>
        </w:rPr>
      </w:pPr>
      <w:r>
        <w:rPr>
          <w:rFonts w:ascii="Times New Roman" w:hAnsi="Times New Roman"/>
          <w:sz w:val="20"/>
        </w:rPr>
        <w:t xml:space="preserve">(c) the Trustee shall not be liable with respect to any action it takes or omits to take in good faith in accordance with a direction received by it pursuant to Section 6.05. </w:t>
      </w:r>
    </w:p>
    <w:p>
      <w:pPr>
        <w:pStyle w:val="TextBody"/>
        <w:bidi w:val="0"/>
        <w:spacing w:before="240" w:after="0"/>
        <w:jc w:val="left"/>
        <w:rPr>
          <w:rFonts w:ascii="Times New Roman" w:hAnsi="Times New Roman"/>
          <w:sz w:val="20"/>
        </w:rPr>
      </w:pPr>
      <w:r>
        <w:rPr>
          <w:rFonts w:ascii="Times New Roman" w:hAnsi="Times New Roman"/>
          <w:sz w:val="20"/>
        </w:rPr>
        <w:t xml:space="preserve">(4) Whether or not therein expressly so provided, every provision of this Indenture that in any way relates to the Trustee is subject to the provisions of this Section 7.01. </w:t>
      </w:r>
    </w:p>
    <w:p>
      <w:pPr>
        <w:pStyle w:val="TextBody"/>
        <w:bidi w:val="0"/>
        <w:spacing w:before="240" w:after="0"/>
        <w:jc w:val="left"/>
        <w:rPr>
          <w:rFonts w:ascii="Times New Roman" w:hAnsi="Times New Roman"/>
          <w:sz w:val="20"/>
        </w:rPr>
      </w:pPr>
      <w:r>
        <w:rPr>
          <w:rFonts w:ascii="Times New Roman" w:hAnsi="Times New Roman"/>
          <w:sz w:val="20"/>
        </w:rPr>
        <w:t xml:space="preserve">(5) No provision of this Indenture shall require the Trustee to expend or risk its own funds or incur any liability. The Trustee may refuse to perform any duty or exercise any right or power unless it receives indemnity satisfactory to it against any loss, liability or expense. </w:t>
      </w:r>
    </w:p>
    <w:p>
      <w:pPr>
        <w:pStyle w:val="TextBody"/>
        <w:bidi w:val="0"/>
        <w:spacing w:before="240" w:after="0"/>
        <w:jc w:val="left"/>
        <w:rPr>
          <w:rFonts w:ascii="Times New Roman" w:hAnsi="Times New Roman"/>
          <w:sz w:val="20"/>
        </w:rPr>
      </w:pPr>
      <w:r>
        <w:rPr>
          <w:rFonts w:ascii="Times New Roman" w:hAnsi="Times New Roman"/>
          <w:sz w:val="20"/>
        </w:rPr>
        <w:t xml:space="preserve">(6) The Trustee shall not be liable for interest on any money received by it except as the Trustee may agree in writing with the Company and the Guarantors.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Trustee may conclusively rely on any document believed by it to be genuine and to have been signed or presented by the proper Person. The Trustee need not investigate any fact or matter stated in the document. </w:t>
      </w:r>
    </w:p>
    <w:p>
      <w:pPr>
        <w:pStyle w:val="TextBody"/>
        <w:bidi w:val="0"/>
        <w:spacing w:before="240" w:after="0"/>
        <w:jc w:val="left"/>
        <w:rPr>
          <w:rFonts w:ascii="Times New Roman" w:hAnsi="Times New Roman"/>
          <w:sz w:val="20"/>
        </w:rPr>
      </w:pPr>
      <w:r>
        <w:rPr>
          <w:rFonts w:ascii="Times New Roman" w:hAnsi="Times New Roman"/>
          <w:sz w:val="20"/>
        </w:rPr>
        <w:t xml:space="preserve">(2) 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with counsel of its selection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(3) The Trustee may act through agents and shall not be responsible for the misconduct or negligence of any agent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(4) The Trustee shall not be liable for any action it takes or omits to take in good faith which it believes to be authorized or within its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(5) Unless otherwise specifically provided in this Indenture, any demand, request, direction or notice from the Company or any Guarantor shall be sufficient if signed by an Officer of the Company or such Guarantor,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(6) The Trustee shall be under no obligation to exercise any of the rights or powers vested in it by this Indenture at the request or direction of any of the Holders pursuant to this Indenture, unless such Holders shall have offered to the Trustee security or indemnity satisfactory to the Trustee against the costs, expenses and liabilities that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(7)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(8)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any Guarantor or any of their respective Affiliates with the same rights it would have if it were not Trustee. Any Agent may do the same with like rights and duties. However, the Trustee is subject to Sections 7.10 and 7.11.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Trustee’s Disclaimer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or the Securities, it shall not be accountable for the Company’s use of the proceeds from the Securities or any money paid to the Company or any Guarantor or upon the Company’s or such Guarantor’s direction under any provision hereof, it shall not be responsible for the use or application of any money received by any Paying Agent other than the Trustee and it shall not be responsible for any statement or recital herein or any statement in the Securities other than its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Default or Event of Default with respect to the Securities of any series occurs and is continuing and it is known to the Trustee, the Trustee shall mail to Holders of Securities of such series a notice of the Default or Event of Default within 90 days after it occurs. Except in the case of a Default or Event of Default in payment of principal of, premium (if any) and interest on and Additional Amounts or any sinking fund installment with respect to the Securities of such series, the Trustee may withhold the notice if and so long as the board of directors, the executive committee or a trust committee of directors or Responsible Officers of the Trustee in good faith determines that withholding the notice is in the interests of Holders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Reports by Trustee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after each of each year after the execution of this Indenture, the Trustee shall mail to Holders of a series, the Guarantors and the Company a brief report dated as of such reporting date that complies with TIA § 313(a); provided, however, that if no event described in TIA § 313(a) has occurred within the twelve months preceding the reporting date with respect to a series, no report need be transmitted to Holders of such series. The Trustee also shall comply with TIA § 313(b). The Trustee shall also transmit by mail all reports if and as required by TIA §§ 313(c) and 313(d).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the Trustee for its acceptance of this Indenture and services hereunder such compensation as the Company and the Trustee shall from time to time agree in writing. The Trustee’s compensation shall not be limited by any law on compensation of a trustee of an express trust. The Company agrees to reimburse the Trustee upon request for all reasonable disbursements, advances and expenses incurred by it. Such expenses shall include the reasonable compensation, disbursements and expenses of the Trustee’s agents and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indemnifies the Trustee and any predecessor Trustee against any and all loss, liability, damage, claim or expense, including taxes (other than taxes based upon, measured by or determined by the income of the Trustee), incurred by it arising out of or in connection with the acceptance or administration of its duties under this Indenture, except as set forth in the next following paragraph. The Trustee shall notify the Company and the Guarantors promptly of any claim for which it may seek indemnity. The Company shall defend the claim and the Trustee shall cooperate in the defense. The Trustee may have separate counsel and the Company shall pay the reasonable fees and expenses of such counsel. The Company need not pay for any settlement made without its consent.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obligated to reimburse any expense or indemnify against any loss or liability incurred by the Trustee through the Trustee’s negligence, willful misconduct or bad faith. </w:t>
      </w:r>
    </w:p>
    <w:p>
      <w:pPr>
        <w:pStyle w:val="TextBody"/>
        <w:bidi w:val="0"/>
        <w:spacing w:before="240" w:after="0"/>
        <w:jc w:val="left"/>
        <w:rPr>
          <w:rFonts w:ascii="Times New Roman" w:hAnsi="Times New Roman"/>
          <w:sz w:val="20"/>
        </w:rPr>
      </w:pPr>
      <w:r>
        <w:rPr>
          <w:rFonts w:ascii="Times New Roman" w:hAnsi="Times New Roman"/>
          <w:sz w:val="20"/>
        </w:rPr>
        <w:t xml:space="preserve">To secure the payment obligations of the Company in this Section 7.07, the Trustee shall have a lien prior to the Securities on all money or property held or collected by the Trustee, except that held in trust to pay principal of, premium (if any) and interest on and any Additional Amounts with respect to Securities of any series. Such lien and the Company’s obligations under this Section 7.07 shall survive the satisfaction and discharge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6.01(5) or (6) occurs,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Replacement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resignation or removal of the Trustee and appointment of a successor Trustee shall become effective only upon the successor Trustee’s acceptance of appointment as provided in this Section 7.08.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in writing and be discharged at any time with respect to the Securities of one or more series by so notifying the Company and the Guarantors. The Holders of a majority in aggregate principal amount of the then outstanding Securities of any series may remove the Trustee with respect to the Securities of such series by so notifying the Trustee, the Company and the Guarantors in writing. The Company may remove the Trustee if: </w:t>
      </w:r>
    </w:p>
    <w:p>
      <w:pPr>
        <w:pStyle w:val="TextBody"/>
        <w:bidi w:val="0"/>
        <w:spacing w:before="120" w:after="0"/>
        <w:jc w:val="left"/>
        <w:rPr>
          <w:rFonts w:ascii="Times New Roman" w:hAnsi="Times New Roman"/>
          <w:sz w:val="20"/>
        </w:rPr>
      </w:pPr>
      <w:r>
        <w:rPr>
          <w:rFonts w:ascii="Times New Roman" w:hAnsi="Times New Roman"/>
          <w:sz w:val="20"/>
        </w:rPr>
        <w:t xml:space="preserve">(1) the Trustee fails to comply with Section 7.10; </w:t>
      </w:r>
    </w:p>
    <w:p>
      <w:pPr>
        <w:pStyle w:val="TextBody"/>
        <w:bidi w:val="0"/>
        <w:spacing w:before="240" w:after="0"/>
        <w:jc w:val="left"/>
        <w:rPr>
          <w:rFonts w:ascii="Times New Roman" w:hAnsi="Times New Roman"/>
          <w:sz w:val="20"/>
        </w:rPr>
      </w:pPr>
      <w:r>
        <w:rPr>
          <w:rFonts w:ascii="Times New Roman" w:hAnsi="Times New Roman"/>
          <w:sz w:val="20"/>
        </w:rPr>
        <w:t xml:space="preserve">(2) the Trustee is adjudged a bankrupt or an insolvent or an order for relief is entered with respect to the Trustee under any Bankruptcy </w:t>
      </w:r>
    </w:p>
    <w:p>
      <w:pPr>
        <w:pStyle w:val="TextBody"/>
        <w:bidi w:val="0"/>
        <w:spacing w:before="240" w:after="0"/>
        <w:jc w:val="left"/>
        <w:rPr>
          <w:rFonts w:ascii="Times New Roman" w:hAnsi="Times New Roman"/>
          <w:sz w:val="20"/>
        </w:rPr>
      </w:pPr>
      <w:r>
        <w:rPr>
          <w:rFonts w:ascii="Times New Roman" w:hAnsi="Times New Roman"/>
          <w:sz w:val="20"/>
        </w:rPr>
        <w:t xml:space="preserve">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 Bankruptcy Custodian or public officer takes charge of the Trustee or its property; or </w:t>
      </w:r>
    </w:p>
    <w:p>
      <w:pPr>
        <w:pStyle w:val="TextBody"/>
        <w:bidi w:val="0"/>
        <w:spacing w:before="240" w:after="0"/>
        <w:jc w:val="left"/>
        <w:rPr>
          <w:rFonts w:ascii="Times New Roman" w:hAnsi="Times New Roman"/>
          <w:sz w:val="20"/>
        </w:rPr>
      </w:pPr>
      <w:r>
        <w:rPr>
          <w:rFonts w:ascii="Times New Roman" w:hAnsi="Times New Roman"/>
          <w:sz w:val="20"/>
        </w:rPr>
        <w:t xml:space="preserve">(4) the Trustee otherwise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Within one year after the successor Trustee with respect to the Securities of any series takes office, the Holders of a majority in aggregate principal amount of the Securities of such series then outstanding may appoint a successor Trustee to replace the successor Trustee appointed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If a successor Trustee with respect to the Securities of any series does not take office within 60 days after the retiring or removed Trustee resigns or is removed, the retiring or removed Trustee, the Company, any Guarantor or the Holders of at least 10% in aggregate principal amount of the then outstanding Securities of such series may petition any court of competent jurisdiction for the appointment of a successor Trustee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appointment of a successor Trustee with respect to all Securities, each such successor Trustee shall deliver a written acceptance of its appointment to the retiring or removed Trustee, to the Company and to the Guarantors. Thereupon the resignation or removal of the retiring or removed Trustee shall become effective, and the successor Trustee shall have all the rights, powers and duties of the retiring or removed Trustee under this Indenture. The successor Trustee shall mail a notice of its succession to Holders. The retiring or removed Trustee shall promptly transfer all property held by it as Trustee to the successor Trustee, subject to the lien provided for in Section 7.07.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appointment of a successor Trustee with respect to the Securities of one or more (but not all) series, the Company, the Guarantors, the retiring or removed Trustee and each successor Trustee with respect to the Securities of one or more (but not all) series shall execute and deliver an indenture supplemental hereto in which each successor Trustee shall accept such appointment and that (1) shall confer to each successor Trustee all the rights, powers and duties of the retiring or removed Trustee with respect to the Securities of that or those series to which the appointment of such successor Trustee relates, (2) if the retiring or removed Trustee is not retiring or removed with respect to all Securities, shall confirm that all the rights, powers and duties of the retiring or removed Trustee with respect to the Securities of that or those series as to which the retiring or removed Trustee is not retiring or removed shall continue to be vested in the retiring or removed Trustee and (3) shall add to or change any of the provisions of this Indenture as shall be necessary to provide for or facilitate the administration of the trusts hereunder by more than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Nothing herein or in such supplemental indenture shall constitute such Trustees as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or removed Trustee shall become effective to the extent provided therein and each such successor Trustee shall have all the rights, powers and duties of the retiring or removed Trustee with respect to the Securities of that or those series to which the appointment of such successor Trustee relates. On request of the Company or any successor Trustee, such retiring or removed Trustee shall transfer to such successor Trustee all property held by such retiring or removed Trustee as Trustee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replacement of the Trustee or Trustees pursuant to this Section 7.08, the obligations of the Company under Section 7.07 shall continue for the benefit of the retiring Trustee or Trustees.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Successor Trustee by Merger,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7.10, if the Trustee consolidates, merges or converts into, or transfers all or substantially all of its corporate trust business to, another corporation, the successor corporation without any further act shall be the successor Trustee; provided, however, that in the case of a transfer of all or substantially all of its corporate trust business to another corporation, the transferee corporation expressly assumes all of the Trustee’s liabilities hereunder.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Securities shall have been authenticated, but not delivered, by the Trustee then in office, any successor by merger,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Eligibility; Disqualification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hereunder which shall be a corporation or banking or trust company or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Preferential Collection of Claims Against the Company or a Guarantor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subject to and shall comply with the provisions of TIA § 311(a), excluding any creditor relationship listed in TIA § 311(b). A Trustee who has resigned or been removed shall be subject to TIA § 311(a) to the extent indicated therein.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Discharge of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Termination of the Company’s and the Guarantors’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This Indenture shall cease to be of further effect with respect to the Securities of a series (except that the Company’s obligations under Section 7.07, the Trustee’s and Paying Agent’s obligations under Section 8.03 and the rights, powers, protections and privileges accorded the Trustee under Article VII shall survive), and the Trustee, on demand of the Company, shall execute proper instruments acknowledging the satisfaction and discharge of this Indenture with respect to the Securities of such series, when: </w:t>
      </w:r>
    </w:p>
    <w:p>
      <w:pPr>
        <w:pStyle w:val="TextBody"/>
        <w:bidi w:val="0"/>
        <w:spacing w:before="12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outstanding Securities of such series theretofore authenticated and issued (other than destroyed, lost or stolen Securities that have been replaced or paid)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outstanding Securities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(A)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(B) will become due and payable at their Stated Maturity within one year, or </w:t>
      </w:r>
    </w:p>
    <w:p>
      <w:pPr>
        <w:pStyle w:val="TextBody"/>
        <w:bidi w:val="0"/>
        <w:spacing w:before="120" w:after="0"/>
        <w:jc w:val="left"/>
        <w:rPr>
          <w:rFonts w:ascii="Times New Roman" w:hAnsi="Times New Roman"/>
          <w:sz w:val="20"/>
        </w:rPr>
      </w:pPr>
      <w:r>
        <w:rPr>
          <w:rFonts w:ascii="Times New Roman" w:hAnsi="Times New Roman"/>
          <w:sz w:val="20"/>
        </w:rPr>
        <w:t xml:space="preserve">(C) are to be called for redemption within one year under arrangements satisfactory to the Trustee for the giving of notice of redemption by the Trustee in the name, and at the expense, of the Company, and, in the case of clause (A), (B) or (C) above, the Company or a Guarantor has irrevocably deposited or caused to be deposited with the Trustee as funds (immediately available to the Holders in the case of clause (A)) in trust for such purpose (x) cash in an amount, or (y) Government Obligations with respect to such series, maturing as to principal and interest at such times and in such amounts as will ensure the availability of cash in an amount or (z) a combination thereof, which will be sufficient, in the opinion (in the case of clauses (y) and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the Company and the Guarantors have properly fulfilled such other means of satisfaction and discharge as is specified, as contemplated by Section 2.01, to be applicable to the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a Guarantor has paid or caused to be paid all other sums payable by them hereunder with respect to the Securities of such series; and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delivered to the Trustee an Officers’ Certificate stating that all conditions precedent to satisfaction and discharge of this Indenture with respect to the Securities of such series have been complied with, together with an Opinion of Counsel to the same effect. </w:t>
      </w:r>
    </w:p>
    <w:p>
      <w:pPr>
        <w:pStyle w:val="TextBody"/>
        <w:bidi w:val="0"/>
        <w:spacing w:before="240" w:after="0"/>
        <w:jc w:val="left"/>
        <w:rPr>
          <w:rFonts w:ascii="Times New Roman" w:hAnsi="Times New Roman"/>
          <w:sz w:val="20"/>
        </w:rPr>
      </w:pPr>
      <w:r>
        <w:rPr>
          <w:rFonts w:ascii="Times New Roman" w:hAnsi="Times New Roman"/>
          <w:sz w:val="20"/>
        </w:rPr>
        <w:t>(2) Unless this Section 8.01(2) is specified as not being applicable to Securities of a series as contemplated by Section 2.01, the Company may, at its option, terminate certain of their and the Guarantors’ respective obligations under this Indenture (“</w:t>
      </w:r>
      <w:r>
        <w:rPr>
          <w:rFonts w:ascii="Times New Roman" w:hAnsi="Times New Roman"/>
          <w:b/>
          <w:sz w:val="20"/>
          <w:u w:val="single"/>
        </w:rPr>
        <w:t>covenant defeasance</w:t>
      </w:r>
      <w:r>
        <w:rPr>
          <w:rFonts w:ascii="Times New Roman" w:hAnsi="Times New Roman"/>
          <w:sz w:val="20"/>
        </w:rPr>
        <w:t xml:space="preserve">”) with respect to the Securities of a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Company or a Guarantor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in the currency in which payment of the Securities of such series is to be made in an amount,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clauses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8.01(5))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delivered to the Trustee an Officers’ Certificate stating that all conditions precedent to satisfaction and discharge of this Indenture with respect to the Securities of such series have been complied with, and an Opinion of Counsel to the same effect;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have delivered to the Trustee an Opinion of Counsel from a nationally recognized counsel acceptable to the Trustee or a private letter ruling issued by the United States Internal Revenue Service to the effect that the Holders will not recognize income, gain or loss for United States Federal income tax purposes as a result of the Company’s exercise of its option under this Section 8.01(2) and will be subject to United States Federal income tax on the same amount and in the same manner and at the same times as would have been the case if such option had not been 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Company and the Guarantors have complied with any additional conditions specified pursuant to Section 2.01 to be applicable to the discharge of Securities of such series pursuant to this Section 8.01; and </w:t>
      </w:r>
    </w:p>
    <w:p>
      <w:pPr>
        <w:pStyle w:val="TextBody"/>
        <w:bidi w:val="0"/>
        <w:spacing w:before="120" w:after="0"/>
        <w:jc w:val="left"/>
        <w:rPr>
          <w:rFonts w:ascii="Times New Roman" w:hAnsi="Times New Roman"/>
          <w:sz w:val="20"/>
        </w:rPr>
      </w:pPr>
      <w:r>
        <w:rPr>
          <w:rFonts w:ascii="Times New Roman" w:hAnsi="Times New Roman"/>
          <w:sz w:val="20"/>
        </w:rPr>
        <w:t xml:space="preserve">(f) such deposit and discharge shall not cause the Trustee to have a conflicting interest as defined in TIA § 310(b). </w:t>
      </w:r>
    </w:p>
    <w:p>
      <w:pPr>
        <w:pStyle w:val="TextBody"/>
        <w:bidi w:val="0"/>
        <w:spacing w:before="240" w:after="0"/>
        <w:jc w:val="left"/>
        <w:rPr>
          <w:rFonts w:ascii="Times New Roman" w:hAnsi="Times New Roman"/>
          <w:sz w:val="20"/>
        </w:rPr>
      </w:pPr>
      <w:r>
        <w:rPr>
          <w:rFonts w:ascii="Times New Roman" w:hAnsi="Times New Roman"/>
          <w:sz w:val="20"/>
        </w:rPr>
        <w:t xml:space="preserve">In such event, (1) this Indenture shall cease to be of further effect (except as set forth in this paragraph), and the Trustee, on demand of the Company, shall execute proper instruments acknowledging satisfaction and discharge under this Indenture and (2) the Guarantee with respect to the Securities, if any, will automatically terminate and be automatically released and discharged, and any Security that may have been granted in respect of such series shall be automatically released. However, the Company’s obligations in Sections 2.05, 2.06, 2.07, 2.08, 2.09, 4.01, 4.02, 7.07, 7.08, 8.04 and 10.01, the Trustee’s and Paying Agent’s obligations in Section 8.03 and the rights, powers, protections and privileges accorded the Trustee under Article VII shall survive until all Securities of such series are no longer outstanding. Thereafter, only the Company’s obligations in Section 7.07 and the Trustee’s and Paying Agent’s obligations in Section 8.03 shall survive with respect to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After such irrevocable deposit made pursuant to this Section 8.01(2) and satisfaction of the other conditions set forth herein, the Trustee upon request shall acknowledge in writing the discharge of the Company’s and the Guarantors’ obligations under this Indenture with respect to the Securities of such series except for those surviving obligations specified above. </w:t>
      </w:r>
    </w:p>
    <w:p>
      <w:pPr>
        <w:pStyle w:val="TextBody"/>
        <w:bidi w:val="0"/>
        <w:spacing w:before="240" w:after="0"/>
        <w:jc w:val="left"/>
        <w:rPr>
          <w:rFonts w:ascii="Times New Roman" w:hAnsi="Times New Roman"/>
          <w:sz w:val="20"/>
        </w:rPr>
      </w:pPr>
      <w:r>
        <w:rPr>
          <w:rFonts w:ascii="Times New Roman" w:hAnsi="Times New Roman"/>
          <w:sz w:val="20"/>
        </w:rPr>
        <w:t xml:space="preserve">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Company’s option. </w:t>
      </w:r>
    </w:p>
    <w:p>
      <w:pPr>
        <w:pStyle w:val="TextBody"/>
        <w:bidi w:val="0"/>
        <w:spacing w:before="240" w:after="0"/>
        <w:jc w:val="left"/>
        <w:rPr>
          <w:rFonts w:ascii="Times New Roman" w:hAnsi="Times New Roman"/>
          <w:sz w:val="20"/>
        </w:rPr>
      </w:pPr>
      <w:r>
        <w:rPr>
          <w:rFonts w:ascii="Times New Roman" w:hAnsi="Times New Roman"/>
          <w:sz w:val="20"/>
        </w:rPr>
        <w:t>(3) If the Company and the Guarantors have previously complied or are concurrently complying with Section 8.01(2) (other than any additional conditions specified pursuant to Section 2.01 that are expressly applicable only to covenant defeasance) with respect to Securities of a series, then, unless this Section 8.01(3) is specified as not being applicable to Securities of such series as contemplated by Section 2.01, the Company may elect that its and the Guarantors’ respective obligations to make payments with respect to Securities of such series be discharged (“</w:t>
      </w:r>
      <w:r>
        <w:rPr>
          <w:rFonts w:ascii="Times New Roman" w:hAnsi="Times New Roman"/>
          <w:b/>
          <w:sz w:val="20"/>
          <w:u w:val="single"/>
        </w:rPr>
        <w:t>legal defeasance</w:t>
      </w:r>
      <w:r>
        <w:rPr>
          <w:rFonts w:ascii="Times New Roman" w:hAnsi="Times New Roman"/>
          <w:sz w:val="20"/>
        </w:rPr>
        <w:t xml:space="preserve">”), if: </w:t>
      </w:r>
    </w:p>
    <w:p>
      <w:pPr>
        <w:pStyle w:val="TextBody"/>
        <w:bidi w:val="0"/>
        <w:spacing w:before="120" w:after="0"/>
        <w:jc w:val="left"/>
        <w:rPr>
          <w:rFonts w:ascii="Times New Roman" w:hAnsi="Times New Roman"/>
          <w:sz w:val="20"/>
        </w:rPr>
      </w:pPr>
      <w:r>
        <w:rPr>
          <w:rFonts w:ascii="Times New Roman" w:hAnsi="Times New Roman"/>
          <w:sz w:val="20"/>
        </w:rPr>
        <w:t xml:space="preserve">(a) no Default or Event of Default under clauses (5) and (6) of Section 6.01 hereof shall have occurred and be continuing on the date of compliance under this Section 8.01(3);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unless otherwise specified with respect to Securities of such series as contemplated by Section 2.01, the Company has delivered to the Trustee an Opinion of Counsel from a nationally recognized counsel acceptable to the Trustee to the effect referred to in Section 8.01(2)(d) with respect to such legal defeasance, which opinion is based on (i) a private letter ruling issued by the United States Internal Revenue Service addressed to the Company, (ii) a published ruling of the United States Internal Revenue Service pertaining to a comparable form of transaction or (iii) a change in the applicable federal income tax law (including regulations) after the date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the Company and the Guarantors have complied with any other conditions specified pursuant to Section 2.01 to be applicable to the legal defeasance of Securities of such series pursuant to this Section 8.01(3); and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has delivered to the Trustee a Company Order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 </w:t>
      </w:r>
    </w:p>
    <w:p>
      <w:pPr>
        <w:pStyle w:val="TextBody"/>
        <w:bidi w:val="0"/>
        <w:spacing w:before="240" w:after="0"/>
        <w:jc w:val="left"/>
        <w:rPr>
          <w:rFonts w:ascii="Times New Roman" w:hAnsi="Times New Roman"/>
          <w:sz w:val="20"/>
        </w:rPr>
      </w:pPr>
      <w:r>
        <w:rPr>
          <w:rFonts w:ascii="Times New Roman" w:hAnsi="Times New Roman"/>
          <w:sz w:val="20"/>
        </w:rPr>
        <w:t xml:space="preserve">In such event, the Company and the Guarantors will be discharged from their respective obligations under this Indenture and the Securities of such series to pay principal of, premium (if any) and interest on, and any Additional Amounts with respect to, Securities of such series, the Company’s and the Guarantors’ respective obligations under Sections 4.01, 4.02 and 10.01 shall terminate with respect to such Securities, and the entire indebtedness of the Company evidenced by such Securities and of the Guarantors evidenced by the related Guarantees, if any, shall be deemed paid and discharged. </w:t>
      </w:r>
    </w:p>
    <w:p>
      <w:pPr>
        <w:pStyle w:val="TextBody"/>
        <w:bidi w:val="0"/>
        <w:spacing w:before="240" w:after="0"/>
        <w:jc w:val="left"/>
        <w:rPr>
          <w:rFonts w:ascii="Times New Roman" w:hAnsi="Times New Roman"/>
          <w:sz w:val="20"/>
        </w:rPr>
      </w:pPr>
      <w:r>
        <w:rPr>
          <w:rFonts w:ascii="Times New Roman" w:hAnsi="Times New Roman"/>
          <w:sz w:val="20"/>
        </w:rPr>
        <w:t xml:space="preserve">(4) If and to the extent additional or alternative means of satisfaction, discharge or defeasance of Securities of a series are specified to be applicable to such series as contemplated by Section 2.01, the Company and each of the Guarantors may terminate any or all of its obligations under this Indenture with respect to Securities of a series and any or all of its obligations under the Securities of such series if it fulfills such other means of satisfaction and discharge as may be so specified, as contemplated by Section 2.01, to be applicable to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(5) If Securities of any series subject to subsection (1), (2), (3) or (4) of this Section 8.01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Application of Trust Money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 trustee satisfactory to the Trustee and the Company shall hold in trust money or Government Obligations deposited with it pursuant to Section 8.01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Repayment to Company or Guarantor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and the Paying Agent shall promptly pay to the Company or any Guarantor any excess money or Government Obligations (or proceeds therefrom) held by them at any time upon the written request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any applicable abandoned property laws, the Trustee and the Paying Agent shall pay to the Company upon written request any money held by them for the payment of principal, premium (if any), interest or any Additional Amounts that remain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the Paying Agent is unable to apply any money or Government Obligations deposited with respect to Securities of any series in accordance with Section 8.01 by reason of any legal proceeding or by reason of any order or judgment of any court or governmental authority enjoining, restraining or otherwise prohibiting such application, the obligations of the Company and the Guarantors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or Government Obligations in accordance with Section 8.01; provided, however, that if the Company or any Guarantor has made any payment of principal of, premium (if any) or interest on or any Additional Amounts with respect to any Securities because of the reinstatement of its obligations, the Company or such Guarantor, as the case may be, shall be subrogated to the rights of the Holders of such Securities to receive such payment from the money or Government Obligations held by the Trustee or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Government Obligations deposited pursuant to Section 8.01 or the principal and interest received in respect thereof other than any such tax, fee or other charge which by law is for the account of the Holders of outstanding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Supplemental Indentures and Amendments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Guarantors and the Trustee may amend or supplement this Indenture or the Securities or waive any provision hereof or thereof without the consent of any Holder: </w:t>
      </w:r>
    </w:p>
    <w:p>
      <w:pPr>
        <w:pStyle w:val="TextBody"/>
        <w:bidi w:val="0"/>
        <w:spacing w:before="120" w:after="0"/>
        <w:jc w:val="left"/>
        <w:rPr>
          <w:rFonts w:ascii="Times New Roman" w:hAnsi="Times New Roman"/>
          <w:sz w:val="20"/>
        </w:rPr>
      </w:pPr>
      <w:r>
        <w:rPr>
          <w:rFonts w:ascii="Times New Roman" w:hAnsi="Times New Roman"/>
          <w:sz w:val="20"/>
        </w:rPr>
        <w:t xml:space="preserve">(1) to cure any ambiguity, omission,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(2) to comply with Section 5.01;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to provide for uncertificated Securities in addition to or in place of certificated Securities, or to provide for the issuance of bearer Securities (with or without coupons); </w:t>
      </w:r>
    </w:p>
    <w:p>
      <w:pPr>
        <w:pStyle w:val="TextBody"/>
        <w:bidi w:val="0"/>
        <w:spacing w:before="240" w:after="0"/>
        <w:jc w:val="left"/>
        <w:rPr>
          <w:rFonts w:ascii="Times New Roman" w:hAnsi="Times New Roman"/>
          <w:sz w:val="20"/>
        </w:rPr>
      </w:pPr>
      <w:r>
        <w:rPr>
          <w:rFonts w:ascii="Times New Roman" w:hAnsi="Times New Roman"/>
          <w:sz w:val="20"/>
        </w:rPr>
        <w:t xml:space="preserve">(4) to provide any security for, or to add any guarantees of or additional obligors on, any series of Securities or the related Guarantees, if any; </w:t>
      </w:r>
    </w:p>
    <w:p>
      <w:pPr>
        <w:pStyle w:val="TextBody"/>
        <w:bidi w:val="0"/>
        <w:spacing w:before="240" w:after="0"/>
        <w:jc w:val="left"/>
        <w:rPr>
          <w:rFonts w:ascii="Times New Roman" w:hAnsi="Times New Roman"/>
          <w:sz w:val="20"/>
        </w:rPr>
      </w:pPr>
      <w:r>
        <w:rPr>
          <w:rFonts w:ascii="Times New Roman" w:hAnsi="Times New Roman"/>
          <w:sz w:val="20"/>
        </w:rPr>
        <w:t xml:space="preserve">(5) to comply with any requirement in order to effect or maintain the qualification of this Indenture under the TIA; </w:t>
      </w:r>
    </w:p>
    <w:p>
      <w:pPr>
        <w:pStyle w:val="TextBody"/>
        <w:bidi w:val="0"/>
        <w:spacing w:before="240" w:after="0"/>
        <w:jc w:val="left"/>
        <w:rPr>
          <w:rFonts w:ascii="Times New Roman" w:hAnsi="Times New Roman"/>
          <w:sz w:val="20"/>
        </w:rPr>
      </w:pPr>
      <w:r>
        <w:rPr>
          <w:rFonts w:ascii="Times New Roman" w:hAnsi="Times New Roman"/>
          <w:sz w:val="20"/>
        </w:rPr>
        <w:t xml:space="preserve">(6) to add to the covenants of the Company or any Guarantor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any Guarantor; </w:t>
      </w:r>
    </w:p>
    <w:p>
      <w:pPr>
        <w:pStyle w:val="TextBody"/>
        <w:bidi w:val="0"/>
        <w:spacing w:before="240" w:after="0"/>
        <w:jc w:val="left"/>
        <w:rPr>
          <w:rFonts w:ascii="Times New Roman" w:hAnsi="Times New Roman"/>
          <w:sz w:val="20"/>
        </w:rPr>
      </w:pPr>
      <w:r>
        <w:rPr>
          <w:rFonts w:ascii="Times New Roman" w:hAnsi="Times New Roman"/>
          <w:sz w:val="20"/>
        </w:rPr>
        <w:t xml:space="preserve">(7) to add any additional Events of Default with respect to all or any series of the Securities (and, if any such Event of Default is applicable to less than all series of Securities, specifying the series to which such Event of Default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(8) to change or eliminate any of the provisions of this Indenture; provided that any such change or elimination shall become effective only when there is no outstanding Security of any series created prior to the execution of such amendment or supplemental indenture that is adversely affected in any material respect by such change in or elimination of such provision; provided, further, that any change made solely to conform the provisions of this Indenture to the description of any Security in a prospectus supplement pursuant to which such Securities were offered and sold will not be deemed to adversely affect any Security of that series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(9) to establish the form or terms of Securities of any series as permitted by Section 2.01; </w:t>
      </w:r>
    </w:p>
    <w:p>
      <w:pPr>
        <w:pStyle w:val="TextBody"/>
        <w:bidi w:val="0"/>
        <w:spacing w:before="240" w:after="0"/>
        <w:jc w:val="left"/>
        <w:rPr>
          <w:rFonts w:ascii="Times New Roman" w:hAnsi="Times New Roman"/>
          <w:sz w:val="20"/>
        </w:rPr>
      </w:pPr>
      <w:r>
        <w:rPr>
          <w:rFonts w:ascii="Times New Roman" w:hAnsi="Times New Roman"/>
          <w:sz w:val="20"/>
        </w:rPr>
        <w:t xml:space="preserve">(10) to supplement any of the provisions of this Indenture to such extent as shall be necessary to permit or facilitate the defeasance and discharge of any series of Securities pursuant to Section 8.01; provided, however, that any such action shall not adversely affect the interest of the Holders of Securities of such series or any other series of Securities in any material respect; or </w:t>
      </w:r>
    </w:p>
    <w:p>
      <w:pPr>
        <w:pStyle w:val="TextBody"/>
        <w:bidi w:val="0"/>
        <w:spacing w:before="240" w:after="0"/>
        <w:jc w:val="left"/>
        <w:rPr>
          <w:rFonts w:ascii="Times New Roman" w:hAnsi="Times New Roman"/>
          <w:sz w:val="20"/>
        </w:rPr>
      </w:pPr>
      <w:r>
        <w:rPr>
          <w:rFonts w:ascii="Times New Roman" w:hAnsi="Times New Roman"/>
          <w:sz w:val="20"/>
        </w:rPr>
        <w:t xml:space="preserve">(11)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7.08.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a Board Resolution, and upon receipt by the Trustee of the documents described in Section 9.06, the Trustee shall, subject to Section 9.06, join with the Company and the Guarantors in the execution of any supplemental indenture authorized or permitted by the terms of this Indenture and make any further appropriate agreements and stipulations that may be therein contained.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Section 9.01, it shall not be necessary for any Guarantor to join with the Company and the Trustee in the execution of any supplemental indenture authorized or permitted by the terms of this Indenture unless such supplemental indenture applies to a series of Securities entitled to the benefit of a Guarantee by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below in this Section 9.02, the Company, the Guarantors and the Trustee may amend or supplement this Indenture with the written consent (including consents obtained in connection with a tender offer or exchange offer for Securities of any one or more series or all series or a solicitation of consents in respect of Securities of any one or more series or all series of the Holders of at least a majority in aggregate principal amount of the then outstanding Securities of each series affected by such amendment or supplement (acting as one class)).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a Board Resolution, and upon the filing with the Trustee of evidence of the consent of the Holders as aforesaid, and upon receipt by the Trustee of the documents described in Section 9.06, the Trustee shall, subject to Section 9.06, join with the Company and the Guarantors in the execution of such amendment or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under this Section 9.02 to approve the particular form of any proposed amendment, supplement or waiver, but it shall be sufficient if such consent approves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then outstanding Securities of one or more series or of all series (acting as one class) may waive compliance in a particular instance by the Company or any Guarantor with any provision of this Indenture with respect to Securities of such series (including waivers obtained in connection with a tender offer or exchange offer for Securities of such series or a solicitation of consents in respect of Securities of such series, provided that in each case such offer or solicitation is made to all Holders of then outstanding Securities of such series (but the terms of such offer or solicitation may vary from series to series)). </w:t>
      </w:r>
    </w:p>
    <w:p>
      <w:pPr>
        <w:pStyle w:val="TextBody"/>
        <w:bidi w:val="0"/>
        <w:spacing w:before="240" w:after="0"/>
        <w:jc w:val="left"/>
        <w:rPr>
          <w:rFonts w:ascii="Times New Roman" w:hAnsi="Times New Roman"/>
          <w:sz w:val="20"/>
        </w:rPr>
      </w:pPr>
      <w:r>
        <w:rPr>
          <w:rFonts w:ascii="Times New Roman" w:hAnsi="Times New Roman"/>
          <w:sz w:val="20"/>
        </w:rPr>
        <w:t xml:space="preserve">However, without the consent of each Holder affected, an amendment, supplement or waiver under this Section 9.02 may not: </w:t>
      </w:r>
    </w:p>
    <w:p>
      <w:pPr>
        <w:pStyle w:val="TextBody"/>
        <w:bidi w:val="0"/>
        <w:spacing w:before="120" w:after="0"/>
        <w:jc w:val="left"/>
        <w:rPr>
          <w:rFonts w:ascii="Times New Roman" w:hAnsi="Times New Roman"/>
          <w:sz w:val="20"/>
        </w:rPr>
      </w:pPr>
      <w:r>
        <w:rPr>
          <w:rFonts w:ascii="Times New Roman" w:hAnsi="Times New Roman"/>
          <w:sz w:val="20"/>
        </w:rPr>
        <w:t xml:space="preserve">(1) reduce the percentage in payment amount of Securities whose Holders must consent to an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(2) reduce the rate of or change the time for payment of interest, including default interest, on any Security; </w:t>
      </w:r>
    </w:p>
    <w:p>
      <w:pPr>
        <w:pStyle w:val="TextBody"/>
        <w:bidi w:val="0"/>
        <w:spacing w:before="240" w:after="0"/>
        <w:jc w:val="left"/>
        <w:rPr>
          <w:rFonts w:ascii="Times New Roman" w:hAnsi="Times New Roman"/>
          <w:sz w:val="20"/>
        </w:rPr>
      </w:pPr>
      <w:r>
        <w:rPr>
          <w:rFonts w:ascii="Times New Roman" w:hAnsi="Times New Roman"/>
          <w:sz w:val="20"/>
        </w:rPr>
        <w:t xml:space="preserve">(3) reduce the principal of, any premium on or any mandatory sinking fund payment with respect to, or change the Stated Maturity of, any Security or reduce the amount of the principal of an Original Issue Discount Security that would be due and payable upon a declaration of acceleration of the Maturity thereof pursuant to Section 6.02; </w:t>
      </w:r>
    </w:p>
    <w:p>
      <w:pPr>
        <w:pStyle w:val="TextBody"/>
        <w:bidi w:val="0"/>
        <w:spacing w:before="240" w:after="0"/>
        <w:jc w:val="left"/>
        <w:rPr>
          <w:rFonts w:ascii="Times New Roman" w:hAnsi="Times New Roman"/>
          <w:sz w:val="20"/>
        </w:rPr>
      </w:pPr>
      <w:r>
        <w:rPr>
          <w:rFonts w:ascii="Times New Roman" w:hAnsi="Times New Roman"/>
          <w:sz w:val="20"/>
        </w:rPr>
        <w:t xml:space="preserve">(4) waive a redemption premium with respect to any Security or change the time at which any Security may or shall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change any obligation of the Company or any Guarantor to pay Additional Amounts with respect to any Security; </w:t>
      </w:r>
    </w:p>
    <w:p>
      <w:pPr>
        <w:pStyle w:val="TextBody"/>
        <w:bidi w:val="0"/>
        <w:spacing w:before="240" w:after="0"/>
        <w:jc w:val="left"/>
        <w:rPr>
          <w:rFonts w:ascii="Times New Roman" w:hAnsi="Times New Roman"/>
          <w:sz w:val="20"/>
        </w:rPr>
      </w:pPr>
      <w:r>
        <w:rPr>
          <w:rFonts w:ascii="Times New Roman" w:hAnsi="Times New Roman"/>
          <w:sz w:val="20"/>
        </w:rPr>
        <w:t xml:space="preserve">(6) impair the right to institute suit for the enforcement of any payment of principal of, premium (if any) or interest on or any Additional Amounts with respect to any Security pursuant to Sections 6.07 and 6.08, except as limited by Section 6.06; </w:t>
      </w:r>
    </w:p>
    <w:p>
      <w:pPr>
        <w:pStyle w:val="TextBody"/>
        <w:bidi w:val="0"/>
        <w:spacing w:before="240" w:after="0"/>
        <w:jc w:val="left"/>
        <w:rPr>
          <w:rFonts w:ascii="Times New Roman" w:hAnsi="Times New Roman"/>
          <w:sz w:val="20"/>
        </w:rPr>
      </w:pPr>
      <w:r>
        <w:rPr>
          <w:rFonts w:ascii="Times New Roman" w:hAnsi="Times New Roman"/>
          <w:sz w:val="20"/>
        </w:rPr>
        <w:t xml:space="preserve">(7) make any change in the percentage of principal amount of Securities necessary to waive compliance with certain provisions of this Indenture pursuant to Section 6.04 or 6.07 or make any change in this sentence of Section 9.02; </w:t>
      </w:r>
    </w:p>
    <w:p>
      <w:pPr>
        <w:pStyle w:val="TextBody"/>
        <w:bidi w:val="0"/>
        <w:spacing w:before="240" w:after="0"/>
        <w:jc w:val="left"/>
        <w:rPr>
          <w:rFonts w:ascii="Times New Roman" w:hAnsi="Times New Roman"/>
          <w:sz w:val="20"/>
        </w:rPr>
      </w:pPr>
      <w:r>
        <w:rPr>
          <w:rFonts w:ascii="Times New Roman" w:hAnsi="Times New Roman"/>
          <w:sz w:val="20"/>
        </w:rPr>
        <w:t xml:space="preserve">(8) waive a continuing Default or Event of Default in the payment of principal of, premium (if any) or interest on or Additional Amounts with respect to the Securities (except rescission of acceleration as permitted in this Indenture); or </w:t>
      </w:r>
    </w:p>
    <w:p>
      <w:pPr>
        <w:pStyle w:val="TextBody"/>
        <w:bidi w:val="0"/>
        <w:spacing w:before="240" w:after="0"/>
        <w:jc w:val="left"/>
        <w:rPr>
          <w:rFonts w:ascii="Times New Roman" w:hAnsi="Times New Roman"/>
          <w:sz w:val="20"/>
        </w:rPr>
      </w:pPr>
      <w:r>
        <w:rPr>
          <w:rFonts w:ascii="Times New Roman" w:hAnsi="Times New Roman"/>
          <w:sz w:val="20"/>
        </w:rPr>
        <w:t xml:space="preserve">(9) except as provided in Article VIII or Section 10.04, release any Guarantor or modify the related Guarantee in any manner materially adverse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that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The right of any Holder to participate in any consent required or sought pursuant to any provision of this Indenture (and the obligation of the Company or any Guarantor to obtain any such consent otherwise required from such Holder) may be subject to the requirement that such Holder shall have been the Holder of record of any Securities with respect to which such consent is required or sought as of a date identified by the Company or such Guarantor in a notice furnished to Holders in accordance with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under this Section 9.02 becomes effective, the Company shall mail to the Holders of each Security affected thereby a notice briefly describing the amendment, supplement or waiver. Any failure of the Company to mail such notice, or any defect therein, shall not, however, in any way impair or affect the validity of any such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Section 9.02, it shall not be necessary for any Guarantor to join with the Company and the Trustee in the execution of any supplemental indenture authorized or permitted by the terms of this Indenture unless such supplemental indenture applies to a series of Securities entitled to the benefit of a Guarantee by such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Compliance with the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amendment or supplement to this Indenture or the Securities shall comply in form and substance with the TIA as then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or her Security or portion of a Security if the Trustee receives written notice of revocation before a date and time therefor identified by the Company or any Guarantor in a notice furnished to such Holder in accordance with the terms of this Indenture or, if no such date and time shall be identified, the date the amendment, supplement or waiver becomes effective. An amendment, supplement or waiver becomes effective in accordance with its terms and thereafter binds every Holder.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any Guarantor may, but shall not be obligated to, fix a record date (which need not comply with TIA § 316(c)) for the purpose of determining the Holders entitled to consent to any amendment, supplement or waiver or to take any other action under this Indenture. If a record date is fixed, then notwithstanding the provisions of the immediately preceding paragraph,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consent shall be valid or effective for more than 90 days after such record date unless consents from Holders of the principal amount of Securities required hereunder for such amendment or waiver to be effective shall have also been given and not revoked within such 90-day period. </w:t>
      </w:r>
    </w:p>
    <w:p>
      <w:pPr>
        <w:pStyle w:val="TextBody"/>
        <w:bidi w:val="0"/>
        <w:spacing w:before="240" w:after="0"/>
        <w:jc w:val="left"/>
        <w:rPr>
          <w:rFonts w:ascii="Times New Roman" w:hAnsi="Times New Roman"/>
          <w:sz w:val="20"/>
        </w:rPr>
      </w:pPr>
      <w:r>
        <w:rPr>
          <w:rFonts w:ascii="Times New Roman" w:hAnsi="Times New Roman"/>
          <w:sz w:val="20"/>
        </w:rPr>
        <w:t xml:space="preserve">After an amendment, supplement or waiver becomes effective, it shall bind every Holder, unless it is of the type described in any of clauses (1) through (8) of Section 9.02 hereof. In such case, the amendment, supplement or waiver shall bind each Holder who has consented to it and every subsequent Holder of a Security that evidences all or a portion of the same debt as the consenting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Notation on or Exchange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amendment or supplement changes the terms of an outstanding Security, the Company may require the Holder of the Security to deliver it to the Trustee. The Trustee may place an appropriate notation on the Security at the request of the Company regarding the changed terms and return it to the Holder. Alternatively, if the Company so determines, the Company in exchange for the Security shall issue, each Guarantor with respect to such series shall execute the Notation of Guarantee relating to such Security, if any, and the Trustee shall authenticate a new Security that reflects the changed terms. Failure to make the appropriate notation or to issue a new Security shall not affect the validity of such amendment or supplement.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authenticated and delivered after the execution of any amendment or supplement may, and shall if required by the Trustee, bear a notation in form approved by the Trustee as to any matter provided for in such amendment or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Trustee to Sign Amendments,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sign any amendment or supplement authorized pursuant to this Article if the amendment or supplement does not adversely affect the rights, duties, liabilities or immunities of the Trustee. If it does, the Trustee may, but need not, sign it. In signing or refusing to sign such amendment or supplement, the Trustee shall be entitled to receive, and, subject to Section 7.01 hereof, shall be fully protected in relying upon, in good faith, an Officers’ Certificate and an Opinion of Counsel provided at the expense of the Company or a Guarantor as conclusive evidence that such amendment or supplement is authorized or permitted by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Notwithstanding any provision of this Article X to the contrary, the provisions of this Article X relating to the Guarantors shall be applicable only to, and inure solely to the benefit of, the Securities of any series designated, pursuant to Section 2.01, as entitled to the benefits of the related Guarantee of each of the Guarantors. </w:t>
      </w:r>
    </w:p>
    <w:p>
      <w:pPr>
        <w:pStyle w:val="TextBody"/>
        <w:bidi w:val="0"/>
        <w:spacing w:before="240" w:after="0"/>
        <w:jc w:val="left"/>
        <w:rPr>
          <w:rFonts w:ascii="Times New Roman" w:hAnsi="Times New Roman"/>
          <w:sz w:val="20"/>
        </w:rPr>
      </w:pPr>
      <w:r>
        <w:rPr>
          <w:rFonts w:ascii="Times New Roman" w:hAnsi="Times New Roman"/>
          <w:sz w:val="20"/>
        </w:rPr>
        <w:t>(2) For value received, each of the Guarantors hereby fully, unconditionally and absolutely guarantees (each, a “</w:t>
      </w:r>
      <w:r>
        <w:rPr>
          <w:rFonts w:ascii="Times New Roman" w:hAnsi="Times New Roman"/>
          <w:b/>
          <w:sz w:val="20"/>
          <w:u w:val="single"/>
        </w:rPr>
        <w:t>Guarantee</w:t>
      </w:r>
      <w:r>
        <w:rPr>
          <w:rFonts w:ascii="Times New Roman" w:hAnsi="Times New Roman"/>
          <w:sz w:val="20"/>
        </w:rPr>
        <w:t xml:space="preserve">”) to the Holders and to the Trustee the due and punctual payment of the principal of, and premium, if any, and interest on the Securities and all other amounts due and payable under this Indenture and the Securities by the Company, when and as such principal, premium, if any, and interest shall become due and payable, whether at the Stated Maturity or by declaration of acceleration, call for redemption or otherwise, according to the terms of the Securities and this Indenture, subject to the limitations set forth in Section 10.03. </w:t>
      </w:r>
    </w:p>
    <w:p>
      <w:pPr>
        <w:pStyle w:val="TextBody"/>
        <w:bidi w:val="0"/>
        <w:spacing w:before="240" w:after="0"/>
        <w:jc w:val="left"/>
        <w:rPr>
          <w:rFonts w:ascii="Times New Roman" w:hAnsi="Times New Roman"/>
          <w:sz w:val="20"/>
        </w:rPr>
      </w:pPr>
      <w:r>
        <w:rPr>
          <w:rFonts w:ascii="Times New Roman" w:hAnsi="Times New Roman"/>
          <w:sz w:val="20"/>
        </w:rPr>
        <w:t xml:space="preserve">(3) Failing payment when due of any amount guaranteed pursuant to the related Guarantee, for whatever reason, each of the Guarantors will be jointly and severally obligated to pay the same immediately. Each of the Guarantees hereunder is intended to be a general, unsecured, senior obligation of the related Guarantor and will rank pari passu in right of payment with all general unsecured Debt of such Guarantor that is not, by its terms, expressly subordinated in right of payment to such Guarantee. Each of the Guarantors hereby agrees that its obligations hereunder shall be full, unconditional and absolute, irrespective of the validity, regularity or enforceability of the Securities or this Indenture, the absence of any action to enforce the same, any waiver or consent by any Holder of the Securities with respect to any provisions hereof or thereof, the recovery of any judgment against the Company or any Guarantor, or any action to enforce the same or any other circumstances which might otherwise constitute a legal or equitable discharge or defense of the Guarantors. Each of the Guarantors hereby agrees that in the event of a default in payment of the principal of, or premium, if any, or interest on the Securities of such series, whether at the Stated Maturity or by declaration of acceleration, call for redemption or otherwise, legal proceedings may be instituted by the Trustee on behalf of the Holders or, subject to Section 6.06, by the Holders, on the terms and conditions set forth in this Indenture, directly against such Guarantor to enforce such Guarantee without first proceeding against the Company or any other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obligations of each of the Guarantors under this Article X shall be as aforesaid full, unconditional and absolute and shall not be impaired, modified, released or limited by any occurrence or condition whatsoever, including, without limitation, (i) any compromise, settlement, release, waiver, renewal, extension, indulgence or modification of, or any change in, any of the obligations and liabilities of the Company or any of the Guarantors contained in the Securities or this Indenture, (ii) any impairment, modification, release or limitation of the liability of the Company, any of the Guarantors or any of their estates in bankruptcy, or any remedy for the enforcement thereof, resulting from the operation of any present or future provision of any applicable Bankruptcy Law, as amended, or other statute or from the decision of any court, (iii) the assertion or exercise by the Company, any of the Guarantors or the Trustee of any rights or remedies under the Securities or this Indenture or their delay in or failure to assert or exercise any such rights or remedies, (iv) the assignment or the purported assignment of any property as security for the Securities, including all or any part of the rights of the Company or any of the Guarantors under this Indenture, (v) the extension of the time for payment by the Company or any of the Guarantors of any payments or other sums or any part thereof owing or payable under any of the terms and provisions of the Securities or this Indenture or of the time for performance by the Company or any of the Guarantors of any other obligations under or arising out of any such terms and provisions or the extension or the renewal of any thereof, (vi) the modification or amendment (whether material or otherwise) of any duty, agreement or obligation of the Company or any of the Guarantors set forth in this Indenture, (vii) 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Company or any of the Guarantors or any of their respective assets, or the disaffirmance of the Securities, the Guarantee or this Indenture in any such proceeding, (viii) the release or discharge of the Company or any of the Guarantors from the performance or observance of any agreement, covenant, term or condition contained in any of such instruments by operation of law, (ix) the unenforceability of the Securities of such series, the related Guarantees or this Indenture or (x) any other circumstances (other than payment in full or discharge of all amounts guaranteed pursuant to the related Guarantees) which might otherwise constitute a legal or equitable discharge of a surety or guarantor. </w:t>
      </w:r>
    </w:p>
    <w:p>
      <w:pPr>
        <w:pStyle w:val="TextBody"/>
        <w:bidi w:val="0"/>
        <w:spacing w:before="240" w:after="0"/>
        <w:jc w:val="left"/>
        <w:rPr>
          <w:rFonts w:ascii="Times New Roman" w:hAnsi="Times New Roman"/>
          <w:sz w:val="20"/>
        </w:rPr>
      </w:pPr>
      <w:r>
        <w:rPr>
          <w:rFonts w:ascii="Times New Roman" w:hAnsi="Times New Roman"/>
          <w:sz w:val="20"/>
        </w:rPr>
        <w:t xml:space="preserve">(5) Each of the Guarantors hereby (i) waives diligence, presentment, demand of payment, filing of claims with a court in the event of the merger, insolvency or bankruptcy of the Company or any of the Guarantors, and all demands whatsoever, (ii) acknowledges that any agreement, instrument or document evidencing its Guarantee may be transferred and that the benefit of its obligations hereunder shall extend to each holder of any agreement, instrument or document evidencing its Guarantee without notice to it and (iii) covenants that its Guarantee will not be discharged except by complete performance of such Guarantee.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Company or any of the Guarantors, such Guarantee shall, to the extent that such payment is or must be rescinded or returned, be deemed to have continued in existence notwithstanding such application, and such Guarantee shall continue to be effective or be reinstated, as the case may be, as though such application had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Each of the Guarantors shall be subrogated to all rights of the Holders and the Trustee against the Company in respect of any amounts paid by such Guarantor pursuant to the provisions of this Indenture; provided, however, that such Guarantor, shall not be entitled to enforce or to receive any payments arising out of, or based upon, such right of subrogation until all of the Securities of such series and the related Guarantees shall have been paid in full or discharged.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Execution and Delivery of 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further evidence its Guarantee set forth in Section 10.01, each of the Guarantors hereby agrees that a notation relating to such Guarantee (the “</w:t>
      </w:r>
      <w:r>
        <w:rPr>
          <w:rFonts w:ascii="Times New Roman" w:hAnsi="Times New Roman"/>
          <w:b/>
          <w:sz w:val="20"/>
          <w:u w:val="single"/>
        </w:rPr>
        <w:t>Notation of Guarantee</w:t>
      </w:r>
      <w:r>
        <w:rPr>
          <w:rFonts w:ascii="Times New Roman" w:hAnsi="Times New Roman"/>
          <w:sz w:val="20"/>
        </w:rPr>
        <w:t xml:space="preserve">”), substantially in the form attached hereto as Annex A, shall be endorsed on each Security of the series entitled to the benefits of such Guarantee authenticated and delivered by the Trustee, which Notation of Guarantee shall be executed by either manual or facsimile signature of an Officer of such Guarantor. Each of the Guarantors hereby agrees that its Guarantee set forth in Section 10.01 shall remain in full force and effect notwithstanding any failure to endorse on each Security the Notation of Guarantee relating to such Guarantee. If any Officer of such Guarantor, whose signature is on this Indenture or the Notation of Guarantee no longer holds that office at the time the Trustee authenticates such Security or at any time thereafter, the Guarantee of such Security shall be valid nevertheless. The delivery of any Security of a series entitled to the benefits of a Guarantee under this Article X by the Trustee, after the authentication thereof hereunder, shall constitute due delivery of the Guarantee set forth in this Indenture on behalf of each Guarantor. </w:t>
      </w:r>
    </w:p>
    <w:p>
      <w:pPr>
        <w:pStyle w:val="TextBody"/>
        <w:bidi w:val="0"/>
        <w:spacing w:before="240" w:after="0"/>
        <w:jc w:val="left"/>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Limitation on Liability of the Guarantors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and by its acceptance hereof each Holder of a Security of a series entitled to the benefits of a Guarantee under this Article X hereby confirms that it is the intention of all such parties that the guarantee by such Guarantor pursuant to its Guarantee not constitute a fraudulent transfer or conveyance for purposes of any federal or state law to the extent applicable to its Guarantee. To effectuate the foregoing intention, the Holders of a Security entitled to the benefits of such Guarantee and the Guarantors hereby irrevocably agree that the obligations of each Guarantor under its Guarantee shall be limited to the maximum amount as will, after giving effect to all other contingent and fixed liabilities of such Guarantor and to any collections from or payments made by or on behalf of any other Guarantor in respect of the obligations of such other Guarantor under its Guarantee, result in the obligations of such Guarantor under its Guarantee not constituting a fraudulent conveyance or fraudulent transfer under federal or state law. </w:t>
      </w:r>
    </w:p>
    <w:p>
      <w:pPr>
        <w:pStyle w:val="TextBody"/>
        <w:bidi w:val="0"/>
        <w:spacing w:before="240" w:after="0"/>
        <w:jc w:val="left"/>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Release of Guarantors from 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Notwithstanding any other provisions of this Indenture, the Guarantee of any Guarantor may be released upon the terms and subject to the conditions set forth in Article VIII and this Section 10.04. Provided that no Default shall have occurred and shall be continuing under this Indenture, any Guarantee incurred by a Guarantor pursuant to this Article X shall be unconditionally released and discharged (i) automatically upon (A) any sale, exchange, transfer or other disposition, whether by way of merger, consolidation or otherwise, to any Person that is not the Company or a Subsidiary of the Company, of all of the Company’s direct or indirect equity interests in such Guarantor and such Guarantor no longer qualifies as a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a result of such disposition (provided such sale, exchange or transfer is not prohibited by this Indenture) or (B) the merger of such Guarantor into the Company or any other Guarantor or the liquidation and dissolution of such Guarantor (in each case to the extent not prohibited by this Indenture) or (ii) following delivery of a written notice of such release or discharge by the Company to the Trustee, upon the release or discharge of all guarantees by such Guarantor of any Debt of the Company other than obligations arising under this Indenture and any Securities issued hereunder, except a discharge or release by or as a result of payment under such guarantees. </w:t>
      </w:r>
    </w:p>
    <w:p>
      <w:pPr>
        <w:pStyle w:val="TextBody"/>
        <w:bidi w:val="0"/>
        <w:spacing w:before="240" w:after="0"/>
        <w:jc w:val="left"/>
        <w:rPr>
          <w:rFonts w:ascii="Times New Roman" w:hAnsi="Times New Roman"/>
          <w:sz w:val="20"/>
        </w:rPr>
      </w:pPr>
      <w:r>
        <w:rPr>
          <w:rFonts w:ascii="Times New Roman" w:hAnsi="Times New Roman"/>
          <w:sz w:val="20"/>
        </w:rPr>
        <w:t xml:space="preserve">(2) The Trustee shall deliver an appropriate instrument evidencing any release of a Guarantor from its Guarantee upon receipt of a written request of the Company accompanied by an Officers’ Certificate and an Opinion of Counsel to the effect that the Guarantor is entitled to such release in accordance with the provisions of this Indenture. If the Guarantor is not so released, it shall remain liable for the full amount of principal of (and premium, if any, on) and interest on the Securities entitled to the benefits of such Guarantee as provided in this Indenture, subject to the limitations of Section 10.03. </w:t>
      </w:r>
    </w:p>
    <w:p>
      <w:pPr>
        <w:pStyle w:val="TextBody"/>
        <w:bidi w:val="0"/>
        <w:spacing w:before="240" w:after="0"/>
        <w:jc w:val="left"/>
        <w:rPr>
          <w:rFonts w:ascii="Times New Roman" w:hAnsi="Times New Roman"/>
          <w:sz w:val="20"/>
        </w:rPr>
      </w:pPr>
      <w:r>
        <w:rPr>
          <w:rFonts w:ascii="Times New Roman" w:hAnsi="Times New Roman"/>
          <w:sz w:val="20"/>
        </w:rPr>
        <w:t xml:space="preserve">(3) At such time as such Guarantor does not Guarantee any Debt of the Company or any other Guarantor under a debt facility (other than the Notes) with banks, institutional lenders or investors. </w:t>
      </w:r>
    </w:p>
    <w:p>
      <w:pPr>
        <w:pStyle w:val="TextBody"/>
        <w:bidi w:val="0"/>
        <w:spacing w:before="240" w:after="0"/>
        <w:jc w:val="left"/>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order to provide for just and equitable contribution among the Guarantors, the Guarantors hereby agree, inter se, that in the event any payment or distribution is made by any Guarantor (a “</w:t>
      </w:r>
      <w:r>
        <w:rPr>
          <w:rFonts w:ascii="Times New Roman" w:hAnsi="Times New Roman"/>
          <w:b/>
          <w:sz w:val="20"/>
          <w:u w:val="single"/>
        </w:rPr>
        <w:t>Funding Guarantor</w:t>
      </w:r>
      <w:r>
        <w:rPr>
          <w:rFonts w:ascii="Times New Roman" w:hAnsi="Times New Roman"/>
          <w:sz w:val="20"/>
        </w:rPr>
        <w:t xml:space="preserve">”) under its Guarantee, such Funding Guarantor shall be entitled to a contribution from each other Guarantor (as applicable) in a pro rata amount based on the net assets of each Guarantor (including the Funding Guarantor) for all payments, damages and expenses incurred by that Funding Guarantor in discharging the Company’s obligations with respect to the Securities of a series entitled to the benefits of a Guarantee under this Article X or any other Guarantor’s obligations with respect to its Guarantee of such series of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Trust Indenture Act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Indenture limits, qualifies or conflicts with the duties imposed by operation of TIA § 318(c), the imposed duties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by the Company, any Guarantor or the Trustee to the others is duly given if in writing and delivered in person or mailed by first-class mail (registered or certified, return receipt requested), electronic image scan, facsimile or overnight air courier guaranteeing next day delivery, to the other’s address: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or any of the Guarantors: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KLX Energy Services Holdings, Inc. </w:t>
      </w:r>
    </w:p>
    <w:p>
      <w:pPr>
        <w:pStyle w:val="TextBody"/>
        <w:bidi w:val="0"/>
        <w:spacing w:before="0" w:after="0"/>
        <w:jc w:val="left"/>
        <w:rPr>
          <w:rFonts w:ascii="Times New Roman" w:hAnsi="Times New Roman"/>
          <w:sz w:val="20"/>
        </w:rPr>
      </w:pPr>
      <w:r>
        <w:rPr>
          <w:rFonts w:ascii="Times New Roman" w:hAnsi="Times New Roman"/>
          <w:sz w:val="20"/>
        </w:rPr>
        <w:t xml:space="preserve">3040 Post Oak Boulevard, 15th Floor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77056 </w:t>
      </w:r>
    </w:p>
    <w:p>
      <w:pPr>
        <w:pStyle w:val="TextBody"/>
        <w:bidi w:val="0"/>
        <w:spacing w:before="0" w:after="0"/>
        <w:jc w:val="left"/>
        <w:rPr>
          <w:rFonts w:ascii="Times New Roman" w:hAnsi="Times New Roman"/>
          <w:sz w:val="20"/>
        </w:rPr>
      </w:pPr>
      <w:r>
        <w:rPr>
          <w:rFonts w:ascii="Times New Roman" w:hAnsi="Times New Roman"/>
          <w:sz w:val="20"/>
        </w:rPr>
        <w:t xml:space="preserve">Attention: Chief Financial Officer with a copy to the General Counsel </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 xml:space="preserve">The Company, any Guarantor or the Trustee by notice to the others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shall be deemed to have been duly given: at the time delivered by hand, if personally delivered; five Business Days after being deposited in the mail, postage prepaid, if mailed; when receipt acknowledged, if by facsimile or electronic image scan; and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mailed to a Holder shall be mailed by first-class mail, postage prepaid, to the Holder’s address shown on the register kept by the Registrar. Failure to mail a notice or communication to a Holder or any defect in it shall not affect its sufficiency with respect to other Holders.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given in the manner provided above within the time prescribed,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or a Guarantor mails a notice or communication to Holders, it shall mail a copy to the Company and the other Guarantors, as the case may be, and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All notices or communications, including, without limitation, notices to the Trustee, the Company or a Guarantor by Holders, shall be in writing, except as otherwise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Communication by Holders with Other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may communicate pursuant to TIA § 312(b) with other Holders with respect to their rights under this Indenture or the Securities. The Company, the Guarantors, the Trustee, the Registrar and anyone else shall have the protection of TIA § 312(c).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request or application by the Company or a Guarantor to the Trustee to take any action under this Indenture, the Company or such Guarantor, as the case may be, shall, if requested by the Trustee,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(1) an Officers’ Certificate (which shall include the statements set forth in Section 11.05) stating that, in the opinion of the signers, all conditions precedent and covenants, if any, provided for in this Indenture relating to the proposed action have been complied with;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 Opinion of Counsel (which shall include the statements set forth in Section 11.05 hereof) stating that, in the opinion of such counsel, all such conditions precedent and covenants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Statements Required in Certificate 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shall comply with the provisions of TIA § 314(e) and shall include: </w:t>
      </w:r>
    </w:p>
    <w:p>
      <w:pPr>
        <w:pStyle w:val="TextBody"/>
        <w:bidi w:val="0"/>
        <w:spacing w:before="120" w:after="0"/>
        <w:jc w:val="left"/>
        <w:rPr>
          <w:rFonts w:ascii="Times New Roman" w:hAnsi="Times New Roman"/>
          <w:sz w:val="20"/>
        </w:rPr>
      </w:pPr>
      <w:r>
        <w:rPr>
          <w:rFonts w:ascii="Times New Roman" w:hAnsi="Times New Roman"/>
          <w:sz w:val="20"/>
        </w:rPr>
        <w:t xml:space="preserve">(1) a statement that the Person making such certificate or opinion has read such covenant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(2) a brief statement as to the nature and scope of the examination or investigation upon which the statements or opinions contained in such certificate or opinion are based; </w:t>
      </w:r>
    </w:p>
    <w:p>
      <w:pPr>
        <w:pStyle w:val="TextBody"/>
        <w:bidi w:val="0"/>
        <w:spacing w:before="240" w:after="0"/>
        <w:jc w:val="left"/>
        <w:rPr>
          <w:rFonts w:ascii="Times New Roman" w:hAnsi="Times New Roman"/>
          <w:sz w:val="20"/>
        </w:rPr>
      </w:pPr>
      <w:r>
        <w:rPr>
          <w:rFonts w:ascii="Times New Roman" w:hAnsi="Times New Roman"/>
          <w:sz w:val="20"/>
        </w:rPr>
        <w:t xml:space="preserve">(3) a statement that, in the opinion of such Person, he or she has made such examination or investigation as is necessary to enable him or her to express an informed opinion as to whether or not such covenant or condition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(4)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11.06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make reasonable rules for action by or at a meeting of Holders. The Registrar or the Paying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11.07 </w:t>
      </w:r>
      <w:r>
        <w:rPr>
          <w:rFonts w:ascii="Times New Roman" w:hAnsi="Times New Roman"/>
          <w:sz w:val="20"/>
          <w:u w:val="single"/>
        </w:rPr>
        <w:t>Legal 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payment date is a Legal Holiday at a Place of Payment, payment may be made at that place on the next succeeding day that is not a Legal Holiday,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11.08 </w:t>
      </w:r>
      <w:r>
        <w:rPr>
          <w:rFonts w:ascii="Times New Roman" w:hAnsi="Times New Roman"/>
          <w:sz w:val="20"/>
          <w:u w:val="single"/>
        </w:rPr>
        <w:t>No Recourse Against Others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director, officer, manager, member, employee, stockholder, partner or other owner of the Company, a Guarantor or the Trustee, as such, shall not have any liability for any obligations of the Company under the Securities, for the obligations of any Guarantor under any Guarantee, or for any obligations of the Company, any Guarantor or the Trustee under this Indenture or for any claim based on, in respect of or by reason of such obligations or their creation. Each Holder by accepting a Security waives and releases all such liability. The waiver and release shall be part of the consideration for the issue of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11.09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THIS INDENTURE, THE SECURITIES AND THE GUARANTEES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any Guarantor or any Subsidiary of the Company.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sz w:val="20"/>
          <w:u w:val="single"/>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Company and each of the Guarantors in this Indenture and the Securities shall bind their successors. All agreements of the Trustee in this Indenture shall bind its 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Securities or in any Guarantee shall be invalid, illegal or unenforceable, the validity, legality and enforceability of the remaining provisions shall, to the fullest extent permitted by applicable law,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11.13 </w:t>
      </w:r>
      <w:r>
        <w:rPr>
          <w:rFonts w:ascii="Times New Roman" w:hAnsi="Times New Roman"/>
          <w:sz w:val="20"/>
          <w:u w:val="single"/>
        </w:rPr>
        <w:t>Counterpart Originals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may sign any number of copies of this Indenture. Each signed copy shall be an original, but all of them together represent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11.14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cross-reference table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11.15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COMPANY, THE GUARANTORS AND THE TRUSTEE HEREBY IRREVOCABLY WAIVES, TO THE FULLEST EXTENT PERMITTED BY APPLICABLE LAW, ANY AND ALL RIGHT TO TRIAL BY JURY IN ANY LEGAL PROCEEDING ARISING OUT OF OR RELATING TO THIS INDENTURE, THE SECURITIES OR THE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11.16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11.17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Company and the Guarantors agree that they will provide the Trustee with information about the Company and the Guarantors as the Trustee may reasonably request in order for the Trustee to satisfy the requirements of the USA PATRIOT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00"/>
        <w:gridCol w:w="90"/>
        <w:gridCol w:w="2492"/>
      </w:tblGrid>
      <w:tr>
        <w:trPr/>
        <w:tc>
          <w:tcPr>
            <w:tcW w:w="1500"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KLX Energy Services Holdings, Inc.</w:t>
            </w:r>
          </w:p>
        </w:tc>
      </w:tr>
      <w:tr>
        <w:trPr>
          <w:trHeight w:val="240" w:hRule="atLeast"/>
        </w:trPr>
        <w:tc>
          <w:tcPr>
            <w:tcW w:w="1500" w:type="dxa"/>
            <w:tcBorders/>
            <w:vAlign w:val="center"/>
          </w:tcPr>
          <w:p>
            <w:pPr>
              <w:pStyle w:val="TableContents"/>
              <w:bidi w:val="0"/>
              <w:spacing w:before="0" w:after="283"/>
              <w:jc w:val="left"/>
              <w:rPr>
                <w:sz w:val="4"/>
                <w:szCs w:val="4"/>
              </w:rPr>
            </w:pPr>
            <w:r>
              <w:rPr>
                <w:sz w:val="4"/>
                <w:szCs w:val="4"/>
              </w:rPr>
            </w:r>
          </w:p>
        </w:tc>
        <w:tc>
          <w:tcPr>
            <w:tcW w:w="2582" w:type="dxa"/>
            <w:gridSpan w:val="2"/>
            <w:tcBorders/>
            <w:vAlign w:val="center"/>
          </w:tcPr>
          <w:p>
            <w:pPr>
              <w:pStyle w:val="TableContents"/>
              <w:bidi w:val="0"/>
              <w:spacing w:before="0" w:after="283"/>
              <w:jc w:val="left"/>
              <w:rPr>
                <w:sz w:val="4"/>
                <w:szCs w:val="4"/>
              </w:rPr>
            </w:pPr>
            <w:r>
              <w:rPr>
                <w:sz w:val="4"/>
                <w:szCs w:val="4"/>
              </w:rPr>
            </w:r>
          </w:p>
        </w:tc>
      </w:tr>
      <w:tr>
        <w:trPr/>
        <w:tc>
          <w:tcPr>
            <w:tcW w:w="1500" w:type="dxa"/>
            <w:tcBorders/>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2492" w:type="dxa"/>
            <w:tcBorders/>
          </w:tcPr>
          <w:p>
            <w:pPr>
              <w:pStyle w:val="TableContents"/>
              <w:pBdr>
                <w:bottom w:val="single" w:sz="2" w:space="1" w:color="000000"/>
              </w:pBdr>
              <w:bidi w:val="0"/>
              <w:spacing w:before="0" w:after="20"/>
              <w:jc w:val="left"/>
              <w:rPr/>
            </w:pPr>
            <w:r>
              <w:rPr/>
              <w:t> </w:t>
            </w:r>
          </w:p>
        </w:tc>
      </w:tr>
      <w:tr>
        <w:trPr/>
        <w:tc>
          <w:tcPr>
            <w:tcW w:w="1500" w:type="dxa"/>
            <w:tcBorders/>
          </w:tcPr>
          <w:p>
            <w:pPr>
              <w:pStyle w:val="TableContents"/>
              <w:bidi w:val="0"/>
              <w:spacing w:before="0" w:after="283"/>
              <w:jc w:val="left"/>
              <w:rPr/>
            </w:pPr>
            <w:r>
              <w:rPr/>
              <w:t>Name:</w:t>
            </w:r>
          </w:p>
        </w:tc>
        <w:tc>
          <w:tcPr>
            <w:tcW w:w="90" w:type="dxa"/>
            <w:tcBorders/>
            <w:vAlign w:val="bottom"/>
          </w:tcPr>
          <w:p>
            <w:pPr>
              <w:pStyle w:val="TableContents"/>
              <w:bidi w:val="0"/>
              <w:spacing w:before="0" w:after="283"/>
              <w:jc w:val="left"/>
              <w:rPr/>
            </w:pPr>
            <w:r>
              <w:rPr/>
              <w:t> </w:t>
            </w:r>
          </w:p>
        </w:tc>
        <w:tc>
          <w:tcPr>
            <w:tcW w:w="2492" w:type="dxa"/>
            <w:tcBorders/>
          </w:tcPr>
          <w:p>
            <w:pPr>
              <w:pStyle w:val="TableContents"/>
              <w:pBdr>
                <w:bottom w:val="single" w:sz="2" w:space="1" w:color="000000"/>
              </w:pBdr>
              <w:bidi w:val="0"/>
              <w:spacing w:before="0" w:after="20"/>
              <w:jc w:val="left"/>
              <w:rPr/>
            </w:pPr>
            <w:r>
              <w:rPr/>
              <w:t> </w:t>
            </w:r>
          </w:p>
        </w:tc>
      </w:tr>
      <w:tr>
        <w:trPr/>
        <w:tc>
          <w:tcPr>
            <w:tcW w:w="1500" w:type="dxa"/>
            <w:tcBorders/>
          </w:tcPr>
          <w:p>
            <w:pPr>
              <w:pStyle w:val="TableContents"/>
              <w:bidi w:val="0"/>
              <w:spacing w:before="0" w:after="283"/>
              <w:jc w:val="left"/>
              <w:rPr/>
            </w:pPr>
            <w:r>
              <w:rPr/>
              <w:t>Title:</w:t>
            </w:r>
          </w:p>
        </w:tc>
        <w:tc>
          <w:tcPr>
            <w:tcW w:w="90" w:type="dxa"/>
            <w:tcBorders/>
            <w:vAlign w:val="bottom"/>
          </w:tcPr>
          <w:p>
            <w:pPr>
              <w:pStyle w:val="TableContents"/>
              <w:bidi w:val="0"/>
              <w:spacing w:before="0" w:after="283"/>
              <w:jc w:val="left"/>
              <w:rPr/>
            </w:pPr>
            <w:r>
              <w:rPr/>
              <w:t> </w:t>
            </w:r>
          </w:p>
        </w:tc>
        <w:tc>
          <w:tcPr>
            <w:tcW w:w="249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[NAME(S) OF GUARANTOR(S)]</w:t>
            </w:r>
          </w:p>
        </w:tc>
      </w:tr>
      <w:tr>
        <w:trPr>
          <w:trHeight w:val="240" w:hRule="atLeast"/>
        </w:trPr>
        <w:tc>
          <w:tcPr>
            <w:tcW w:w="1500" w:type="dxa"/>
            <w:tcBorders/>
            <w:vAlign w:val="center"/>
          </w:tcPr>
          <w:p>
            <w:pPr>
              <w:pStyle w:val="TableContents"/>
              <w:bidi w:val="0"/>
              <w:spacing w:before="0" w:after="283"/>
              <w:jc w:val="left"/>
              <w:rPr>
                <w:sz w:val="4"/>
                <w:szCs w:val="4"/>
              </w:rPr>
            </w:pPr>
            <w:r>
              <w:rPr>
                <w:sz w:val="4"/>
                <w:szCs w:val="4"/>
              </w:rPr>
            </w:r>
          </w:p>
        </w:tc>
        <w:tc>
          <w:tcPr>
            <w:tcW w:w="2582" w:type="dxa"/>
            <w:gridSpan w:val="2"/>
            <w:tcBorders/>
            <w:vAlign w:val="center"/>
          </w:tcPr>
          <w:p>
            <w:pPr>
              <w:pStyle w:val="TableContents"/>
              <w:bidi w:val="0"/>
              <w:spacing w:before="0" w:after="283"/>
              <w:jc w:val="left"/>
              <w:rPr>
                <w:sz w:val="4"/>
                <w:szCs w:val="4"/>
              </w:rPr>
            </w:pPr>
            <w:r>
              <w:rPr>
                <w:sz w:val="4"/>
                <w:szCs w:val="4"/>
              </w:rPr>
            </w:r>
          </w:p>
        </w:tc>
      </w:tr>
      <w:tr>
        <w:trPr/>
        <w:tc>
          <w:tcPr>
            <w:tcW w:w="1500" w:type="dxa"/>
            <w:tcBorders/>
          </w:tcPr>
          <w:p>
            <w:pPr>
              <w:pStyle w:val="TableContents"/>
              <w:bidi w:val="0"/>
              <w:spacing w:before="0" w:after="283"/>
              <w:jc w:val="left"/>
              <w:rPr/>
            </w:pPr>
            <w:r>
              <w:rPr/>
              <w:t>By:</w:t>
            </w:r>
          </w:p>
        </w:tc>
        <w:tc>
          <w:tcPr>
            <w:tcW w:w="90" w:type="dxa"/>
            <w:tcBorders/>
            <w:vAlign w:val="bottom"/>
          </w:tcPr>
          <w:p>
            <w:pPr>
              <w:pStyle w:val="TableContents"/>
              <w:bidi w:val="0"/>
              <w:spacing w:before="0" w:after="283"/>
              <w:jc w:val="left"/>
              <w:rPr/>
            </w:pPr>
            <w:r>
              <w:rPr/>
              <w:t> </w:t>
            </w:r>
          </w:p>
        </w:tc>
        <w:tc>
          <w:tcPr>
            <w:tcW w:w="2492" w:type="dxa"/>
            <w:tcBorders/>
          </w:tcPr>
          <w:p>
            <w:pPr>
              <w:pStyle w:val="TableContents"/>
              <w:pBdr>
                <w:bottom w:val="single" w:sz="2" w:space="1" w:color="000000"/>
              </w:pBdr>
              <w:bidi w:val="0"/>
              <w:spacing w:before="0" w:after="20"/>
              <w:jc w:val="left"/>
              <w:rPr/>
            </w:pPr>
            <w:r>
              <w:rPr/>
              <w:t> </w:t>
            </w:r>
          </w:p>
        </w:tc>
      </w:tr>
      <w:tr>
        <w:trPr/>
        <w:tc>
          <w:tcPr>
            <w:tcW w:w="1500" w:type="dxa"/>
            <w:tcBorders/>
          </w:tcPr>
          <w:p>
            <w:pPr>
              <w:pStyle w:val="TableContents"/>
              <w:bidi w:val="0"/>
              <w:spacing w:before="0" w:after="283"/>
              <w:jc w:val="left"/>
              <w:rPr/>
            </w:pPr>
            <w:r>
              <w:rPr/>
              <w:t>Name:</w:t>
            </w:r>
          </w:p>
        </w:tc>
        <w:tc>
          <w:tcPr>
            <w:tcW w:w="90" w:type="dxa"/>
            <w:tcBorders/>
            <w:vAlign w:val="bottom"/>
          </w:tcPr>
          <w:p>
            <w:pPr>
              <w:pStyle w:val="TableContents"/>
              <w:bidi w:val="0"/>
              <w:spacing w:before="0" w:after="283"/>
              <w:jc w:val="left"/>
              <w:rPr/>
            </w:pPr>
            <w:r>
              <w:rPr/>
              <w:t> </w:t>
            </w:r>
          </w:p>
        </w:tc>
        <w:tc>
          <w:tcPr>
            <w:tcW w:w="2492" w:type="dxa"/>
            <w:tcBorders/>
          </w:tcPr>
          <w:p>
            <w:pPr>
              <w:pStyle w:val="TableContents"/>
              <w:pBdr>
                <w:bottom w:val="single" w:sz="2" w:space="1" w:color="000000"/>
              </w:pBdr>
              <w:bidi w:val="0"/>
              <w:spacing w:before="0" w:after="20"/>
              <w:jc w:val="left"/>
              <w:rPr/>
            </w:pPr>
            <w:r>
              <w:rPr/>
              <w:t> </w:t>
            </w:r>
          </w:p>
        </w:tc>
      </w:tr>
      <w:tr>
        <w:trPr/>
        <w:tc>
          <w:tcPr>
            <w:tcW w:w="1500" w:type="dxa"/>
            <w:tcBorders/>
          </w:tcPr>
          <w:p>
            <w:pPr>
              <w:pStyle w:val="TableContents"/>
              <w:bidi w:val="0"/>
              <w:spacing w:before="0" w:after="283"/>
              <w:jc w:val="left"/>
              <w:rPr/>
            </w:pPr>
            <w:r>
              <w:rPr/>
              <w:t>Title:</w:t>
            </w:r>
          </w:p>
        </w:tc>
        <w:tc>
          <w:tcPr>
            <w:tcW w:w="90" w:type="dxa"/>
            <w:tcBorders/>
            <w:vAlign w:val="bottom"/>
          </w:tcPr>
          <w:p>
            <w:pPr>
              <w:pStyle w:val="TableContents"/>
              <w:bidi w:val="0"/>
              <w:spacing w:before="0" w:after="283"/>
              <w:jc w:val="left"/>
              <w:rPr/>
            </w:pPr>
            <w:r>
              <w:rPr/>
              <w:t> </w:t>
            </w:r>
          </w:p>
        </w:tc>
        <w:tc>
          <w:tcPr>
            <w:tcW w:w="2492"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476"/>
        <w:gridCol w:w="143"/>
        <w:gridCol w:w="2463"/>
      </w:tblGrid>
      <w:tr>
        <w:trPr/>
        <w:tc>
          <w:tcPr>
            <w:tcW w:w="147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 as Trustee</w:t>
            </w:r>
          </w:p>
        </w:tc>
      </w:tr>
      <w:tr>
        <w:trPr>
          <w:trHeight w:val="240" w:hRule="atLeast"/>
        </w:trPr>
        <w:tc>
          <w:tcPr>
            <w:tcW w:w="1476" w:type="dxa"/>
            <w:tcBorders/>
            <w:vAlign w:val="center"/>
          </w:tcPr>
          <w:p>
            <w:pPr>
              <w:pStyle w:val="TableContents"/>
              <w:bidi w:val="0"/>
              <w:spacing w:before="0" w:after="283"/>
              <w:jc w:val="left"/>
              <w:rPr>
                <w:sz w:val="4"/>
                <w:szCs w:val="4"/>
              </w:rPr>
            </w:pPr>
            <w:r>
              <w:rPr>
                <w:sz w:val="4"/>
                <w:szCs w:val="4"/>
              </w:rPr>
            </w:r>
          </w:p>
        </w:tc>
        <w:tc>
          <w:tcPr>
            <w:tcW w:w="2606" w:type="dxa"/>
            <w:gridSpan w:val="2"/>
            <w:tcBorders/>
            <w:vAlign w:val="center"/>
          </w:tcPr>
          <w:p>
            <w:pPr>
              <w:pStyle w:val="TableContents"/>
              <w:bidi w:val="0"/>
              <w:spacing w:before="0" w:after="283"/>
              <w:jc w:val="left"/>
              <w:rPr>
                <w:sz w:val="4"/>
                <w:szCs w:val="4"/>
              </w:rPr>
            </w:pPr>
            <w:r>
              <w:rPr>
                <w:sz w:val="4"/>
                <w:szCs w:val="4"/>
              </w:rPr>
            </w:r>
          </w:p>
        </w:tc>
      </w:tr>
      <w:tr>
        <w:trPr/>
        <w:tc>
          <w:tcPr>
            <w:tcW w:w="1476"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463" w:type="dxa"/>
            <w:tcBorders/>
          </w:tcPr>
          <w:p>
            <w:pPr>
              <w:pStyle w:val="TableContents"/>
              <w:pBdr>
                <w:bottom w:val="single" w:sz="2" w:space="1" w:color="000000"/>
              </w:pBdr>
              <w:bidi w:val="0"/>
              <w:spacing w:before="0" w:after="20"/>
              <w:jc w:val="left"/>
              <w:rPr/>
            </w:pPr>
            <w:r>
              <w:rPr/>
              <w:t> </w:t>
            </w:r>
          </w:p>
        </w:tc>
      </w:tr>
      <w:tr>
        <w:trPr/>
        <w:tc>
          <w:tcPr>
            <w:tcW w:w="1476" w:type="dxa"/>
            <w:tcBorders/>
          </w:tcPr>
          <w:p>
            <w:pPr>
              <w:pStyle w:val="TableContents"/>
              <w:bidi w:val="0"/>
              <w:spacing w:before="0" w:after="283"/>
              <w:jc w:val="left"/>
              <w:rPr/>
            </w:pPr>
            <w:r>
              <w:rPr/>
              <w:t>Name:</w:t>
            </w:r>
          </w:p>
        </w:tc>
        <w:tc>
          <w:tcPr>
            <w:tcW w:w="143" w:type="dxa"/>
            <w:tcBorders/>
            <w:vAlign w:val="bottom"/>
          </w:tcPr>
          <w:p>
            <w:pPr>
              <w:pStyle w:val="TableContents"/>
              <w:bidi w:val="0"/>
              <w:spacing w:before="0" w:after="283"/>
              <w:jc w:val="left"/>
              <w:rPr/>
            </w:pPr>
            <w:r>
              <w:rPr/>
              <w:t> </w:t>
            </w:r>
          </w:p>
        </w:tc>
        <w:tc>
          <w:tcPr>
            <w:tcW w:w="2463" w:type="dxa"/>
            <w:tcBorders/>
          </w:tcPr>
          <w:p>
            <w:pPr>
              <w:pStyle w:val="TableContents"/>
              <w:pBdr>
                <w:bottom w:val="single" w:sz="2" w:space="1" w:color="000000"/>
              </w:pBdr>
              <w:bidi w:val="0"/>
              <w:spacing w:before="0" w:after="20"/>
              <w:jc w:val="left"/>
              <w:rPr/>
            </w:pPr>
            <w:r>
              <w:rPr/>
              <w:t> </w:t>
            </w:r>
          </w:p>
        </w:tc>
      </w:tr>
      <w:tr>
        <w:trPr/>
        <w:tc>
          <w:tcPr>
            <w:tcW w:w="1476" w:type="dxa"/>
            <w:tcBorders/>
          </w:tcPr>
          <w:p>
            <w:pPr>
              <w:pStyle w:val="TableContents"/>
              <w:bidi w:val="0"/>
              <w:spacing w:before="0" w:after="283"/>
              <w:jc w:val="left"/>
              <w:rPr/>
            </w:pPr>
            <w:r>
              <w:rPr/>
              <w:t>Title:</w:t>
            </w:r>
          </w:p>
        </w:tc>
        <w:tc>
          <w:tcPr>
            <w:tcW w:w="143" w:type="dxa"/>
            <w:tcBorders/>
            <w:vAlign w:val="bottom"/>
          </w:tcPr>
          <w:p>
            <w:pPr>
              <w:pStyle w:val="TableContents"/>
              <w:bidi w:val="0"/>
              <w:spacing w:before="0" w:after="283"/>
              <w:jc w:val="left"/>
              <w:rPr/>
            </w:pPr>
            <w:r>
              <w:rPr/>
              <w:t> </w:t>
            </w:r>
          </w:p>
        </w:tc>
        <w:tc>
          <w:tcPr>
            <w:tcW w:w="2463"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NOTATION OF GUARANTEE </w:t>
      </w:r>
    </w:p>
    <w:p>
      <w:pPr>
        <w:pStyle w:val="TextBody"/>
        <w:bidi w:val="0"/>
        <w:spacing w:before="240" w:after="0"/>
        <w:jc w:val="left"/>
        <w:rPr>
          <w:rFonts w:ascii="Times New Roman" w:hAnsi="Times New Roman"/>
          <w:sz w:val="20"/>
        </w:rPr>
      </w:pPr>
      <w:r>
        <w:rPr>
          <w:rFonts w:ascii="Times New Roman" w:hAnsi="Times New Roman"/>
          <w:sz w:val="20"/>
        </w:rPr>
        <w:t xml:space="preserve">Each of the Guarantors (which term includes any successor Person under the Indenture) has fully, unconditionally and absolutely guaranteed, to the extent set forth in the Indenture and subject to the provisions in the Indenture, the due and punctual payment of the principal of, and premium, if any, and interest on the Securities and all other amounts due and payable under the Indenture and the Securities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Guarantors to the Holders of Securities and to the Trustee pursuant to the Guarantee and the Indenture are expressly set forth in Article X of the Indenture and reference is hereby made to the Indenture for the precise terms of the Guarantee.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51"/>
        <w:gridCol w:w="140"/>
        <w:gridCol w:w="2491"/>
      </w:tblGrid>
      <w:tr>
        <w:trPr/>
        <w:tc>
          <w:tcPr>
            <w:tcW w:w="145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[NAME(S) OF GUARANTOR(S)]</w:t>
            </w:r>
          </w:p>
        </w:tc>
      </w:tr>
      <w:tr>
        <w:trPr>
          <w:trHeight w:val="240" w:hRule="atLeast"/>
        </w:trPr>
        <w:tc>
          <w:tcPr>
            <w:tcW w:w="1451" w:type="dxa"/>
            <w:tcBorders/>
            <w:vAlign w:val="center"/>
          </w:tcPr>
          <w:p>
            <w:pPr>
              <w:pStyle w:val="TableContents"/>
              <w:bidi w:val="0"/>
              <w:spacing w:before="0" w:after="283"/>
              <w:jc w:val="left"/>
              <w:rPr>
                <w:sz w:val="4"/>
                <w:szCs w:val="4"/>
              </w:rPr>
            </w:pPr>
            <w:r>
              <w:rPr>
                <w:sz w:val="4"/>
                <w:szCs w:val="4"/>
              </w:rPr>
            </w:r>
          </w:p>
        </w:tc>
        <w:tc>
          <w:tcPr>
            <w:tcW w:w="2631" w:type="dxa"/>
            <w:gridSpan w:val="2"/>
            <w:tcBorders/>
            <w:vAlign w:val="center"/>
          </w:tcPr>
          <w:p>
            <w:pPr>
              <w:pStyle w:val="TableContents"/>
              <w:bidi w:val="0"/>
              <w:spacing w:before="0" w:after="283"/>
              <w:jc w:val="left"/>
              <w:rPr>
                <w:sz w:val="4"/>
                <w:szCs w:val="4"/>
              </w:rPr>
            </w:pPr>
            <w:r>
              <w:rPr>
                <w:sz w:val="4"/>
                <w:szCs w:val="4"/>
              </w:rPr>
            </w:r>
          </w:p>
        </w:tc>
      </w:tr>
      <w:tr>
        <w:trPr/>
        <w:tc>
          <w:tcPr>
            <w:tcW w:w="1451" w:type="dxa"/>
            <w:tcBorders/>
          </w:tcPr>
          <w:p>
            <w:pPr>
              <w:pStyle w:val="TableContents"/>
              <w:bidi w:val="0"/>
              <w:spacing w:before="0" w:after="283"/>
              <w:jc w:val="left"/>
              <w:rPr/>
            </w:pPr>
            <w:r>
              <w:rPr/>
              <w:t>By:</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pBdr>
                <w:bottom w:val="single" w:sz="2" w:space="1" w:color="000000"/>
              </w:pBdr>
              <w:bidi w:val="0"/>
              <w:spacing w:before="0" w:after="20"/>
              <w:jc w:val="left"/>
              <w:rPr/>
            </w:pPr>
            <w:r>
              <w:rPr/>
              <w:t> </w:t>
            </w:r>
          </w:p>
        </w:tc>
      </w:tr>
      <w:tr>
        <w:trPr/>
        <w:tc>
          <w:tcPr>
            <w:tcW w:w="1451" w:type="dxa"/>
            <w:tcBorders/>
          </w:tcPr>
          <w:p>
            <w:pPr>
              <w:pStyle w:val="TableContents"/>
              <w:bidi w:val="0"/>
              <w:spacing w:before="0" w:after="283"/>
              <w:jc w:val="left"/>
              <w:rPr/>
            </w:pPr>
            <w:r>
              <w:rPr/>
              <w:t>Name: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pBdr>
                <w:bottom w:val="single" w:sz="2" w:space="1" w:color="000000"/>
              </w:pBdr>
              <w:bidi w:val="0"/>
              <w:spacing w:before="0" w:after="20"/>
              <w:jc w:val="left"/>
              <w:rPr/>
            </w:pPr>
            <w:r>
              <w:rPr/>
              <w:t> </w:t>
            </w:r>
          </w:p>
        </w:tc>
      </w:tr>
      <w:tr>
        <w:trPr/>
        <w:tc>
          <w:tcPr>
            <w:tcW w:w="1451" w:type="dxa"/>
            <w:tcBorders/>
          </w:tcPr>
          <w:p>
            <w:pPr>
              <w:pStyle w:val="TableContents"/>
              <w:bidi w:val="0"/>
              <w:spacing w:before="0" w:after="283"/>
              <w:jc w:val="left"/>
              <w:rPr/>
            </w:pPr>
            <w:r>
              <w:rPr/>
              <w:t>Title:</w:t>
            </w:r>
          </w:p>
        </w:tc>
        <w:tc>
          <w:tcPr>
            <w:tcW w:w="140" w:type="dxa"/>
            <w:tcBorders/>
            <w:vAlign w:val="bottom"/>
          </w:tcPr>
          <w:p>
            <w:pPr>
              <w:pStyle w:val="TableContents"/>
              <w:bidi w:val="0"/>
              <w:spacing w:before="0" w:after="283"/>
              <w:jc w:val="left"/>
              <w:rPr/>
            </w:pPr>
            <w:r>
              <w:rPr/>
              <w:t> </w:t>
            </w:r>
          </w:p>
        </w:tc>
        <w:tc>
          <w:tcPr>
            <w:tcW w:w="2491"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A </w:t>
      </w:r>
    </w:p>
    <w:p>
      <w:pPr>
        <w:pStyle w:val="TextBody"/>
        <w:bidi w:val="0"/>
        <w:spacing w:before="0" w:after="0"/>
        <w:jc w:val="right"/>
        <w:rPr>
          <w:rFonts w:ascii="Times New Roman" w:hAnsi="Times New Roman"/>
          <w:b/>
          <w:sz w:val="20"/>
        </w:rPr>
      </w:pPr>
      <w:bookmarkStart w:id="34" w:name="d63698dex51.htm"/>
      <w:bookmarkStart w:id="35" w:name="ksd63698dex51"/>
      <w:bookmarkEnd w:id="34"/>
      <w:bookmarkEnd w:id="3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5"/>
        <w:gridCol w:w="122"/>
        <w:gridCol w:w="4898"/>
      </w:tblGrid>
      <w:tr>
        <w:trPr/>
        <w:tc>
          <w:tcPr>
            <w:tcW w:w="51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283"/>
              <w:jc w:val="left"/>
              <w:rPr/>
            </w:pPr>
            <w:r>
              <w:rPr/>
              <w:drawing>
                <wp:inline distT="0" distB="0" distL="0" distR="0">
                  <wp:extent cx="502285" cy="203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502285" cy="2032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283"/>
              <w:jc w:val="right"/>
              <w:rPr/>
            </w:pPr>
            <w:r>
              <w:rPr/>
              <w:t>May 14, 2026 Page 1</w:t>
            </w:r>
          </w:p>
        </w:tc>
      </w:tr>
    </w:tbl>
    <w:p>
      <w:pPr>
        <w:pStyle w:val="TextBody"/>
        <w:bidi w:val="0"/>
        <w:spacing w:before="240" w:after="0"/>
        <w:jc w:val="left"/>
        <w:rPr>
          <w:rFonts w:ascii="Times New Roman" w:hAnsi="Times New Roman"/>
          <w:sz w:val="20"/>
        </w:rPr>
      </w:pPr>
      <w:r>
        <w:rPr>
          <w:rFonts w:ascii="Times New Roman" w:hAnsi="Times New Roman"/>
          <w:sz w:val="20"/>
        </w:rPr>
        <w:t xml:space="preserve">May 14, 2026 </w:t>
      </w:r>
    </w:p>
    <w:p>
      <w:pPr>
        <w:pStyle w:val="TextBody"/>
        <w:bidi w:val="0"/>
        <w:spacing w:before="240" w:after="0"/>
        <w:jc w:val="left"/>
        <w:rPr>
          <w:rFonts w:ascii="Times New Roman" w:hAnsi="Times New Roman"/>
          <w:sz w:val="20"/>
        </w:rPr>
      </w:pPr>
      <w:r>
        <w:rPr>
          <w:rFonts w:ascii="Times New Roman" w:hAnsi="Times New Roman"/>
          <w:sz w:val="20"/>
        </w:rPr>
        <w:t xml:space="preserve">KLX Energy Services Holdings, Inc. </w:t>
      </w:r>
    </w:p>
    <w:p>
      <w:pPr>
        <w:pStyle w:val="TextBody"/>
        <w:bidi w:val="0"/>
        <w:spacing w:before="0" w:after="0"/>
        <w:jc w:val="left"/>
        <w:rPr>
          <w:rFonts w:ascii="Times New Roman" w:hAnsi="Times New Roman"/>
          <w:sz w:val="20"/>
        </w:rPr>
      </w:pPr>
      <w:r>
        <w:rPr>
          <w:rFonts w:ascii="Times New Roman" w:hAnsi="Times New Roman"/>
          <w:sz w:val="20"/>
        </w:rPr>
        <w:t xml:space="preserve">3040 Post Oak Boulevard, 15th Floor </w:t>
      </w:r>
    </w:p>
    <w:p>
      <w:pPr>
        <w:pStyle w:val="TextBody"/>
        <w:bidi w:val="0"/>
        <w:spacing w:before="0" w:after="0"/>
        <w:jc w:val="left"/>
        <w:rPr>
          <w:rFonts w:ascii="Times New Roman" w:hAnsi="Times New Roman"/>
          <w:sz w:val="20"/>
        </w:rPr>
      </w:pPr>
      <w:r>
        <w:rPr>
          <w:rFonts w:ascii="Times New Roman" w:hAnsi="Times New Roman"/>
          <w:sz w:val="20"/>
        </w:rPr>
        <w:t xml:space="preserve">Houston, TX 77056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for KLX Energy Services Holdings, Inc., a Delaware corporation (the “</w:t>
      </w:r>
      <w:r>
        <w:rPr>
          <w:rFonts w:ascii="Times New Roman" w:hAnsi="Times New Roman"/>
          <w:b/>
          <w:i/>
          <w:sz w:val="20"/>
        </w:rPr>
        <w:t>Company</w:t>
      </w:r>
      <w:r>
        <w:rPr>
          <w:rFonts w:ascii="Times New Roman" w:hAnsi="Times New Roman"/>
          <w:sz w:val="20"/>
        </w:rPr>
        <w:t>”), with respect to certain legal matters in connection with the preparation of the Registration Statement on Form S-3 (the “</w:t>
      </w:r>
      <w:r>
        <w:rPr>
          <w:rFonts w:ascii="Times New Roman" w:hAnsi="Times New Roman"/>
          <w:b/>
          <w:i/>
          <w:sz w:val="20"/>
        </w:rPr>
        <w:t>Registration Statement</w:t>
      </w:r>
      <w:r>
        <w:rPr>
          <w:rFonts w:ascii="Times New Roman" w:hAnsi="Times New Roman"/>
          <w:sz w:val="20"/>
        </w:rPr>
        <w:t>”) filed on or about the date hereof with the Securities and Exchange Commission (the “</w:t>
      </w:r>
      <w:r>
        <w:rPr>
          <w:rFonts w:ascii="Times New Roman" w:hAnsi="Times New Roman"/>
          <w:b/>
          <w:i/>
          <w:sz w:val="20"/>
        </w:rPr>
        <w:t>Commission</w:t>
      </w:r>
      <w:r>
        <w:rPr>
          <w:rFonts w:ascii="Times New Roman" w:hAnsi="Times New Roman"/>
          <w:sz w:val="20"/>
        </w:rPr>
        <w:t>”) in connection with the registration by the Company under the Securities Act of 1933 (the “</w:t>
      </w:r>
      <w:r>
        <w:rPr>
          <w:rFonts w:ascii="Times New Roman" w:hAnsi="Times New Roman"/>
          <w:b/>
          <w:i/>
          <w:sz w:val="20"/>
        </w:rPr>
        <w:t>Securities Act</w:t>
      </w:r>
      <w:r>
        <w:rPr>
          <w:rFonts w:ascii="Times New Roman" w:hAnsi="Times New Roman"/>
          <w:sz w:val="20"/>
        </w:rPr>
        <w:t>”), of the offer and sale (a) by the Company from time to time, pursuant to Rule 415 under the Securities Act, of up to $250 million of (1) shares of common stock, $0.01 par value per share (the “</w:t>
      </w:r>
      <w:r>
        <w:rPr>
          <w:rFonts w:ascii="Times New Roman" w:hAnsi="Times New Roman"/>
          <w:b/>
          <w:i/>
          <w:sz w:val="20"/>
        </w:rPr>
        <w:t>Common Stock</w:t>
      </w:r>
      <w:r>
        <w:rPr>
          <w:rFonts w:ascii="Times New Roman" w:hAnsi="Times New Roman"/>
          <w:sz w:val="20"/>
        </w:rPr>
        <w:t>”); (2) shares of preferred stock, $0.01 par value per share (the “</w:t>
      </w:r>
      <w:r>
        <w:rPr>
          <w:rFonts w:ascii="Times New Roman" w:hAnsi="Times New Roman"/>
          <w:b/>
          <w:i/>
          <w:sz w:val="20"/>
        </w:rPr>
        <w:t>Preferred Stock</w:t>
      </w:r>
      <w:r>
        <w:rPr>
          <w:rFonts w:ascii="Times New Roman" w:hAnsi="Times New Roman"/>
          <w:sz w:val="20"/>
        </w:rPr>
        <w:t>”); (3) debt securities, which may be issued in one or more series, consisting of notes, debentures or other evidences of indebtedness, certain of which may be convertible into or exchangeable for other securities (the “</w:t>
      </w:r>
      <w:r>
        <w:rPr>
          <w:rFonts w:ascii="Times New Roman" w:hAnsi="Times New Roman"/>
          <w:b/>
          <w:i/>
          <w:sz w:val="20"/>
        </w:rPr>
        <w:t>Debt Securities</w:t>
      </w:r>
      <w:r>
        <w:rPr>
          <w:rFonts w:ascii="Times New Roman" w:hAnsi="Times New Roman"/>
          <w:sz w:val="20"/>
        </w:rPr>
        <w:t>”); (4) warrants representing rights to purchase Common Stock or Preferred Stock (the “</w:t>
      </w:r>
      <w:r>
        <w:rPr>
          <w:rFonts w:ascii="Times New Roman" w:hAnsi="Times New Roman"/>
          <w:b/>
          <w:i/>
          <w:sz w:val="20"/>
        </w:rPr>
        <w:t>Warrants</w:t>
      </w:r>
      <w:r>
        <w:rPr>
          <w:rFonts w:ascii="Times New Roman" w:hAnsi="Times New Roman"/>
          <w:sz w:val="20"/>
        </w:rPr>
        <w:t>”); (5) units comprising one or more shares of Common Stock, Preferred Stock, Debt Securities or Warrants in any combination (the “</w:t>
      </w:r>
      <w:r>
        <w:rPr>
          <w:rFonts w:ascii="Times New Roman" w:hAnsi="Times New Roman"/>
          <w:b/>
          <w:i/>
          <w:sz w:val="20"/>
        </w:rPr>
        <w:t>Units</w:t>
      </w:r>
      <w:r>
        <w:rPr>
          <w:rFonts w:ascii="Times New Roman" w:hAnsi="Times New Roman"/>
          <w:sz w:val="20"/>
        </w:rPr>
        <w:t>”); and (6) rights to purchase shares of Common Stock or Preferred Stock (the “</w:t>
      </w:r>
      <w:r>
        <w:rPr>
          <w:rFonts w:ascii="Times New Roman" w:hAnsi="Times New Roman"/>
          <w:b/>
          <w:i/>
          <w:sz w:val="20"/>
        </w:rPr>
        <w:t>Rights</w:t>
      </w:r>
      <w:r>
        <w:rPr>
          <w:rFonts w:ascii="Times New Roman" w:hAnsi="Times New Roman"/>
          <w:sz w:val="20"/>
        </w:rPr>
        <w:t>,” and together with the Common Stock, the Preferred Stock, the Debt Securities, the Warrants, the Units and the Rights, the “</w:t>
      </w:r>
      <w:r>
        <w:rPr>
          <w:rFonts w:ascii="Times New Roman" w:hAnsi="Times New Roman"/>
          <w:b/>
          <w:i/>
          <w:sz w:val="20"/>
        </w:rPr>
        <w:t>Company Securities</w:t>
      </w:r>
      <w:r>
        <w:rPr>
          <w:rFonts w:ascii="Times New Roman" w:hAnsi="Times New Roman"/>
          <w:sz w:val="20"/>
        </w:rPr>
        <w:t>”) and (b) by the selling stockholders named in the Registration Statement (the “</w:t>
      </w:r>
      <w:r>
        <w:rPr>
          <w:rFonts w:ascii="Times New Roman" w:hAnsi="Times New Roman"/>
          <w:b/>
          <w:i/>
          <w:sz w:val="20"/>
        </w:rPr>
        <w:t>Selling Stockholders</w:t>
      </w:r>
      <w:r>
        <w:rPr>
          <w:rFonts w:ascii="Times New Roman" w:hAnsi="Times New Roman"/>
          <w:sz w:val="20"/>
        </w:rPr>
        <w:t>”) of up to 2,175,887 shares of Common Stock (the “</w:t>
      </w:r>
      <w:r>
        <w:rPr>
          <w:rFonts w:ascii="Times New Roman" w:hAnsi="Times New Roman"/>
          <w:b/>
          <w:i/>
          <w:sz w:val="20"/>
        </w:rPr>
        <w:t>Selling Stockholder Shares</w:t>
      </w:r>
      <w:r>
        <w:rPr>
          <w:rFonts w:ascii="Times New Roman" w:hAnsi="Times New Roman"/>
          <w:sz w:val="20"/>
        </w:rPr>
        <w:t>,” and together with the Company Securities, the “</w:t>
      </w:r>
      <w:r>
        <w:rPr>
          <w:rFonts w:ascii="Times New Roman" w:hAnsi="Times New Roman"/>
          <w:b/>
          <w:i/>
          <w:sz w:val="20"/>
        </w:rPr>
        <w:t>Securities</w:t>
      </w:r>
      <w:r>
        <w:rPr>
          <w:rFonts w:ascii="Times New Roman" w:hAnsi="Times New Roman"/>
          <w:sz w:val="20"/>
        </w:rPr>
        <w:t>”) issuable upon exercise of certain warrants to purchase shares of the Common Stock (the “</w:t>
      </w:r>
      <w:r>
        <w:rPr>
          <w:rFonts w:ascii="Times New Roman" w:hAnsi="Times New Roman"/>
          <w:b/>
          <w:i/>
          <w:sz w:val="20"/>
        </w:rPr>
        <w:t>Issued</w:t>
      </w:r>
      <w:r>
        <w:rPr>
          <w:rFonts w:ascii="Times New Roman" w:hAnsi="Times New Roman"/>
          <w:sz w:val="20"/>
        </w:rPr>
        <w:t xml:space="preserve"> </w:t>
      </w:r>
      <w:r>
        <w:rPr>
          <w:rFonts w:ascii="Times New Roman" w:hAnsi="Times New Roman"/>
          <w:b/>
          <w:i/>
          <w:sz w:val="20"/>
        </w:rPr>
        <w:t>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have also participated in the preparation of a Prospectus relating to the Company Securities (the “</w:t>
      </w:r>
      <w:r>
        <w:rPr>
          <w:rFonts w:ascii="Times New Roman" w:hAnsi="Times New Roman"/>
          <w:b/>
          <w:i/>
          <w:sz w:val="20"/>
        </w:rPr>
        <w:t>Primary Prospectus</w:t>
      </w:r>
      <w:r>
        <w:rPr>
          <w:rFonts w:ascii="Times New Roman" w:hAnsi="Times New Roman"/>
          <w:sz w:val="20"/>
        </w:rPr>
        <w:t>”) and a Prospectus relating to the Selling Stockholder Shares (the “</w:t>
      </w:r>
      <w:r>
        <w:rPr>
          <w:rFonts w:ascii="Times New Roman" w:hAnsi="Times New Roman"/>
          <w:b/>
          <w:i/>
          <w:sz w:val="20"/>
        </w:rPr>
        <w:t>Secondary Prospectus</w:t>
      </w:r>
      <w:r>
        <w:rPr>
          <w:rFonts w:ascii="Times New Roman" w:hAnsi="Times New Roman"/>
          <w:sz w:val="20"/>
        </w:rPr>
        <w:t>” and together with the Primary Prospectus, the “</w:t>
      </w:r>
      <w:r>
        <w:rPr>
          <w:rFonts w:ascii="Times New Roman" w:hAnsi="Times New Roman"/>
          <w:b/>
          <w:i/>
          <w:sz w:val="20"/>
        </w:rPr>
        <w:t>Prospectuses</w:t>
      </w:r>
      <w:r>
        <w:rPr>
          <w:rFonts w:ascii="Times New Roman" w:hAnsi="Times New Roman"/>
          <w:sz w:val="20"/>
        </w:rPr>
        <w:t xml:space="preserve">”), each of which is contained in the Registration Statement to which this opinion is an exhibit. </w:t>
      </w:r>
    </w:p>
    <w:p>
      <w:pPr>
        <w:pStyle w:val="TextBody"/>
        <w:bidi w:val="0"/>
        <w:spacing w:before="240" w:after="0"/>
        <w:jc w:val="left"/>
        <w:rPr>
          <w:rFonts w:ascii="Times New Roman" w:hAnsi="Times New Roman"/>
          <w:sz w:val="20"/>
        </w:rPr>
      </w:pPr>
      <w:r>
        <w:rPr>
          <w:rFonts w:ascii="Times New Roman" w:hAnsi="Times New Roman"/>
          <w:sz w:val="20"/>
        </w:rPr>
        <w:t>In connection with the opinions expressed herein, we have examined, among other things, (i) the Amended and Restated Certificate of Incorporation of the Company, (ii) the Certificate of Amendment of the Amended and Restated Articles of Incorporation of the Company, (iii) the Fourth Amended and Restated Bylaws of the Company, (iv) the resolutions adopted by the Board of Directors of the Company (the “</w:t>
      </w:r>
      <w:r>
        <w:rPr>
          <w:rFonts w:ascii="Times New Roman" w:hAnsi="Times New Roman"/>
          <w:b/>
          <w:i/>
          <w:sz w:val="20"/>
        </w:rPr>
        <w:t>Board</w:t>
      </w:r>
      <w:r>
        <w:rPr>
          <w:rFonts w:ascii="Times New Roman" w:hAnsi="Times New Roman"/>
          <w:sz w:val="20"/>
        </w:rPr>
        <w:t>”) relating to the Registration Statement and related matters, (v) the Registration Statement, (vi) the Prospectuses, (vii) the form of the warrant agreement, dated March 12, 2025 (the “</w:t>
      </w:r>
      <w:r>
        <w:rPr>
          <w:rFonts w:ascii="Times New Roman" w:hAnsi="Times New Roman"/>
          <w:b/>
          <w:i/>
          <w:sz w:val="20"/>
        </w:rPr>
        <w:t xml:space="preserve">2025 Warrant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08"/>
        <w:gridCol w:w="121"/>
        <w:gridCol w:w="4476"/>
      </w:tblGrid>
      <w:tr>
        <w:trPr/>
        <w:tc>
          <w:tcPr>
            <w:tcW w:w="56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7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1</w:t>
            </w:r>
          </w:p>
        </w:tc>
      </w:tr>
      <w:tr>
        <w:trPr/>
        <w:tc>
          <w:tcPr>
            <w:tcW w:w="5608" w:type="dxa"/>
            <w:tcBorders/>
          </w:tcPr>
          <w:p>
            <w:pPr>
              <w:pStyle w:val="TableContents"/>
              <w:bidi w:val="0"/>
              <w:spacing w:before="0" w:after="283"/>
              <w:jc w:val="left"/>
              <w:rPr>
                <w:b/>
              </w:rPr>
            </w:pPr>
            <w:r>
              <w:rPr>
                <w:b/>
              </w:rPr>
              <w:t>Vinson &amp; Elkins LLP Attorneys at Law</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845 Texas Ave, Suite 4700</w:t>
            </w:r>
          </w:p>
        </w:tc>
      </w:tr>
      <w:tr>
        <w:trPr/>
        <w:tc>
          <w:tcPr>
            <w:tcW w:w="5608" w:type="dxa"/>
            <w:tcBorders/>
          </w:tcPr>
          <w:p>
            <w:pPr>
              <w:pStyle w:val="TableContents"/>
              <w:bidi w:val="0"/>
              <w:spacing w:before="0" w:after="283"/>
              <w:jc w:val="left"/>
              <w:rPr/>
            </w:pPr>
            <w:r>
              <w:rPr/>
              <w:t>Austin Brussels Dallas Denver Dubai Dublin Houston London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Houston, TX 77002</w:t>
            </w:r>
          </w:p>
        </w:tc>
      </w:tr>
      <w:tr>
        <w:trPr/>
        <w:tc>
          <w:tcPr>
            <w:tcW w:w="5608" w:type="dxa"/>
            <w:tcBorders/>
          </w:tcPr>
          <w:p>
            <w:pPr>
              <w:pStyle w:val="TableContents"/>
              <w:bidi w:val="0"/>
              <w:spacing w:before="0" w:after="283"/>
              <w:jc w:val="left"/>
              <w:rPr/>
            </w:pPr>
            <w:r>
              <w:rPr/>
              <w:t>Los Angeles New York Richmond San Francisco Tokyo Washington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b/>
              </w:rPr>
              <w:t xml:space="preserve">Tel </w:t>
            </w:r>
            <w:r>
              <w:rPr/>
              <w:t xml:space="preserve">+1.713.758.2222 </w:t>
            </w:r>
            <w:r>
              <w:rPr>
                <w:b/>
              </w:rPr>
              <w:t xml:space="preserve">Fax </w:t>
            </w:r>
            <w:r>
              <w:rPr/>
              <w:t>+1.713.758.2346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85"/>
        <w:gridCol w:w="122"/>
        <w:gridCol w:w="4898"/>
      </w:tblGrid>
      <w:tr>
        <w:trPr/>
        <w:tc>
          <w:tcPr>
            <w:tcW w:w="51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283"/>
              <w:jc w:val="left"/>
              <w:rPr/>
            </w:pPr>
            <w:r>
              <w:rPr/>
              <w:drawing>
                <wp:inline distT="0" distB="0" distL="0" distR="0">
                  <wp:extent cx="502285" cy="203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7"/>
                          <a:stretch>
                            <a:fillRect/>
                          </a:stretch>
                        </pic:blipFill>
                        <pic:spPr bwMode="auto">
                          <a:xfrm>
                            <a:off x="0" y="0"/>
                            <a:ext cx="502285" cy="2032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283"/>
              <w:jc w:val="right"/>
              <w:rPr/>
            </w:pPr>
            <w:r>
              <w:rPr/>
              <w:t>May 14, 2026 Page 2</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Agreement</w:t>
      </w:r>
      <w:r>
        <w:rPr>
          <w:rFonts w:ascii="Times New Roman" w:hAnsi="Times New Roman"/>
          <w:sz w:val="20"/>
        </w:rPr>
        <w:t>”), (viii) the form of the warrant agreement, dated March 6, 2026 and March 11, 2026 (the “</w:t>
      </w:r>
      <w:r>
        <w:rPr>
          <w:rFonts w:ascii="Times New Roman" w:hAnsi="Times New Roman"/>
          <w:b/>
          <w:i/>
          <w:sz w:val="20"/>
        </w:rPr>
        <w:t>2026 Warrant Agreement</w:t>
      </w:r>
      <w:r>
        <w:rPr>
          <w:rFonts w:ascii="Times New Roman" w:hAnsi="Times New Roman"/>
          <w:sz w:val="20"/>
        </w:rPr>
        <w:t>” and together with the 2025 Warrant Agreement, the “</w:t>
      </w:r>
      <w:r>
        <w:rPr>
          <w:rFonts w:ascii="Times New Roman" w:hAnsi="Times New Roman"/>
          <w:b/>
          <w:i/>
          <w:sz w:val="20"/>
        </w:rPr>
        <w:t>Warrant Agreements</w:t>
      </w:r>
      <w:r>
        <w:rPr>
          <w:rFonts w:ascii="Times New Roman" w:hAnsi="Times New Roman"/>
          <w:sz w:val="20"/>
        </w:rPr>
        <w:t xml:space="preserve">”) and (ix) such other certificates, instruments and documents as we considered appropriate for purposes of the opinions hereafter expressed. We have also reviewed such questions of law as we have deemed necessary or appropriate. As to matters of fact relevant to the opinions expressed herein and as to factual matters arising in connection with our examination of corporate documents, records and other documents and writings, we relied upon certificates and other communications of corporate officers of the Company, without further investigation as to the facts set forth therein. In addition, we have reviewed such questions of law as we considered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assumed that (i) all information contained in all documents we reviewed is true, correct and complete, (ii) all signatures on all documents we reviewed are genuine, (iii) all documents submitted to us as originals are true and complete, (iv) all documents submitted to us as copies are true and complete copies of the originals thereof, (v) all persons executing and delivering the documents we examined were competent to execute and deliver such documents, (vi) the Securities will be issued and sold in compliance with applicable federal and state securities laws and in the manner stated in the Registration Statement and a prospectus supplement to the applicable Prospectus, (vii) the Registration Statement, and any post-effective amendments thereto, will be effective and comply with all applicable laws; (viii) one or more prospectus supplements to the applicable Prospectus will have been prepared and filed with the Commission describing the Securities offered thereby; (ix) at the time of any offering or sale of Company Securities, that the Company will have at least such number of Securities authorized, created and, if appropriate, reserved for issuance; and (x) a definitive purchase, underwriting or similar agreement with respect to any Securities offered will have been duly authorized and validly executed and delivered by the Company and the other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assumptions, qualifications, limitations and exceptions set forth herein,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Company’s shares of Common Stock, when both (A) the Board (or a committee thereof) has taken all necessary corporate action to approve the issuance of and the terms of the offering of the shares of Common Stock and related matters and (B) certificates representing the shares of Common Stock have been duly executed, countersigned, registered and delivered (or non-certificated shares of Common Stock shall have been properly issued) in accordance with the applicable definitive purchase, underwriting, or similar agreement approved by the Board upon payment of the consideration therefor (not less than the par value of the Common Stock) provided for therein and as contemplated by the Registration Statement, the Primary Prospectus and the related Prospectus supplement (if any), then the shares of Common Stock will be validly issued, fully paid, and nonassessable;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08"/>
        <w:gridCol w:w="121"/>
        <w:gridCol w:w="4476"/>
      </w:tblGrid>
      <w:tr>
        <w:trPr/>
        <w:tc>
          <w:tcPr>
            <w:tcW w:w="56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7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2</w:t>
            </w:r>
          </w:p>
        </w:tc>
      </w:tr>
      <w:tr>
        <w:trPr/>
        <w:tc>
          <w:tcPr>
            <w:tcW w:w="5608" w:type="dxa"/>
            <w:tcBorders/>
          </w:tcPr>
          <w:p>
            <w:pPr>
              <w:pStyle w:val="TableContents"/>
              <w:bidi w:val="0"/>
              <w:spacing w:before="0" w:after="283"/>
              <w:jc w:val="left"/>
              <w:rPr>
                <w:b/>
              </w:rPr>
            </w:pPr>
            <w:r>
              <w:rPr>
                <w:b/>
              </w:rPr>
              <w:t>Vinson &amp; Elkins LLP Attorneys at Law</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845 Texas Ave, Suite 4700</w:t>
            </w:r>
          </w:p>
        </w:tc>
      </w:tr>
      <w:tr>
        <w:trPr/>
        <w:tc>
          <w:tcPr>
            <w:tcW w:w="5608" w:type="dxa"/>
            <w:tcBorders/>
          </w:tcPr>
          <w:p>
            <w:pPr>
              <w:pStyle w:val="TableContents"/>
              <w:bidi w:val="0"/>
              <w:spacing w:before="0" w:after="283"/>
              <w:jc w:val="left"/>
              <w:rPr/>
            </w:pPr>
            <w:r>
              <w:rPr/>
              <w:t>Austin Brussels Dallas Denver Dubai Dublin Houston London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Houston, TX 77002</w:t>
            </w:r>
          </w:p>
        </w:tc>
      </w:tr>
      <w:tr>
        <w:trPr/>
        <w:tc>
          <w:tcPr>
            <w:tcW w:w="5608" w:type="dxa"/>
            <w:tcBorders/>
          </w:tcPr>
          <w:p>
            <w:pPr>
              <w:pStyle w:val="TableContents"/>
              <w:bidi w:val="0"/>
              <w:spacing w:before="0" w:after="283"/>
              <w:jc w:val="left"/>
              <w:rPr/>
            </w:pPr>
            <w:r>
              <w:rPr/>
              <w:t>Los Angeles New York Richmond San Francisco Tokyo Washington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b/>
              </w:rPr>
              <w:t xml:space="preserve">Tel </w:t>
            </w:r>
            <w:r>
              <w:rPr/>
              <w:t xml:space="preserve">+1.713.758.2222 </w:t>
            </w:r>
            <w:r>
              <w:rPr>
                <w:b/>
              </w:rPr>
              <w:t xml:space="preserve">Fax </w:t>
            </w:r>
            <w:r>
              <w:rPr/>
              <w:t>+1.713.758.2346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85"/>
        <w:gridCol w:w="122"/>
        <w:gridCol w:w="4898"/>
      </w:tblGrid>
      <w:tr>
        <w:trPr/>
        <w:tc>
          <w:tcPr>
            <w:tcW w:w="51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283"/>
              <w:jc w:val="left"/>
              <w:rPr/>
            </w:pPr>
            <w:r>
              <w:rPr/>
              <w:drawing>
                <wp:inline distT="0" distB="0" distL="0" distR="0">
                  <wp:extent cx="502285" cy="203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8"/>
                          <a:stretch>
                            <a:fillRect/>
                          </a:stretch>
                        </pic:blipFill>
                        <pic:spPr bwMode="auto">
                          <a:xfrm>
                            <a:off x="0" y="0"/>
                            <a:ext cx="502285" cy="2032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283"/>
              <w:jc w:val="right"/>
              <w:rPr/>
            </w:pPr>
            <w:r>
              <w:rPr/>
              <w:t>May 14, 2026 Page 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With respect to the Company’s shares of any series of Preferred Stock, when both (A) the Board (or a committee thereof) has taken all necessary corporate action to approve the issuance and terms of the shares of the series; the terms of the offering thereof and related matters, including the adoption of a resolution establishing and designating the series and fixing and determining the voting powers, designations, preferences, rights and qualifications, limitations and restrictions of the series and the filing of a certificate of designations with respect to the series with the Secretary of State of the State of Delaware as required under Section 151 of the Delaware General Corporation Law (the “</w:t>
            </w:r>
            <w:r>
              <w:rPr>
                <w:rFonts w:ascii="Times New Roman" w:hAnsi="Times New Roman"/>
                <w:b/>
                <w:i/>
                <w:sz w:val="20"/>
              </w:rPr>
              <w:t>DGCL</w:t>
            </w:r>
            <w:r>
              <w:rPr>
                <w:rFonts w:ascii="Times New Roman" w:hAnsi="Times New Roman"/>
                <w:sz w:val="20"/>
              </w:rPr>
              <w:t xml:space="preserve">”), and (B) certificates representing the shares of Preferred Stock have been duly executed, countersigned, registered and delivered (or non-certificated shares of Preferred Stock have been properly issued) in accordance with the applicable definitive purchase, underwriting or similar agreement approved by the Board, then upon payment of the consideration thereof (not less than the par value of the Preferred Stock) provided for therein and as contemplated by the Registration Statement, the Primary Prospectus and the related Prospectus supplement (if any), such shares of Preferred Stock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Company’s Debt Securities, when (A) the Board (or a committee thereof) has taken all necessary corporate action to approve the issuance and terms of the Debt Securities, the terms of the offering thereof and related matters, (B) the applicable indenture has been duly qualified under the Trust Indenture Act of 1939, as amended, (C) the terms of such Debt Securities and of their issuance and sale have been duly established in conformity with the applicable indenture so as not to violate any applicable law or result in a default under or breach of any agreement or instrument binding upon the Company and so as to comply with any requirements or restrictions imposed by any court or governmental body having jurisdiction over the Company, (D) any shares of Common Stock issuable upon the conversion of such Debt Securities, if applicable, have been duly and validly authorized for issuance and (E) such Debt Securities have been duly executed and authenticated in accordance with the applicable indenture and issued and sold as contemplated by the Registration Statement, the Primary Prospectus and the related Prospectus supplement (if any), and upon payment of the consideration for such Debt Securities as provided for in the applicable definitive purchase, underwriting or similar agreement, such Debt Securities will be legally issued and will constitute valid and legally binding obligations of the Company enforceable against the Company in accordance with their terms, and will be entitled to the benefits of the applicable indenture;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08"/>
        <w:gridCol w:w="121"/>
        <w:gridCol w:w="4476"/>
      </w:tblGrid>
      <w:tr>
        <w:trPr/>
        <w:tc>
          <w:tcPr>
            <w:tcW w:w="56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7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3</w:t>
            </w:r>
          </w:p>
        </w:tc>
      </w:tr>
      <w:tr>
        <w:trPr/>
        <w:tc>
          <w:tcPr>
            <w:tcW w:w="5608" w:type="dxa"/>
            <w:tcBorders/>
          </w:tcPr>
          <w:p>
            <w:pPr>
              <w:pStyle w:val="TableContents"/>
              <w:bidi w:val="0"/>
              <w:spacing w:before="0" w:after="283"/>
              <w:jc w:val="left"/>
              <w:rPr>
                <w:b/>
              </w:rPr>
            </w:pPr>
            <w:r>
              <w:rPr>
                <w:b/>
              </w:rPr>
              <w:t>Vinson &amp; Elkins LLP Attorneys at Law</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845 Texas Ave, Suite 4700</w:t>
            </w:r>
          </w:p>
        </w:tc>
      </w:tr>
      <w:tr>
        <w:trPr/>
        <w:tc>
          <w:tcPr>
            <w:tcW w:w="5608" w:type="dxa"/>
            <w:tcBorders/>
          </w:tcPr>
          <w:p>
            <w:pPr>
              <w:pStyle w:val="TableContents"/>
              <w:bidi w:val="0"/>
              <w:spacing w:before="0" w:after="283"/>
              <w:jc w:val="left"/>
              <w:rPr/>
            </w:pPr>
            <w:r>
              <w:rPr/>
              <w:t>Austin Brussels Dallas Denver Dubai Dublin Houston London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Houston, TX 77002</w:t>
            </w:r>
          </w:p>
        </w:tc>
      </w:tr>
      <w:tr>
        <w:trPr/>
        <w:tc>
          <w:tcPr>
            <w:tcW w:w="5608" w:type="dxa"/>
            <w:tcBorders/>
          </w:tcPr>
          <w:p>
            <w:pPr>
              <w:pStyle w:val="TableContents"/>
              <w:bidi w:val="0"/>
              <w:spacing w:before="0" w:after="283"/>
              <w:jc w:val="left"/>
              <w:rPr/>
            </w:pPr>
            <w:r>
              <w:rPr/>
              <w:t>Los Angeles New York Richmond San Francisco Tokyo Washington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b/>
              </w:rPr>
              <w:t xml:space="preserve">Tel </w:t>
            </w:r>
            <w:r>
              <w:rPr/>
              <w:t xml:space="preserve">+1.713.758.2222 </w:t>
            </w:r>
            <w:r>
              <w:rPr>
                <w:b/>
              </w:rPr>
              <w:t xml:space="preserve">Fax </w:t>
            </w:r>
            <w:r>
              <w:rPr/>
              <w:t>+1.713.758.2346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85"/>
        <w:gridCol w:w="122"/>
        <w:gridCol w:w="4898"/>
      </w:tblGrid>
      <w:tr>
        <w:trPr/>
        <w:tc>
          <w:tcPr>
            <w:tcW w:w="51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283"/>
              <w:jc w:val="left"/>
              <w:rPr/>
            </w:pPr>
            <w:r>
              <w:rPr/>
              <w:drawing>
                <wp:inline distT="0" distB="0" distL="0" distR="0">
                  <wp:extent cx="502285" cy="203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9"/>
                          <a:stretch>
                            <a:fillRect/>
                          </a:stretch>
                        </pic:blipFill>
                        <pic:spPr bwMode="auto">
                          <a:xfrm>
                            <a:off x="0" y="0"/>
                            <a:ext cx="502285" cy="2032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283"/>
              <w:jc w:val="right"/>
              <w:rPr/>
            </w:pPr>
            <w:r>
              <w:rPr/>
              <w:t>May 14, 2026 Page 4</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Company’s Warrants, when (A) the Board (or a committee thereof) has taken all necessary corporate action to approve the issuance and terms of the offering thereof and related matters, (B) the terms of the Warrants and their issuance and sale have been duly authorized by all necessary corporate action of the Company and (C) such Warrants have been duly executed, countersigned and delivered in accordance with the applicable warrant agreement and against payment of the purchase price therefor in accordance with the applicable purchase, underwriting or similar agreement approved by the Board and as contemplated by the Registration Statement, the Primary Prospectus and the related Prospectus supplement (if any), such Warrants will be legally issued and will constitute valid and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Company’s Units, when (A) the Board (or a committee thereof) has taken all necessary corporate action to approve and establish the terms of the Units and to approve the issuance and the terms of the offering thereof and related matters, (B) the purchase agreement for the Units has been duly authorized and validly executed by the parties thereto and (C) the Units have been duly executed and delivered in accordance with the applicable definitive purchase, underwriting or similar agreement approved by the Board, then upon payment of the consideration therefor provided therein and as contemplated by the Registration Statement, the Primary Prospectus and the related Prospectus supplement (if any), such Units will be legally issued and will constitute valid and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Company’s Rights, when (A) the Board (or a committee thereof) has taken all necessary corporate action to approve and establish the terms of the Rights and to approve the issuance and the terms of the offering thereof and related matters, (B) the terms of the Rights and of their issuance and sale have been duly established so as to not violate any applicable law or result in a default under or breach of any agreement or instrument binding upon the Company and comply with any requirement or restriction imposed by any court or governmental body having jurisdiction over the Company or any of its property and (C) the Rights have been duly executed and delivered in accordance with the applicable definitive purchase, underwriting or similar agreement approved by the Board, then upon payment of the consideration therefor provided for therein and as contemplated by the Registration Statement, the Primary Prospectus and the related Prospectus supplement (if any), the Rights will be legally issued and will constitute valid and binding obligations of the Company enforceable against the Company in accordance with their terms;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Stockholder Shares proposed to be sold by the Selling Stockholders have been duly authorized, and upon exercise of the Issued Warrants in accordance with the terms of the Warrant Agreements, then upon payment of the consideration contemplated by the Warrant Agreements (not less than the par value of the Common Stock), will be validly issued, fully paid and non-assessable.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08"/>
        <w:gridCol w:w="121"/>
        <w:gridCol w:w="4476"/>
      </w:tblGrid>
      <w:tr>
        <w:trPr/>
        <w:tc>
          <w:tcPr>
            <w:tcW w:w="56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7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4</w:t>
            </w:r>
          </w:p>
        </w:tc>
      </w:tr>
      <w:tr>
        <w:trPr/>
        <w:tc>
          <w:tcPr>
            <w:tcW w:w="5608" w:type="dxa"/>
            <w:tcBorders/>
          </w:tcPr>
          <w:p>
            <w:pPr>
              <w:pStyle w:val="TableContents"/>
              <w:bidi w:val="0"/>
              <w:spacing w:before="0" w:after="283"/>
              <w:jc w:val="left"/>
              <w:rPr>
                <w:b/>
              </w:rPr>
            </w:pPr>
            <w:r>
              <w:rPr>
                <w:b/>
              </w:rPr>
              <w:t>Vinson &amp; Elkins LLP Attorneys at Law</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845 Texas Ave, Suite 4700</w:t>
            </w:r>
          </w:p>
        </w:tc>
      </w:tr>
      <w:tr>
        <w:trPr/>
        <w:tc>
          <w:tcPr>
            <w:tcW w:w="5608" w:type="dxa"/>
            <w:tcBorders/>
          </w:tcPr>
          <w:p>
            <w:pPr>
              <w:pStyle w:val="TableContents"/>
              <w:bidi w:val="0"/>
              <w:spacing w:before="0" w:after="283"/>
              <w:jc w:val="left"/>
              <w:rPr/>
            </w:pPr>
            <w:r>
              <w:rPr/>
              <w:t>Austin Brussels Dallas Denver Dubai Dublin Houston London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Houston, TX 77002</w:t>
            </w:r>
          </w:p>
        </w:tc>
      </w:tr>
      <w:tr>
        <w:trPr/>
        <w:tc>
          <w:tcPr>
            <w:tcW w:w="5608" w:type="dxa"/>
            <w:tcBorders/>
          </w:tcPr>
          <w:p>
            <w:pPr>
              <w:pStyle w:val="TableContents"/>
              <w:bidi w:val="0"/>
              <w:spacing w:before="0" w:after="283"/>
              <w:jc w:val="left"/>
              <w:rPr/>
            </w:pPr>
            <w:r>
              <w:rPr/>
              <w:t>Los Angeles New York Richmond San Francisco Tokyo Washington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b/>
              </w:rPr>
              <w:t xml:space="preserve">Tel </w:t>
            </w:r>
            <w:r>
              <w:rPr/>
              <w:t xml:space="preserve">+1.713.758.2222 </w:t>
            </w:r>
            <w:r>
              <w:rPr>
                <w:b/>
              </w:rPr>
              <w:t xml:space="preserve">Fax </w:t>
            </w:r>
            <w:r>
              <w:rPr/>
              <w:t>+1.713.758.2346 velaw.com</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185"/>
        <w:gridCol w:w="122"/>
        <w:gridCol w:w="4898"/>
      </w:tblGrid>
      <w:tr>
        <w:trPr/>
        <w:tc>
          <w:tcPr>
            <w:tcW w:w="51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5" w:type="dxa"/>
            <w:tcBorders/>
            <w:vAlign w:val="bottom"/>
          </w:tcPr>
          <w:p>
            <w:pPr>
              <w:pStyle w:val="TableContents"/>
              <w:bidi w:val="0"/>
              <w:spacing w:before="0" w:after="283"/>
              <w:jc w:val="left"/>
              <w:rPr/>
            </w:pPr>
            <w:r>
              <w:rPr/>
              <w:drawing>
                <wp:inline distT="0" distB="0" distL="0" distR="0">
                  <wp:extent cx="502285" cy="203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0"/>
                          <a:stretch>
                            <a:fillRect/>
                          </a:stretch>
                        </pic:blipFill>
                        <pic:spPr bwMode="auto">
                          <a:xfrm>
                            <a:off x="0" y="0"/>
                            <a:ext cx="502285" cy="2032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283"/>
              <w:jc w:val="right"/>
              <w:rPr/>
            </w:pPr>
            <w:r>
              <w:rPr/>
              <w:t>May 14, 2026 Page 5</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foregoing opinions are qualified to the extent that the enforceability of any document, instrument or Security may be limited by or subject to (i) bankruptcy, insolvency, fraudulent transfer or conveyance, reorganization, moratorium or other similar laws relating to or affecting creditors’ rights generally, and general equitable or public policy principles,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opinions concerning (i) the validity or enforceability of any provisions contained in the applicable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herein are limited in all respects to the DGCL (including the applicable provisions of the Delaware Constitution and the reported judicial decisions interpreting these laws), the laws of the State of New York and the federal laws of the United States of America, and we do not express any opinions as to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use of our name in the Prospectuses forming a part of the Registration Statement under the caption “Legal Matters.” In giving this consent, we do not admit that we are within the category of persons whose consent is required under Section 7 of the Securities Act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herein are given as of the date hereof and we undertake no obligations to supplement this opinion if any applicable law changes after such date or if we become aware of any facts that might change the opinions expressed herein after such date or for any other reason.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3"/>
        <w:gridCol w:w="198"/>
        <w:gridCol w:w="3341"/>
      </w:tblGrid>
      <w:tr>
        <w:trPr/>
        <w:tc>
          <w:tcPr>
            <w:tcW w:w="543"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334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 Vinson &amp; Elkins L.L.P.</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08"/>
        <w:gridCol w:w="121"/>
        <w:gridCol w:w="4476"/>
      </w:tblGrid>
      <w:tr>
        <w:trPr/>
        <w:tc>
          <w:tcPr>
            <w:tcW w:w="56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7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pPr>
            <w:r>
              <w:rPr/>
              <w:t>5</w:t>
            </w:r>
          </w:p>
        </w:tc>
      </w:tr>
      <w:tr>
        <w:trPr/>
        <w:tc>
          <w:tcPr>
            <w:tcW w:w="5608" w:type="dxa"/>
            <w:tcBorders/>
          </w:tcPr>
          <w:p>
            <w:pPr>
              <w:pStyle w:val="TableContents"/>
              <w:bidi w:val="0"/>
              <w:spacing w:before="0" w:after="283"/>
              <w:jc w:val="left"/>
              <w:rPr>
                <w:b/>
              </w:rPr>
            </w:pPr>
            <w:r>
              <w:rPr>
                <w:b/>
              </w:rPr>
              <w:t>Vinson &amp; Elkins LLP Attorneys at Law</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845 Texas Ave, Suite 4700</w:t>
            </w:r>
          </w:p>
        </w:tc>
      </w:tr>
      <w:tr>
        <w:trPr/>
        <w:tc>
          <w:tcPr>
            <w:tcW w:w="5608" w:type="dxa"/>
            <w:tcBorders/>
          </w:tcPr>
          <w:p>
            <w:pPr>
              <w:pStyle w:val="TableContents"/>
              <w:bidi w:val="0"/>
              <w:spacing w:before="0" w:after="283"/>
              <w:jc w:val="left"/>
              <w:rPr/>
            </w:pPr>
            <w:r>
              <w:rPr/>
              <w:t>Austin Brussels Dallas Denver Dubai Dublin Houston London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t>Houston, TX 77002</w:t>
            </w:r>
          </w:p>
        </w:tc>
      </w:tr>
      <w:tr>
        <w:trPr/>
        <w:tc>
          <w:tcPr>
            <w:tcW w:w="5608" w:type="dxa"/>
            <w:tcBorders/>
          </w:tcPr>
          <w:p>
            <w:pPr>
              <w:pStyle w:val="TableContents"/>
              <w:bidi w:val="0"/>
              <w:spacing w:before="0" w:after="283"/>
              <w:jc w:val="left"/>
              <w:rPr/>
            </w:pPr>
            <w:r>
              <w:rPr/>
              <w:t>Los Angeles New York Richmond San Francisco Tokyo Washington</w:t>
            </w:r>
          </w:p>
        </w:tc>
        <w:tc>
          <w:tcPr>
            <w:tcW w:w="121" w:type="dxa"/>
            <w:tcBorders/>
            <w:vAlign w:val="bottom"/>
          </w:tcPr>
          <w:p>
            <w:pPr>
              <w:pStyle w:val="TableContents"/>
              <w:bidi w:val="0"/>
              <w:spacing w:before="0" w:after="283"/>
              <w:jc w:val="left"/>
              <w:rPr/>
            </w:pPr>
            <w:r>
              <w:rPr/>
              <w:t>  </w:t>
            </w:r>
          </w:p>
        </w:tc>
        <w:tc>
          <w:tcPr>
            <w:tcW w:w="4476" w:type="dxa"/>
            <w:tcBorders/>
          </w:tcPr>
          <w:p>
            <w:pPr>
              <w:pStyle w:val="TableContents"/>
              <w:bidi w:val="0"/>
              <w:spacing w:before="0" w:after="283"/>
              <w:jc w:val="left"/>
              <w:rPr/>
            </w:pPr>
            <w:r>
              <w:rPr>
                <w:b/>
              </w:rPr>
              <w:t xml:space="preserve">Tel </w:t>
            </w:r>
            <w:r>
              <w:rPr/>
              <w:t xml:space="preserve">+1.713.758.2222 </w:t>
            </w:r>
            <w:r>
              <w:rPr>
                <w:b/>
              </w:rPr>
              <w:t xml:space="preserve">Fax </w:t>
            </w:r>
            <w:r>
              <w:rPr/>
              <w:t>+1.713.758.2346 velaw.com</w:t>
            </w:r>
          </w:p>
        </w:tc>
      </w:tr>
    </w:tbl>
    <w:p>
      <w:pPr>
        <w:pStyle w:val="TextBody"/>
        <w:bidi w:val="0"/>
        <w:spacing w:before="0" w:after="0"/>
        <w:jc w:val="right"/>
        <w:rPr>
          <w:rFonts w:ascii="Times New Roman" w:hAnsi="Times New Roman"/>
          <w:b/>
          <w:sz w:val="20"/>
        </w:rPr>
      </w:pPr>
      <w:bookmarkStart w:id="36" w:name="d63698dex231.htm"/>
      <w:bookmarkStart w:id="37" w:name="ksd63698dex231"/>
      <w:bookmarkEnd w:id="36"/>
      <w:bookmarkEnd w:id="37"/>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12, 2026 relating to the financial statements of KLX Energy Services Holdings, Inc. appearing in the Annual Report on Form 10-K of KLX Energy Services Holdings, Inc. for the year ended December 31, 2025.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290"/>
        <w:gridCol w:w="291"/>
        <w:gridCol w:w="3501"/>
      </w:tblGrid>
      <w:tr>
        <w:trPr/>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350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 Deloitte &amp; Touche LLP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Houston, Texas</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May 14, 2026</w:t>
            </w:r>
          </w:p>
        </w:tc>
      </w:tr>
    </w:tbl>
    <w:p>
      <w:pPr>
        <w:pStyle w:val="Normal"/>
        <w:bidi w:val="0"/>
        <w:spacing w:before="0" w:after="0"/>
        <w:jc w:val="left"/>
        <w:rPr>
          <w:sz w:val="4"/>
          <w:szCs w:val="4"/>
        </w:rPr>
      </w:pPr>
      <w:r>
        <w:rPr>
          <w:sz w:val="4"/>
          <w:szCs w:val="4"/>
        </w:rPr>
      </w:r>
      <w:bookmarkStart w:id="38" w:name="d63698dexfilingfees.htm"/>
      <w:bookmarkStart w:id="39" w:name="ksd63698dexfilingfees"/>
      <w:bookmarkStart w:id="40" w:name="d63698dexfilingfees.htm"/>
      <w:bookmarkStart w:id="41" w:name="ksd63698dexfilingfees"/>
      <w:bookmarkEnd w:id="40"/>
      <w:bookmarkEnd w:id="41"/>
      <w:r>
        <w:br w:type="page"/>
      </w:r>
    </w:p>
    <w:tbl>
      <w:tblPr>
        <w:tblW w:w="4025" w:type="dxa"/>
        <w:jc w:val="left"/>
        <w:tblInd w:w="0" w:type="dxa"/>
        <w:tblLayout w:type="fixed"/>
        <w:tblCellMar>
          <w:top w:w="28" w:type="dxa"/>
          <w:left w:w="28" w:type="dxa"/>
          <w:bottom w:w="28" w:type="dxa"/>
          <w:right w:w="28" w:type="dxa"/>
        </w:tblCellMar>
      </w:tblPr>
      <w:tblGrid>
        <w:gridCol w:w="3871"/>
        <w:gridCol w:w="154"/>
      </w:tblGrid>
      <w:tr>
        <w:trPr/>
        <w:tc>
          <w:tcPr>
            <w:tcW w:w="402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87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871" w:type="dxa"/>
            <w:tcBorders/>
            <w:vAlign w:val="center"/>
          </w:tcPr>
          <w:p>
            <w:pPr>
              <w:pStyle w:val="TableContents"/>
              <w:bidi w:val="0"/>
              <w:spacing w:before="0" w:after="283"/>
              <w:jc w:val="left"/>
              <w:rPr>
                <w:b/>
              </w:rPr>
            </w:pPr>
            <w:r>
              <w:rPr>
                <w:b/>
              </w:rPr>
              <w:t xml:space="preserve">KLX Energy Services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64" w:type="dxa"/>
        <w:jc w:val="left"/>
        <w:tblInd w:w="0" w:type="dxa"/>
        <w:tblLayout w:type="fixed"/>
        <w:tblCellMar>
          <w:top w:w="28" w:type="dxa"/>
          <w:left w:w="28" w:type="dxa"/>
          <w:bottom w:w="28" w:type="dxa"/>
          <w:right w:w="28" w:type="dxa"/>
        </w:tblCellMar>
      </w:tblPr>
      <w:tblGrid>
        <w:gridCol w:w="1126"/>
        <w:gridCol w:w="226"/>
        <w:gridCol w:w="1246"/>
        <w:gridCol w:w="120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0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6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0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0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0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01" w:type="dxa"/>
            <w:tcBorders/>
            <w:shd w:fill="E7E7E2" w:val="clear"/>
            <w:vAlign w:val="center"/>
          </w:tcPr>
          <w:p>
            <w:pPr>
              <w:pStyle w:val="TableContents"/>
              <w:bidi w:val="0"/>
              <w:spacing w:before="0" w:after="283"/>
              <w:jc w:val="left"/>
              <w:rPr/>
            </w:pPr>
            <w:r>
              <w:rPr/>
              <w:t xml:space="preserve">Rights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0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$ 34,525.00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Equity </w:t>
            </w:r>
          </w:p>
        </w:tc>
        <w:tc>
          <w:tcPr>
            <w:tcW w:w="1201" w:type="dxa"/>
            <w:tcBorders/>
            <w:shd w:fill="E7E7E2" w:val="clear"/>
            <w:vAlign w:val="center"/>
          </w:tcPr>
          <w:p>
            <w:pPr>
              <w:pStyle w:val="TableContents"/>
              <w:bidi w:val="0"/>
              <w:spacing w:before="0" w:after="283"/>
              <w:jc w:val="left"/>
              <w:rPr/>
            </w:pPr>
            <w:r>
              <w:rPr/>
              <w:t xml:space="preserve">Common Stock offered by the selling stockholder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803,712 </w:t>
            </w:r>
          </w:p>
        </w:tc>
        <w:tc>
          <w:tcPr>
            <w:tcW w:w="1156" w:type="dxa"/>
            <w:tcBorders/>
            <w:shd w:fill="E7E7E2" w:val="clear"/>
            <w:vAlign w:val="center"/>
          </w:tcPr>
          <w:p>
            <w:pPr>
              <w:pStyle w:val="TableContents"/>
              <w:bidi w:val="0"/>
              <w:spacing w:before="0" w:after="283"/>
              <w:jc w:val="right"/>
              <w:rPr/>
            </w:pPr>
            <w:r>
              <w:rPr/>
              <w:t xml:space="preserve">$ 3.32 </w:t>
            </w:r>
          </w:p>
        </w:tc>
        <w:tc>
          <w:tcPr>
            <w:tcW w:w="1786" w:type="dxa"/>
            <w:tcBorders/>
            <w:shd w:fill="E7E7E2" w:val="clear"/>
            <w:vAlign w:val="center"/>
          </w:tcPr>
          <w:p>
            <w:pPr>
              <w:pStyle w:val="TableContents"/>
              <w:bidi w:val="0"/>
              <w:spacing w:before="0" w:after="283"/>
              <w:jc w:val="right"/>
              <w:rPr/>
            </w:pPr>
            <w:r>
              <w:rPr/>
              <w:t xml:space="preserve">$ 2,668,323.84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$ 368.50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0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6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0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66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2" w:name="MaxAggtOfferingPrice"/>
            <w:bookmarkEnd w:id="42"/>
            <w:r>
              <w:rPr/>
              <w:t xml:space="preserve">$ 252,668,323.84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3" w:name="TotalFeeAmt"/>
            <w:bookmarkEnd w:id="43"/>
            <w:r>
              <w:rPr/>
              <w:t xml:space="preserve">$ 34,893.50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66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4" w:name="TotalPreviouslyPaidAmt"/>
            <w:bookmarkEnd w:id="4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66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5" w:name="TotalOffsetAmt"/>
            <w:bookmarkEnd w:id="45"/>
            <w:r>
              <w:rPr/>
              <w:t xml:space="preserve">$ 24,795.00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66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6" w:name="NetFeeAmt"/>
            <w:bookmarkEnd w:id="46"/>
            <w:r>
              <w:rPr/>
              <w:t xml:space="preserve">$ 10,098.50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493"/>
        <w:gridCol w:w="8514"/>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up to $250,000,000.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offering price are estimated solely for the purpose of calculating the registration fee pursuant to Rule 457(o) under the Securities Act. (2) If any debt securities are issued at an original issue discount, then the offering price of such debt securities shall be in such amount as shall result in an aggregate initial offering price not to exceed $250,000,000, less the dollar amount of any registered securities previously issued. (3) The warrants ("Warrants") covered by this registration statement may be Warrants for common shares, par value $0.01 per share ("Common Stock") or preferred shares, par value $0.01 per share ("Preferred Stock") issued by the registrant. (4) The units may be issued under a unit agreement and will represent an interest in one or more securities registered under this registration statement, in any combination. (5) The rights ("Rights") covered by this registration statement may be Rights to purchase shares of Common Stock or Preferred Stock issued by the registrant. </w:t>
            </w:r>
          </w:p>
        </w:tc>
      </w:tr>
      <w:tr>
        <w:trPr/>
        <w:tc>
          <w:tcPr>
            <w:tcW w:w="1691" w:type="dxa"/>
            <w:gridSpan w:val="2"/>
            <w:tcBorders/>
            <w:vAlign w:val="center"/>
          </w:tcPr>
          <w:p>
            <w:pPr>
              <w:pStyle w:val="HorizontalLine"/>
              <w:pBdr>
                <w:bottom w:val="double" w:sz="2" w:space="0" w:color="808080"/>
              </w:pBdr>
              <w:bidi w:val="0"/>
              <w:spacing w:before="0" w:after="283"/>
              <w:jc w:val="left"/>
              <w:rPr/>
            </w:pPr>
            <w:r>
              <w:rPr/>
            </w:r>
          </w:p>
        </w:tc>
        <w:tc>
          <w:tcPr>
            <w:tcW w:w="8514"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(6) Represents up to 803,712 shares of common stock, par value $0.01 per share ("Common Stock"), of KLX Energy Services Holdings, Inc. (the "Company") that the Company may issue to the selling stockholders, upon exercise of the Warrants issued to the selling stockholders in connection with the certain amendment to the indenture governing the 2030 Senior Notes, on March 6, 2026 and March 11, 2026 which may be offered for sale by the selling stockholders on the terms and conditions described in the prospectus that forms a part of the Company's registration statement on Form S-3 to which this exhibit relates. (7) The Proposed Maximum Aggregate Offering Price Per Unit is estimated solely for the purpose of calculating the registration fee pursuant to Rule 457(c) under the Securities Act based on the average of the high and low prices of KLXE Common Stock, on the Nasdaq Global Select Market on May 8, 2026. (8) The $252,668,323.84 of securities registered pursuant to this registration statement consists of (i) $250,000,000 of a presently indeterminate number or amount of Common Stock, Preferred Stock, Debt Securities, Warrants, Units and Rights of the Company registered in the primary unallocated offering and (ii) 803,712 shares of Common Stock that may be sold by the selling stockholders. </w:t>
            </w:r>
          </w:p>
        </w:tc>
      </w:tr>
      <w:tr>
        <w:trPr/>
        <w:tc>
          <w:tcPr>
            <w:tcW w:w="1691" w:type="dxa"/>
            <w:gridSpan w:val="2"/>
            <w:tcBorders/>
            <w:vAlign w:val="center"/>
          </w:tcPr>
          <w:p>
            <w:pPr>
              <w:pStyle w:val="HorizontalLine"/>
              <w:pBdr>
                <w:bottom w:val="double" w:sz="2" w:space="0" w:color="808080"/>
              </w:pBdr>
              <w:bidi w:val="0"/>
              <w:spacing w:before="0" w:after="283"/>
              <w:jc w:val="left"/>
              <w:rPr/>
            </w:pPr>
            <w:r>
              <w:rPr/>
            </w:r>
          </w:p>
        </w:tc>
        <w:tc>
          <w:tcPr>
            <w:tcW w:w="851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36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24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24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36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36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KLX Energy Services Holdings,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333-271182 </w:t>
            </w:r>
          </w:p>
        </w:tc>
        <w:tc>
          <w:tcPr>
            <w:tcW w:w="706" w:type="dxa"/>
            <w:tcBorders/>
            <w:shd w:fill="E7E7E2" w:val="clear"/>
            <w:vAlign w:val="center"/>
          </w:tcPr>
          <w:p>
            <w:pPr>
              <w:pStyle w:val="TableContents"/>
              <w:bidi w:val="0"/>
              <w:spacing w:before="0" w:after="283"/>
              <w:jc w:val="left"/>
              <w:rPr/>
            </w:pPr>
            <w:r>
              <w:rPr/>
              <w:t xml:space="preserve">04/07/2023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$ 24,795.00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$ 225,000,000.00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KLX Energy Services Holdings,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333-271182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04/07/2023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$ 24,795.00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9"/>
        <w:gridCol w:w="8705"/>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On April 7, 2023, the Registrant filed a Registration Statement on Form S-3 (No. 333-271182), which became effective on April 19, 2023 (the "Prior Registration Statement") with the SEC and paid a registration fee of $24,795.00. An amount of $225,000,000.00 remained unsold under the Prior Registration Statement; such offering has been terminated and all of such securities remain unsold. Pursuant to Rule 457(p) under the Securities Act, the Registrant hereby offsets the total registration fee due under this Registration Statement against the fees previously paid in connection with the unsold amount of securities on the Prior Registration Statement. Accordingly, a $10,098.50 fee is being paid in connection with the filing of this Registration Statement after an offset amount of $24,795.00 is applied to this Registration Statement's registration fee. For the avoidance of doubt, no fees associated with the secondary component of the Prior Registration Statement are being used as an offset source.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251"/>
        <w:gridCol w:w="1055"/>
        <w:gridCol w:w="1527"/>
        <w:gridCol w:w="1757"/>
        <w:gridCol w:w="2534"/>
        <w:gridCol w:w="785"/>
        <w:gridCol w:w="1044"/>
        <w:gridCol w:w="1252"/>
      </w:tblGrid>
      <w:tr>
        <w:trPr/>
        <w:tc>
          <w:tcPr>
            <w:tcW w:w="251" w:type="dxa"/>
            <w:tcBorders/>
            <w:shd w:fill="9ADAF6" w:val="clear"/>
            <w:vAlign w:val="center"/>
          </w:tcPr>
          <w:p>
            <w:pPr>
              <w:pStyle w:val="TableHeading"/>
              <w:bidi w:val="0"/>
              <w:spacing w:before="0" w:after="283"/>
              <w:rPr>
                <w:sz w:val="4"/>
                <w:szCs w:val="4"/>
              </w:rPr>
            </w:pPr>
            <w:r>
              <w:rPr>
                <w:sz w:val="4"/>
                <w:szCs w:val="4"/>
              </w:rPr>
            </w:r>
          </w:p>
        </w:tc>
        <w:tc>
          <w:tcPr>
            <w:tcW w:w="1055"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527"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757"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34"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785"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44"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252"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251" w:type="dxa"/>
            <w:tcBorders/>
            <w:shd w:fill="E7E7E2" w:val="clear"/>
            <w:vAlign w:val="center"/>
          </w:tcPr>
          <w:p>
            <w:pPr>
              <w:pStyle w:val="TableContents"/>
              <w:bidi w:val="0"/>
              <w:spacing w:before="0" w:after="283"/>
              <w:jc w:val="center"/>
              <w:rPr/>
            </w:pPr>
            <w:r>
              <w:rPr/>
              <w:t xml:space="preserve">1 </w:t>
            </w:r>
          </w:p>
        </w:tc>
        <w:tc>
          <w:tcPr>
            <w:tcW w:w="1055" w:type="dxa"/>
            <w:tcBorders/>
            <w:shd w:fill="E7E7E2" w:val="clear"/>
            <w:vAlign w:val="center"/>
          </w:tcPr>
          <w:p>
            <w:pPr>
              <w:pStyle w:val="TableContents"/>
              <w:bidi w:val="0"/>
              <w:spacing w:before="0" w:after="283"/>
              <w:jc w:val="left"/>
              <w:rPr/>
            </w:pPr>
            <w:r>
              <w:rPr/>
              <w:t xml:space="preserve">Equity </w:t>
            </w:r>
          </w:p>
        </w:tc>
        <w:tc>
          <w:tcPr>
            <w:tcW w:w="1527" w:type="dxa"/>
            <w:tcBorders/>
            <w:shd w:fill="E7E7E2" w:val="clear"/>
            <w:vAlign w:val="center"/>
          </w:tcPr>
          <w:p>
            <w:pPr>
              <w:pStyle w:val="TableContents"/>
              <w:bidi w:val="0"/>
              <w:spacing w:before="0" w:after="283"/>
              <w:jc w:val="left"/>
              <w:rPr/>
            </w:pPr>
            <w:r>
              <w:rPr/>
              <w:t xml:space="preserve">Common Stock, par value $0.01 per share </w:t>
            </w:r>
          </w:p>
        </w:tc>
        <w:tc>
          <w:tcPr>
            <w:tcW w:w="1757" w:type="dxa"/>
            <w:tcBorders/>
            <w:shd w:fill="E7E7E2" w:val="clear"/>
            <w:vAlign w:val="center"/>
          </w:tcPr>
          <w:p>
            <w:pPr>
              <w:pStyle w:val="TableContents"/>
              <w:bidi w:val="0"/>
              <w:spacing w:before="0" w:after="283"/>
              <w:jc w:val="right"/>
              <w:rPr/>
            </w:pPr>
            <w:r>
              <w:rPr/>
              <w:t xml:space="preserve">1,372,175 </w:t>
            </w:r>
          </w:p>
        </w:tc>
        <w:tc>
          <w:tcPr>
            <w:tcW w:w="2534" w:type="dxa"/>
            <w:tcBorders/>
            <w:shd w:fill="E7E7E2" w:val="clear"/>
            <w:vAlign w:val="center"/>
          </w:tcPr>
          <w:p>
            <w:pPr>
              <w:pStyle w:val="TableContents"/>
              <w:bidi w:val="0"/>
              <w:spacing w:before="0" w:after="283"/>
              <w:jc w:val="right"/>
              <w:rPr/>
            </w:pPr>
            <w:r>
              <w:rPr/>
              <w:t xml:space="preserve">$ 2,401,306.00 </w:t>
            </w:r>
          </w:p>
        </w:tc>
        <w:tc>
          <w:tcPr>
            <w:tcW w:w="785" w:type="dxa"/>
            <w:tcBorders/>
            <w:shd w:fill="E7E7E2" w:val="clear"/>
            <w:vAlign w:val="center"/>
          </w:tcPr>
          <w:p>
            <w:pPr>
              <w:pStyle w:val="TableContents"/>
              <w:bidi w:val="0"/>
              <w:spacing w:before="0" w:after="283"/>
              <w:jc w:val="center"/>
              <w:rPr/>
            </w:pPr>
            <w:r>
              <w:rPr/>
              <w:t xml:space="preserve">S-3 </w:t>
            </w:r>
          </w:p>
        </w:tc>
        <w:tc>
          <w:tcPr>
            <w:tcW w:w="1044" w:type="dxa"/>
            <w:tcBorders/>
            <w:shd w:fill="E7E7E2" w:val="clear"/>
            <w:vAlign w:val="center"/>
          </w:tcPr>
          <w:p>
            <w:pPr>
              <w:pStyle w:val="TableContents"/>
              <w:bidi w:val="0"/>
              <w:spacing w:before="0" w:after="283"/>
              <w:jc w:val="center"/>
              <w:rPr/>
            </w:pPr>
            <w:r>
              <w:rPr/>
              <w:t xml:space="preserve">333-287774 </w:t>
            </w:r>
          </w:p>
        </w:tc>
        <w:tc>
          <w:tcPr>
            <w:tcW w:w="1252" w:type="dxa"/>
            <w:tcBorders/>
            <w:shd w:fill="E7E7E2" w:val="clear"/>
            <w:vAlign w:val="center"/>
          </w:tcPr>
          <w:p>
            <w:pPr>
              <w:pStyle w:val="TableContents"/>
              <w:bidi w:val="0"/>
              <w:spacing w:before="0" w:after="283"/>
              <w:jc w:val="center"/>
              <w:rPr/>
            </w:pPr>
            <w:r>
              <w:rPr/>
              <w:t xml:space="preserve">06/16/2025 </w:t>
            </w:r>
          </w:p>
        </w:tc>
      </w:tr>
    </w:tbl>
    <w:tbl>
      <w:tblPr>
        <w:tblW w:w="1985" w:type="dxa"/>
        <w:jc w:val="left"/>
        <w:tblInd w:w="0" w:type="dxa"/>
        <w:tblLayout w:type="fixed"/>
        <w:tblCellMar>
          <w:top w:w="28" w:type="dxa"/>
          <w:left w:w="28" w:type="dxa"/>
          <w:bottom w:w="28" w:type="dxa"/>
          <w:right w:w="28" w:type="dxa"/>
        </w:tblCellMar>
      </w:tblPr>
      <w:tblGrid>
        <w:gridCol w:w="1831"/>
        <w:gridCol w:w="154"/>
      </w:tblGrid>
      <w:tr>
        <w:trPr/>
        <w:tc>
          <w:tcPr>
            <w:tcW w:w="1831" w:type="dxa"/>
            <w:tcBorders/>
            <w:vAlign w:val="center"/>
          </w:tcPr>
          <w:p>
            <w:pPr>
              <w:pStyle w:val="TableContents"/>
              <w:bidi w:val="0"/>
              <w:spacing w:before="0" w:after="75"/>
              <w:ind w:left="0" w:right="0" w:hanging="0"/>
              <w:jc w:val="left"/>
              <w:rPr/>
            </w:pPr>
            <w:r>
              <w:rPr>
                <w:b/>
              </w:rPr>
              <w:t>Prospectus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Represents up to 1,372,175 shares of Common Stock of the Company that may be offered for sale by the selling stockholders on the terms and conditions described in the prospectus forms a part of the Company's registration statement on Form S-3 to which this exhibit relates. Estimated solely for the purpose of calculating the amount of registration fee pursuant to Rule 457(c) under the Securities Act. The proposed maximum offering price per unit and proposed maximum aggregate offering price are based the average of the high and low prices of KLXE Common Stock, on the Nasdaq Global Select Market on May 30, 2025 of $1.75. No registration fee is payable in connection with the 1,372,175 unsold shares of Common Stock that were previously registered on the Registrant's registration statement on Form S-3 (File No. 333-287774) on June 16, 2025 (the "Initial Registration Statement") because such securities are being transferred from the Initial Registration Statement to this Registration Statement pursuant to Rule 429 under the Securities Act. 1,372,175 unsold shares of Common Stock registered under the Initial Registration Statement are included in this Registration Statement. Pursuant to Rule 429(b) under the Securities Act, this Registration Statement, upon effectiveness, will constitute a post-effective amendment to the Initial Registration Statement, which post-effective amendment will become effective concurrently with the Registration Statement in accordance with Section 8(c) of the Securities Act.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738827/000173882726000013/klxe-20251231.htm" TargetMode="External"/><Relationship Id="rId4" Type="http://schemas.openxmlformats.org/officeDocument/2006/relationships/hyperlink" Target="http://www.sec.gov/Archives/edgar/data/../../../ix?doc=/Archives/edgar/data/1738827/000119312526126207/d931655ddef14a.htm" TargetMode="External"/><Relationship Id="rId5" Type="http://schemas.openxmlformats.org/officeDocument/2006/relationships/hyperlink" Target="http://www.sec.gov/Archives/edgar/data/../../../ix?doc=/Archives/edgar/data/1738827/000173882726000021/klxe-20260331.htm" TargetMode="External"/><Relationship Id="rId6" Type="http://schemas.openxmlformats.org/officeDocument/2006/relationships/hyperlink" Target="http://www.sec.gov/Archives/edgar/data/../../../ix?doc=/Archives/edgar/data/1738827/000173882726000017/klxe-20260506.htm" TargetMode="External"/><Relationship Id="rId7" Type="http://schemas.openxmlformats.org/officeDocument/2006/relationships/hyperlink" Target="http://www.sec.gov/Archives/edgar/data/1738827/000104746918005165/a2236270z10-12b.htm" TargetMode="External"/><Relationship Id="rId8" Type="http://schemas.openxmlformats.org/officeDocument/2006/relationships/hyperlink" Target="http://www.sec.gov/Archives/edgar/data/1738827/000104746918005637/a2236405z10-12ba.htm" TargetMode="External"/><Relationship Id="rId9" Type="http://schemas.openxmlformats.org/officeDocument/2006/relationships/hyperlink" Target="http://www.sec.gov/Archives/edgar/data/1738827/000104746918005787/a2236513z10-12ba.htm" TargetMode="External"/><Relationship Id="rId10" Type="http://schemas.openxmlformats.org/officeDocument/2006/relationships/hyperlink" Target="http://www.sec.gov/Archives/edgar/data/1738827/000173882721000007/klxeex43descriptionofsecur.htm" TargetMode="External"/><Relationship Id="rId11" Type="http://schemas.openxmlformats.org/officeDocument/2006/relationships/image" Target="media/image1.jpeg"/><Relationship Id="rId12" Type="http://schemas.openxmlformats.org/officeDocument/2006/relationships/hyperlink" Target="http://www.sec.gov/Archives/edgar/data/../../../ix?doc=/Archives/edgar/data/1738827/000173882726000013/klxe-20251231.htm" TargetMode="External"/><Relationship Id="rId13" Type="http://schemas.openxmlformats.org/officeDocument/2006/relationships/hyperlink" Target="http://www.sec.gov/Archives/edgar/data/../../../ix?doc=/Archives/edgar/data/1738827/000119312526126207/d931655ddef14a.htm" TargetMode="External"/><Relationship Id="rId14" Type="http://schemas.openxmlformats.org/officeDocument/2006/relationships/hyperlink" Target="http://www.sec.gov/Archives/edgar/data/../../../ix?doc=/Archives/edgar/data/1738827/000173882726000021/klxe-20260331.htm" TargetMode="External"/><Relationship Id="rId15" Type="http://schemas.openxmlformats.org/officeDocument/2006/relationships/hyperlink" Target="http://www.sec.gov/Archives/edgar/data/../../../ix?doc=/Archives/edgar/data/1738827/000173882726000017/klxe-20260506.htm" TargetMode="External"/><Relationship Id="rId16" Type="http://schemas.openxmlformats.org/officeDocument/2006/relationships/hyperlink" Target="http://www.sec.gov/Archives/edgar/data/1738827/000104746918005165/a2236270z10-12b.htm" TargetMode="External"/><Relationship Id="rId17" Type="http://schemas.openxmlformats.org/officeDocument/2006/relationships/hyperlink" Target="http://www.sec.gov/Archives/edgar/data/1738827/000104746918005637/a2236405z10-12ba.htm" TargetMode="External"/><Relationship Id="rId18" Type="http://schemas.openxmlformats.org/officeDocument/2006/relationships/hyperlink" Target="http://www.sec.gov/Archives/edgar/data/1738827/000104746918005787/a2236513z10-12ba.htm" TargetMode="External"/><Relationship Id="rId19" Type="http://schemas.openxmlformats.org/officeDocument/2006/relationships/hyperlink" Target="http://www.sec.gov/Archives/edgar/data/1738827/000173882721000007/klxeex43descriptionofsecur.htm" TargetMode="External"/><Relationship Id="rId20" Type="http://schemas.openxmlformats.org/officeDocument/2006/relationships/hyperlink" Target="http://www.sec.gov/Archives/edgar/data/1738827/000173882720000004/klxenergy-archarter2020.htm" TargetMode="External"/><Relationship Id="rId21" Type="http://schemas.openxmlformats.org/officeDocument/2006/relationships/hyperlink" Target="http://www.sec.gov/Archives/edgar/data/1738827/000173882721000031/fourthamendedandrestatedby.htm" TargetMode="External"/><Relationship Id="rId22" Type="http://schemas.openxmlformats.org/officeDocument/2006/relationships/hyperlink" Target="http://www.sec.gov/Archives/edgar/data/1738827/000173882721000007/klxeex43descriptionofsecur.htm" TargetMode="External"/><Relationship Id="rId23" Type="http://schemas.openxmlformats.org/officeDocument/2006/relationships/hyperlink" Target="http://www.sec.gov/Archives/edgar/data/1738827/000119312525052936/d936400dex43.htm" TargetMode="External"/><Relationship Id="rId24" Type="http://schemas.openxmlformats.org/officeDocument/2006/relationships/hyperlink" Target="http://www.sec.gov/Archives/edgar/data/1738827/000173882726000021/klxe-formof2026warrantagre.htm" TargetMode="External"/><Relationship Id="rId25" Type="http://schemas.openxmlformats.org/officeDocument/2006/relationships/hyperlink" Target="http://www.sec.gov/Archives/edgar/data/1738827/000119312525049126/d889500dex101.htm" TargetMode="External"/><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130</Pages>
  <Words>56918</Words>
  <Characters>295536</Characters>
  <CharactersWithSpaces>353807</CharactersWithSpaces>
  <Paragraphs>4170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