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1" w:lineRule="exact"/>
        <w:rPr>
          <w:sz w:val="24"/>
          <w:szCs w:val="24"/>
          <w:color w:val="auto"/>
        </w:rPr>
      </w:pPr>
    </w:p>
    <w:p>
      <w:pPr>
        <w:ind w:left="3900" w:right="2280" w:hanging="3351"/>
        <w:spacing w:after="0" w:line="374" w:lineRule="auto"/>
        <w:tabs>
          <w:tab w:leader="none" w:pos="80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31, 2021</w:t>
      </w:r>
    </w:p>
    <w:p>
      <w:pPr>
        <w:spacing w:after="0" w:line="48"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83"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No. 001-38609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KLX Energy Services Holdings,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003" w:right="339" w:bottom="1440" w:gutter="0" w:footer="0" w:header="0"/>
        </w:sectPr>
      </w:pPr>
    </w:p>
    <w:p>
      <w:pPr>
        <w:spacing w:after="0" w:line="141"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36-4904146</w:t>
      </w:r>
    </w:p>
    <w:p>
      <w:pPr>
        <w:spacing w:after="0" w:line="53" w:lineRule="exact"/>
        <w:rPr>
          <w:sz w:val="24"/>
          <w:szCs w:val="24"/>
          <w:color w:val="auto"/>
        </w:rPr>
      </w:pPr>
    </w:p>
    <w:p>
      <w:pPr>
        <w:sectPr>
          <w:pgSz w:w="11900" w:h="16838" w:orient="portrait"/>
          <w:cols w:equalWidth="0" w:num="2">
            <w:col w:w="7220" w:space="720"/>
            <w:col w:w="3300"/>
          </w:cols>
          <w:pgMar w:left="320" w:top="1003" w:right="339" w:bottom="1440" w:gutter="0" w:footer="0" w:header="0"/>
          <w:type w:val="continuous"/>
        </w:sectPr>
      </w:pPr>
    </w:p>
    <w:p>
      <w:pPr>
        <w:ind w:left="206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003" w:right="339" w:bottom="1440" w:gutter="0" w:footer="0" w:header="0"/>
          <w:type w:val="continuous"/>
        </w:sectPr>
      </w:pP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3040 Post Oak Boulevard, 15th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Houston, TX 77056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(832) 844-1015</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principal executive offices of registrant)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gridSpan w:val="3"/>
          </w:tcPr>
          <w:p>
            <w:pPr>
              <w:ind w:left="1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6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5"/>
        </w:trPr>
        <w:tc>
          <w:tcPr>
            <w:tcW w:w="36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Common Stock, $0.01 Par Value</w:t>
            </w:r>
          </w:p>
        </w:tc>
        <w:tc>
          <w:tcPr>
            <w:tcW w:w="2480" w:type="dxa"/>
            <w:vAlign w:val="bottom"/>
            <w:gridSpan w:val="2"/>
          </w:tcPr>
          <w:p>
            <w:pPr>
              <w:jc w:val="center"/>
              <w:ind w:right="300"/>
              <w:spacing w:after="0"/>
              <w:rPr>
                <w:sz w:val="20"/>
                <w:szCs w:val="20"/>
                <w:color w:val="auto"/>
              </w:rPr>
            </w:pPr>
            <w:r>
              <w:rPr>
                <w:rFonts w:ascii="Arial" w:cs="Arial" w:eastAsia="Arial" w:hAnsi="Arial"/>
                <w:sz w:val="16"/>
                <w:szCs w:val="16"/>
                <w:color w:val="auto"/>
              </w:rPr>
              <w:t>KLXE</w:t>
            </w:r>
          </w:p>
        </w:tc>
        <w:tc>
          <w:tcPr>
            <w:tcW w:w="5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30" w:lineRule="exact"/>
        <w:rPr>
          <w:sz w:val="24"/>
          <w:szCs w:val="24"/>
          <w:color w:val="auto"/>
        </w:rPr>
      </w:pPr>
    </w:p>
    <w:p>
      <w:pPr>
        <w:jc w:val="both"/>
        <w:spacing w:after="0" w:line="19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ind w:right="50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25" w:lineRule="exact"/>
        <w:rPr>
          <w:sz w:val="24"/>
          <w:szCs w:val="24"/>
          <w:color w:val="auto"/>
        </w:rPr>
      </w:pPr>
    </w:p>
    <w:p>
      <w:pPr>
        <w:ind w:left="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65"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spacing w:after="0" w:line="30" w:lineRule="exact"/>
        <w:rPr>
          <w:sz w:val="24"/>
          <w:szCs w:val="24"/>
          <w:color w:val="auto"/>
        </w:rPr>
      </w:pPr>
    </w:p>
    <w:p>
      <w:pPr>
        <w:ind w:left="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06"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ind w:left="764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1003" w:right="339" w:bottom="1440" w:gutter="0" w:footer="0" w:header="0"/>
          <w:type w:val="continuous"/>
        </w:sectPr>
      </w:pPr>
    </w:p>
    <w:p>
      <w:pPr>
        <w:spacing w:after="0" w:line="374" w:lineRule="exact"/>
        <w:rPr>
          <w:sz w:val="24"/>
          <w:szCs w:val="24"/>
          <w:color w:val="auto"/>
        </w:rPr>
      </w:pPr>
    </w:p>
    <w:p>
      <w:pPr>
        <w:ind w:firstLine="241"/>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6"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The registrant has one class of common stock, $0.01 par value, of which 10,346,840 shares were outstanding as of December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521970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35"/>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20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ind w:left="60"/>
              <w:spacing w:after="0"/>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160" w:type="dxa"/>
            <w:vAlign w:val="bottom"/>
            <w:tcBorders>
              <w:top w:val="single" w:sz="8" w:color="0000FF"/>
            </w:tcBorders>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Balance Sheets as of </w:t>
              </w:r>
            </w:hyperlink>
            <w:r>
              <w:rPr>
                <w:rFonts w:ascii="Arial" w:cs="Arial" w:eastAsia="Arial" w:hAnsi="Arial"/>
                <w:sz w:val="18"/>
                <w:szCs w:val="18"/>
                <w:color w:val="0E32E1"/>
              </w:rPr>
              <w:t>October</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January</w:t>
            </w:r>
            <w:r>
              <w:rPr>
                <w:rFonts w:ascii="Arial" w:cs="Arial" w:eastAsia="Arial" w:hAnsi="Arial"/>
                <w:sz w:val="18"/>
                <w:szCs w:val="18"/>
                <w:color w:val="0000FF"/>
              </w:rPr>
              <w:t xml:space="preserve"> </w:t>
            </w:r>
            <w:r>
              <w:rPr>
                <w:rFonts w:ascii="Arial" w:cs="Arial" w:eastAsia="Arial" w:hAnsi="Arial"/>
                <w:sz w:val="18"/>
                <w:szCs w:val="18"/>
                <w:color w:val="0E32E1"/>
              </w:rPr>
              <w:t>31, 2021</w:t>
            </w:r>
          </w:p>
        </w:tc>
        <w:tc>
          <w:tcPr>
            <w:tcW w:w="5240" w:type="dxa"/>
            <w:vAlign w:val="bottom"/>
            <w:gridSpan w:val="11"/>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E32E1"/>
            </w:tcBorders>
            <w:shd w:val="clear" w:color="auto" w:fill="0000FF"/>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gridSpan w:val="2"/>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Statements of Operations for the </w:t>
              </w:r>
            </w:hyperlink>
            <w:r>
              <w:rPr>
                <w:rFonts w:ascii="Arial" w:cs="Arial" w:eastAsia="Arial" w:hAnsi="Arial"/>
                <w:sz w:val="18"/>
                <w:szCs w:val="18"/>
                <w:color w:val="0E32E1"/>
              </w:rPr>
              <w:t>Three</w:t>
            </w:r>
            <w:r>
              <w:rPr>
                <w:rFonts w:ascii="Arial" w:cs="Arial" w:eastAsia="Arial" w:hAnsi="Arial"/>
                <w:sz w:val="18"/>
                <w:szCs w:val="18"/>
                <w:color w:val="0000FF"/>
              </w:rPr>
              <w:t xml:space="preserve"> </w:t>
            </w:r>
            <w:r>
              <w:rPr>
                <w:rFonts w:ascii="Arial" w:cs="Arial" w:eastAsia="Arial" w:hAnsi="Arial"/>
                <w:sz w:val="18"/>
                <w:szCs w:val="18"/>
                <w:color w:val="0E32E1"/>
              </w:rPr>
              <w:t>and Nine</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Months Ended </w:t>
              </w:r>
            </w:hyperlink>
            <w:r>
              <w:rPr>
                <w:rFonts w:ascii="Arial" w:cs="Arial" w:eastAsia="Arial" w:hAnsi="Arial"/>
                <w:sz w:val="18"/>
                <w:szCs w:val="18"/>
                <w:color w:val="0E32E1"/>
              </w:rPr>
              <w:t>October</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E32E1"/>
            </w:tcBorders>
            <w:shd w:val="clear" w:color="auto" w:fill="0000FF"/>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E32E1"/>
            </w:tcBorders>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0" w:type="dxa"/>
            <w:vAlign w:val="bottom"/>
            <w:tcBorders>
              <w:left w:val="single" w:sz="8" w:color="0E32E1"/>
            </w:tcBorders>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Statements of Stockholders' Equity (Deficit) for the </w:t>
              </w:r>
            </w:hyperlink>
            <w:r>
              <w:rPr>
                <w:rFonts w:ascii="Arial" w:cs="Arial" w:eastAsia="Arial" w:hAnsi="Arial"/>
                <w:sz w:val="18"/>
                <w:szCs w:val="18"/>
                <w:color w:val="0E32E1"/>
              </w:rPr>
              <w:t>Three</w:t>
            </w:r>
            <w:r>
              <w:rPr>
                <w:rFonts w:ascii="Arial" w:cs="Arial" w:eastAsia="Arial" w:hAnsi="Arial"/>
                <w:sz w:val="18"/>
                <w:szCs w:val="18"/>
                <w:color w:val="0000FF"/>
              </w:rPr>
              <w:t xml:space="preserve"> </w:t>
            </w:r>
            <w:r>
              <w:rPr>
                <w:rFonts w:ascii="Arial" w:cs="Arial" w:eastAsia="Arial" w:hAnsi="Arial"/>
                <w:sz w:val="18"/>
                <w:szCs w:val="18"/>
                <w:color w:val="0E32E1"/>
              </w:rPr>
              <w:t>and Nine</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Months Ended </w:t>
              </w:r>
            </w:hyperlink>
            <w:r>
              <w:rPr>
                <w:rFonts w:ascii="Arial" w:cs="Arial" w:eastAsia="Arial" w:hAnsi="Arial"/>
                <w:sz w:val="18"/>
                <w:szCs w:val="18"/>
                <w:color w:val="0E32E1"/>
              </w:rPr>
              <w:t>October</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Statements of Cash Flows </w:t>
              </w:r>
            </w:hyperlink>
            <w:hyperlink w:anchor="page3">
              <w:r>
                <w:rPr>
                  <w:rFonts w:ascii="Arial" w:cs="Arial" w:eastAsia="Arial" w:hAnsi="Arial"/>
                  <w:sz w:val="18"/>
                  <w:szCs w:val="18"/>
                  <w:color w:val="0000FF"/>
                </w:rPr>
                <w:t xml:space="preserve">for the </w:t>
              </w:r>
            </w:hyperlink>
            <w:r>
              <w:rPr>
                <w:rFonts w:ascii="Arial" w:cs="Arial" w:eastAsia="Arial" w:hAnsi="Arial"/>
                <w:sz w:val="18"/>
                <w:szCs w:val="18"/>
                <w:color w:val="0E32E1"/>
              </w:rPr>
              <w:t>Nine</w:t>
            </w:r>
            <w:r>
              <w:rPr>
                <w:rFonts w:ascii="Arial" w:cs="Arial" w:eastAsia="Arial" w:hAnsi="Arial"/>
                <w:sz w:val="18"/>
                <w:szCs w:val="18"/>
                <w:color w:val="0000FF"/>
              </w:rPr>
              <w:t xml:space="preserve"> </w:t>
            </w:r>
            <w:r>
              <w:rPr>
                <w:rFonts w:ascii="Arial" w:cs="Arial" w:eastAsia="Arial" w:hAnsi="Arial"/>
                <w:sz w:val="18"/>
                <w:szCs w:val="18"/>
                <w:color w:val="0E32E1"/>
              </w:rPr>
              <w:t>Months Ended October 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380" w:type="dxa"/>
            <w:vAlign w:val="bottom"/>
            <w:gridSpan w:val="5"/>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520" w:type="dxa"/>
            <w:vAlign w:val="bottom"/>
            <w:gridSpan w:val="2"/>
            <w:shd w:val="clear" w:color="auto" w:fill="0E32E1"/>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9"/>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Notes to Condensed Consolidated Financial Statements</w:t>
              </w:r>
            </w:hyperlink>
          </w:p>
        </w:tc>
        <w:tc>
          <w:tcPr>
            <w:tcW w:w="5960" w:type="dxa"/>
            <w:vAlign w:val="bottom"/>
            <w:gridSpan w:val="1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30"/>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2. Management’s Discussion and Analysis of Financial Condition and Results of Operations</w:t>
              </w:r>
            </w:hyperlink>
          </w:p>
        </w:tc>
        <w:tc>
          <w:tcPr>
            <w:tcW w:w="3020" w:type="dxa"/>
            <w:vAlign w:val="bottom"/>
            <w:gridSpan w:val="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4. Controls and Procedures</w:t>
              </w:r>
            </w:hyperlink>
          </w:p>
        </w:tc>
        <w:tc>
          <w:tcPr>
            <w:tcW w:w="2680" w:type="dxa"/>
            <w:vAlign w:val="bottom"/>
            <w:tcBorders>
              <w:top w:val="single" w:sz="8" w:color="0000FF"/>
            </w:tcBorders>
            <w:gridSpan w:val="12"/>
          </w:tcPr>
          <w:p>
            <w:pPr>
              <w:spacing w:after="0"/>
              <w:rPr>
                <w:sz w:val="18"/>
                <w:szCs w:val="18"/>
                <w:color w:val="auto"/>
              </w:rPr>
            </w:pPr>
          </w:p>
        </w:tc>
        <w:tc>
          <w:tcPr>
            <w:tcW w:w="5380" w:type="dxa"/>
            <w:vAlign w:val="bottom"/>
            <w:gridSpan w:val="1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11000" w:type="dxa"/>
            <w:vAlign w:val="bottom"/>
            <w:gridSpan w:val="36"/>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1. Legal Proceedings</w:t>
              </w:r>
            </w:hyperlink>
          </w:p>
        </w:tc>
        <w:tc>
          <w:tcPr>
            <w:tcW w:w="260" w:type="dxa"/>
            <w:vAlign w:val="bottom"/>
            <w:tcBorders>
              <w:top w:val="single" w:sz="8" w:color="0000FF"/>
            </w:tcBorders>
          </w:tcPr>
          <w:p>
            <w:pPr>
              <w:spacing w:after="0"/>
              <w:rPr>
                <w:sz w:val="18"/>
                <w:szCs w:val="18"/>
                <w:color w:val="auto"/>
              </w:rPr>
            </w:pPr>
          </w:p>
        </w:tc>
        <w:tc>
          <w:tcPr>
            <w:tcW w:w="8300" w:type="dxa"/>
            <w:vAlign w:val="bottom"/>
            <w:gridSpan w:val="26"/>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1A. Risk Factors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80" w:type="dxa"/>
            <w:vAlign w:val="bottom"/>
            <w:gridSpan w:val="10"/>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2. 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4820" w:type="dxa"/>
            <w:vAlign w:val="bottom"/>
            <w:tcBorders>
              <w:top w:val="single" w:sz="8" w:color="0000FF"/>
            </w:tcBorders>
            <w:gridSpan w:val="21"/>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240" w:type="dxa"/>
            <w:vAlign w:val="bottom"/>
            <w:gridSpan w:val="11"/>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w:t>
              </w:r>
            </w:hyperlink>
          </w:p>
        </w:tc>
        <w:tc>
          <w:tcPr>
            <w:tcW w:w="1940" w:type="dxa"/>
            <w:vAlign w:val="bottom"/>
            <w:tcBorders>
              <w:top w:val="single" w:sz="8" w:color="0000FF"/>
              <w:bottom w:val="single" w:sz="8" w:color="0000FF"/>
            </w:tcBorders>
            <w:gridSpan w:val="7"/>
          </w:tcPr>
          <w:p>
            <w:pPr>
              <w:ind w:left="20"/>
              <w:spacing w:after="0"/>
              <w:rPr>
                <w:rFonts w:ascii="Arial" w:cs="Arial" w:eastAsia="Arial" w:hAnsi="Arial"/>
                <w:sz w:val="18"/>
                <w:szCs w:val="18"/>
                <w:color w:val="0000FF"/>
                <w:w w:val="98"/>
              </w:rPr>
            </w:pPr>
            <w:hyperlink w:anchor="page37">
              <w:r>
                <w:rPr>
                  <w:rFonts w:ascii="Arial" w:cs="Arial" w:eastAsia="Arial" w:hAnsi="Arial"/>
                  <w:sz w:val="18"/>
                  <w:szCs w:val="18"/>
                  <w:color w:val="0000FF"/>
                  <w:w w:val="98"/>
                </w:rPr>
                <w:t>Mine Safety Disclosures</w:t>
              </w:r>
            </w:hyperlink>
          </w:p>
        </w:tc>
        <w:tc>
          <w:tcPr>
            <w:tcW w:w="600" w:type="dxa"/>
            <w:vAlign w:val="bottom"/>
            <w:tcBorders>
              <w:top w:val="single" w:sz="8" w:color="0000FF"/>
            </w:tcBorders>
            <w:gridSpan w:val="4"/>
          </w:tcPr>
          <w:p>
            <w:pPr>
              <w:spacing w:after="0"/>
              <w:rPr>
                <w:sz w:val="18"/>
                <w:szCs w:val="18"/>
                <w:color w:val="auto"/>
              </w:rPr>
            </w:pPr>
          </w:p>
        </w:tc>
        <w:tc>
          <w:tcPr>
            <w:tcW w:w="7520" w:type="dxa"/>
            <w:vAlign w:val="bottom"/>
            <w:gridSpan w:val="21"/>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5.</w:t>
              </w:r>
            </w:hyperlink>
          </w:p>
        </w:tc>
        <w:tc>
          <w:tcPr>
            <w:tcW w:w="1420" w:type="dxa"/>
            <w:vAlign w:val="bottom"/>
            <w:tcBorders>
              <w:bottom w:val="single" w:sz="8" w:color="0000FF"/>
            </w:tcBorders>
            <w:gridSpan w:val="4"/>
          </w:tcPr>
          <w:p>
            <w:pPr>
              <w:ind w:left="20"/>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Other Information</w:t>
              </w:r>
            </w:hyperlink>
          </w:p>
        </w:tc>
        <w:tc>
          <w:tcPr>
            <w:tcW w:w="8640" w:type="dxa"/>
            <w:vAlign w:val="bottom"/>
            <w:gridSpan w:val="28"/>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10060" w:type="dxa"/>
            <w:vAlign w:val="bottom"/>
            <w:gridSpan w:val="32"/>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3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35"/>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SIGNATURES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-1884680</wp:posOffset>
            </wp:positionV>
            <wp:extent cx="31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January 31, 2021</w:t>
            </w:r>
          </w:p>
        </w:tc>
        <w:tc>
          <w:tcPr>
            <w:tcW w:w="0" w:type="dxa"/>
            <w:vAlign w:val="bottom"/>
          </w:tcPr>
          <w:p>
            <w:pPr>
              <w:spacing w:after="0"/>
              <w:rPr>
                <w:sz w:val="1"/>
                <w:szCs w:val="1"/>
                <w:color w:val="auto"/>
              </w:rPr>
            </w:pPr>
          </w:p>
        </w:tc>
      </w:tr>
      <w:tr>
        <w:trPr>
          <w:trHeight w:val="197"/>
        </w:trPr>
        <w:tc>
          <w:tcPr>
            <w:tcW w:w="7120" w:type="dxa"/>
            <w:vAlign w:val="bottom"/>
            <w:tcBorders>
              <w:top w:val="single" w:sz="8" w:color="CCEEFF"/>
            </w:tcBorders>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$6.3 and $6.5</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1"/>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6"/>
                <w:szCs w:val="16"/>
                <w:b w:val="1"/>
                <w:bCs w:val="1"/>
                <w:color w:val="auto"/>
              </w:rPr>
              <w:t>LIABILITIES AND STOCKHOLDERS’ EQUITY</w:t>
            </w:r>
          </w:p>
        </w:tc>
        <w:tc>
          <w:tcPr>
            <w:tcW w:w="2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20" w:type="dxa"/>
            <w:vAlign w:val="bottom"/>
            <w:vMerge w:val="continue"/>
          </w:tcPr>
          <w:p>
            <w:pPr>
              <w:spacing w:after="0"/>
              <w:rPr>
                <w:sz w:val="13"/>
                <w:szCs w:val="13"/>
                <w:color w:val="auto"/>
              </w:rPr>
            </w:pPr>
          </w:p>
        </w:tc>
        <w:tc>
          <w:tcPr>
            <w:tcW w:w="200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(DEFICIT)</w:t>
            </w: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capital leases</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Long-term capital lease obligations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11)</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Common stock, $0.01 par value; 110.0 authorized; 10.2 and 8.6 issued</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Treasury stock, at cost, 0.3 shares and 0.3 shares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7"/>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00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October 31, 2021</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8"/>
              </w:rPr>
              <w:t>October 31, 2020</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October 31, 2021</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8"/>
              </w:rPr>
              <w:t>October 31, 2020</w:t>
            </w:r>
          </w:p>
        </w:tc>
      </w:tr>
      <w:tr>
        <w:trPr>
          <w:trHeight w:val="20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r>
      <w:tr>
        <w:trPr>
          <w:trHeight w:val="211"/>
        </w:trPr>
        <w:tc>
          <w:tcPr>
            <w:tcW w:w="49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211"/>
        </w:trPr>
        <w:tc>
          <w:tcPr>
            <w:tcW w:w="492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and other charges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r>
      <w:tr>
        <w:trPr>
          <w:trHeight w:val="211"/>
        </w:trPr>
        <w:tc>
          <w:tcPr>
            <w:tcW w:w="492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r>
      <w:tr>
        <w:trPr>
          <w:trHeight w:val="211"/>
        </w:trPr>
        <w:tc>
          <w:tcPr>
            <w:tcW w:w="492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7"/>
        </w:trPr>
        <w:tc>
          <w:tcPr>
            <w:tcW w:w="492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4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4"/>
        </w:trPr>
        <w:tc>
          <w:tcPr>
            <w:tcW w:w="4920" w:type="dxa"/>
            <w:vAlign w:val="bottom"/>
          </w:tcPr>
          <w:p>
            <w:pPr>
              <w:ind w:left="20"/>
              <w:spacing w:after="0" w:line="214" w:lineRule="exact"/>
              <w:rPr>
                <w:sz w:val="20"/>
                <w:szCs w:val="20"/>
                <w:color w:val="auto"/>
              </w:rPr>
            </w:pPr>
            <w:r>
              <w:rPr>
                <w:rFonts w:ascii="Arial" w:cs="Arial" w:eastAsia="Arial" w:hAnsi="Arial"/>
                <w:sz w:val="16"/>
                <w:szCs w:val="16"/>
                <w:color w:val="auto"/>
              </w:rPr>
              <w:t>Net loss per share-basic</w:t>
            </w:r>
            <w:r>
              <w:rPr>
                <w:rFonts w:ascii="Arial" w:cs="Arial" w:eastAsia="Arial" w:hAnsi="Arial"/>
                <w:sz w:val="20"/>
                <w:szCs w:val="20"/>
                <w:color w:val="auto"/>
                <w:vertAlign w:val="superscript"/>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Net loss per share-diluted</w:t>
            </w:r>
            <w:r>
              <w:rPr>
                <w:rFonts w:ascii="Arial" w:cs="Arial" w:eastAsia="Arial" w:hAnsi="Arial"/>
                <w:sz w:val="20"/>
                <w:szCs w:val="20"/>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60" w:hanging="153"/>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Common stock and treasury stock were retroactively adjusted for the Company's 1-for-5 Reverse Stock Split effective July 28, 2020. See Note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ind w:left="100"/>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40" w:right="2660"/>
        <w:spacing w:after="0" w:line="257" w:lineRule="auto"/>
        <w:rPr>
          <w:sz w:val="20"/>
          <w:szCs w:val="20"/>
          <w:color w:val="auto"/>
        </w:rPr>
      </w:pPr>
      <w:r>
        <w:rPr>
          <w:rFonts w:ascii="Arial" w:cs="Arial" w:eastAsia="Arial" w:hAnsi="Arial"/>
          <w:sz w:val="18"/>
          <w:szCs w:val="18"/>
          <w:b w:val="1"/>
          <w:bCs w:val="1"/>
          <w:color w:val="auto"/>
        </w:rPr>
        <w:t>KLX Energy Services Holdings, Inc. Condensed Consolidated Statements of Stockholders' Equity (Deficit) Nine Months Ended October 31, 2021 and 2020 (</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5"/>
            <w:vMerge w:val="restart"/>
          </w:tcPr>
          <w:p>
            <w:pPr>
              <w:jc w:val="right"/>
              <w:ind w:right="100"/>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980" w:type="dxa"/>
            <w:vAlign w:val="bottom"/>
            <w:tcBorders>
              <w:bottom w:val="single" w:sz="8" w:color="auto"/>
            </w:tcBorders>
            <w:gridSpan w:val="5"/>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restart"/>
          </w:tcPr>
          <w:p>
            <w:pPr>
              <w:ind w:left="40"/>
              <w:spacing w:after="0" w:line="161" w:lineRule="exact"/>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9"/>
                <w:szCs w:val="9"/>
                <w:color w:val="auto"/>
              </w:rPr>
            </w:pPr>
          </w:p>
        </w:tc>
        <w:tc>
          <w:tcPr>
            <w:tcW w:w="1260" w:type="dxa"/>
            <w:vAlign w:val="bottom"/>
            <w:gridSpan w:val="5"/>
            <w:vMerge w:val="restart"/>
          </w:tcPr>
          <w:p>
            <w:pPr>
              <w:jc w:val="center"/>
              <w:ind w:right="80"/>
              <w:spacing w:after="0" w:line="161" w:lineRule="exact"/>
              <w:rPr>
                <w:sz w:val="20"/>
                <w:szCs w:val="20"/>
                <w:color w:val="auto"/>
              </w:rPr>
            </w:pPr>
            <w:r>
              <w:rPr>
                <w:rFonts w:ascii="Arial" w:cs="Arial" w:eastAsia="Arial" w:hAnsi="Arial"/>
                <w:sz w:val="16"/>
                <w:szCs w:val="16"/>
                <w:b w:val="1"/>
                <w:bCs w:val="1"/>
                <w:color w:val="auto"/>
                <w:w w:val="97"/>
              </w:rPr>
              <w:t>Treasury</w:t>
            </w:r>
          </w:p>
        </w:tc>
        <w:tc>
          <w:tcPr>
            <w:tcW w:w="1120" w:type="dxa"/>
            <w:vAlign w:val="bottom"/>
            <w:gridSpan w:val="4"/>
            <w:vMerge w:val="restart"/>
          </w:tcPr>
          <w:p>
            <w:pPr>
              <w:jc w:val="right"/>
              <w:ind w:right="20"/>
              <w:spacing w:after="0" w:line="161"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ind w:left="60"/>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3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00" w:type="dxa"/>
            <w:vAlign w:val="bottom"/>
            <w:gridSpan w:val="2"/>
            <w:vMerge w:val="restart"/>
          </w:tcPr>
          <w:p>
            <w:pPr>
              <w:spacing w:after="0"/>
              <w:rPr>
                <w:sz w:val="3"/>
                <w:szCs w:val="3"/>
                <w:color w:val="auto"/>
              </w:rPr>
            </w:pPr>
          </w:p>
        </w:tc>
        <w:tc>
          <w:tcPr>
            <w:tcW w:w="11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0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18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Paid-in Capital</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Stock</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469.1</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April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July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470.9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ind w:left="160"/>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October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476.6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gridSpan w:val="3"/>
            <w:shd w:val="clear" w:color="auto" w:fill="CCEEFF"/>
          </w:tcPr>
          <w:p>
            <w:pPr>
              <w:ind w:left="160"/>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0"/>
                <w:szCs w:val="20"/>
                <w:b w:val="1"/>
                <w:bCs w:val="1"/>
                <w:color w:val="auto"/>
                <w:vertAlign w:val="superscript"/>
              </w:rPr>
              <w:t>(1)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gridSpan w:val="7"/>
            <w:vMerge w:val="restart"/>
          </w:tcPr>
          <w:p>
            <w:pPr>
              <w:jc w:val="right"/>
              <w:ind w:right="140"/>
              <w:spacing w:after="0" w:line="107" w:lineRule="exact"/>
              <w:rPr>
                <w:sz w:val="20"/>
                <w:szCs w:val="20"/>
                <w:color w:val="auto"/>
              </w:rPr>
            </w:pPr>
            <w:r>
              <w:rPr>
                <w:rFonts w:ascii="Arial" w:cs="Arial" w:eastAsia="Arial" w:hAnsi="Arial"/>
                <w:sz w:val="12"/>
                <w:szCs w:val="12"/>
                <w:b w:val="1"/>
                <w:bCs w:val="1"/>
                <w:color w:val="auto"/>
              </w:rPr>
              <w:t>Additional Paid-in</w:t>
            </w:r>
          </w:p>
        </w:tc>
        <w:tc>
          <w:tcPr>
            <w:tcW w:w="760" w:type="dxa"/>
            <w:vAlign w:val="bottom"/>
            <w:gridSpan w:val="2"/>
            <w:vMerge w:val="restart"/>
          </w:tcPr>
          <w:p>
            <w:pPr>
              <w:ind w:left="80"/>
              <w:spacing w:after="0" w:line="107" w:lineRule="exact"/>
              <w:rPr>
                <w:sz w:val="20"/>
                <w:szCs w:val="20"/>
                <w:color w:val="auto"/>
              </w:rPr>
            </w:pPr>
            <w:r>
              <w:rPr>
                <w:rFonts w:ascii="Arial" w:cs="Arial" w:eastAsia="Arial" w:hAnsi="Arial"/>
                <w:sz w:val="12"/>
                <w:szCs w:val="12"/>
                <w:b w:val="1"/>
                <w:bCs w:val="1"/>
                <w:color w:val="auto"/>
              </w:rPr>
              <w:t>Treasury</w:t>
            </w:r>
          </w:p>
        </w:tc>
        <w:tc>
          <w:tcPr>
            <w:tcW w:w="360" w:type="dxa"/>
            <w:vAlign w:val="bottom"/>
          </w:tcPr>
          <w:p>
            <w:pPr>
              <w:spacing w:after="0"/>
              <w:rPr>
                <w:sz w:val="4"/>
                <w:szCs w:val="4"/>
                <w:color w:val="auto"/>
              </w:rPr>
            </w:pPr>
          </w:p>
        </w:tc>
        <w:tc>
          <w:tcPr>
            <w:tcW w:w="1360" w:type="dxa"/>
            <w:vAlign w:val="bottom"/>
            <w:gridSpan w:val="7"/>
            <w:vMerge w:val="restart"/>
          </w:tcPr>
          <w:p>
            <w:pPr>
              <w:jc w:val="right"/>
              <w:ind w:right="320"/>
              <w:spacing w:after="0" w:line="107" w:lineRule="exact"/>
              <w:rPr>
                <w:sz w:val="20"/>
                <w:szCs w:val="20"/>
                <w:color w:val="auto"/>
              </w:rPr>
            </w:pPr>
            <w:r>
              <w:rPr>
                <w:rFonts w:ascii="Arial" w:cs="Arial" w:eastAsia="Arial" w:hAnsi="Arial"/>
                <w:sz w:val="12"/>
                <w:szCs w:val="12"/>
                <w:b w:val="1"/>
                <w:bCs w:val="1"/>
                <w:color w:val="auto"/>
              </w:rPr>
              <w:t>Accumulated</w:t>
            </w:r>
          </w:p>
        </w:tc>
        <w:tc>
          <w:tcPr>
            <w:tcW w:w="1360" w:type="dxa"/>
            <w:vAlign w:val="bottom"/>
            <w:gridSpan w:val="5"/>
            <w:vMerge w:val="restart"/>
          </w:tcPr>
          <w:p>
            <w:pPr>
              <w:jc w:val="right"/>
              <w:ind w:right="220"/>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8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2"/>
                <w:szCs w:val="2"/>
                <w:color w:val="auto"/>
              </w:rPr>
            </w:pPr>
          </w:p>
        </w:tc>
        <w:tc>
          <w:tcPr>
            <w:tcW w:w="1360" w:type="dxa"/>
            <w:vAlign w:val="bottom"/>
            <w:gridSpan w:val="7"/>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gridSpan w:val="7"/>
            <w:vMerge w:val="continue"/>
          </w:tcPr>
          <w:p>
            <w:pPr>
              <w:spacing w:after="0"/>
              <w:rPr>
                <w:sz w:val="2"/>
                <w:szCs w:val="2"/>
                <w:color w:val="auto"/>
              </w:rPr>
            </w:pPr>
          </w:p>
        </w:tc>
        <w:tc>
          <w:tcPr>
            <w:tcW w:w="13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line="214" w:lineRule="exact"/>
              <w:rPr>
                <w:sz w:val="20"/>
                <w:szCs w:val="20"/>
                <w:color w:val="auto"/>
              </w:rPr>
            </w:pPr>
            <w:r>
              <w:rPr>
                <w:rFonts w:ascii="Arial" w:cs="Arial" w:eastAsia="Arial" w:hAnsi="Arial"/>
                <w:sz w:val="16"/>
                <w:szCs w:val="16"/>
                <w:b w:val="1"/>
                <w:bCs w:val="1"/>
                <w:color w:val="auto"/>
              </w:rPr>
              <w:t>Stock</w:t>
            </w:r>
            <w:r>
              <w:rPr>
                <w:rFonts w:ascii="Arial" w:cs="Arial" w:eastAsia="Arial" w:hAnsi="Arial"/>
                <w:sz w:val="20"/>
                <w:szCs w:val="20"/>
                <w:b w:val="1"/>
                <w:bCs w:val="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8"/>
              </w:rPr>
              <w:t>Equity</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alance at January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81"/>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3"/>
          </w:tcPr>
          <w:p>
            <w:pPr>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3"/>
          </w:tcPr>
          <w:p>
            <w:pPr>
              <w:spacing w:after="0"/>
              <w:rPr>
                <w:sz w:val="20"/>
                <w:szCs w:val="20"/>
                <w:color w:val="auto"/>
              </w:rPr>
            </w:pPr>
            <w:r>
              <w:rPr>
                <w:rFonts w:ascii="Arial" w:cs="Arial" w:eastAsia="Arial" w:hAnsi="Arial"/>
                <w:sz w:val="16"/>
                <w:szCs w:val="16"/>
                <w:color w:val="auto"/>
              </w:rPr>
              <w:t>Red Bone acquisition price shares reserved</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gridSpan w:val="3"/>
          </w:tcPr>
          <w:p>
            <w:pPr>
              <w:ind w:left="40"/>
              <w:spacing w:after="0"/>
              <w:rPr>
                <w:sz w:val="20"/>
                <w:szCs w:val="20"/>
                <w:color w:val="auto"/>
              </w:rPr>
            </w:pPr>
            <w:r>
              <w:rPr>
                <w:rFonts w:ascii="Arial" w:cs="Arial" w:eastAsia="Arial" w:hAnsi="Arial"/>
                <w:sz w:val="16"/>
                <w:szCs w:val="16"/>
                <w:color w:val="auto"/>
              </w:rPr>
              <w:t>alance at April 30, 2020</w:t>
            </w: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stock, net of forfeitures</w:t>
            </w: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3"/>
          </w:tcPr>
          <w:p>
            <w:pPr>
              <w:spacing w:after="0"/>
              <w:rPr>
                <w:sz w:val="20"/>
                <w:szCs w:val="20"/>
                <w:color w:val="auto"/>
              </w:rPr>
            </w:pPr>
            <w:r>
              <w:rPr>
                <w:rFonts w:ascii="Arial" w:cs="Arial" w:eastAsia="Arial" w:hAnsi="Arial"/>
                <w:sz w:val="16"/>
                <w:szCs w:val="16"/>
                <w:color w:val="auto"/>
              </w:rPr>
              <w:t>QES acquisition price shares issuance</w:t>
            </w: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gridSpan w:val="3"/>
          </w:tcPr>
          <w:p>
            <w:pPr>
              <w:spacing w:after="0"/>
              <w:rPr>
                <w:sz w:val="20"/>
                <w:szCs w:val="20"/>
                <w:color w:val="auto"/>
              </w:rPr>
            </w:pPr>
            <w:r>
              <w:rPr>
                <w:rFonts w:ascii="Arial" w:cs="Arial" w:eastAsia="Arial" w:hAnsi="Arial"/>
                <w:sz w:val="16"/>
                <w:szCs w:val="16"/>
                <w:color w:val="auto"/>
              </w:rPr>
              <w:t>alance at July 31, 2020</w:t>
            </w: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stock, net of forfeitures</w:t>
            </w: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4"/>
          </w:tcPr>
          <w:p>
            <w:pPr>
              <w:ind w:lef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alance at October 31, 2020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1"/>
              </w:rPr>
              <w:t>(4.0)$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-1298575</wp:posOffset>
            </wp:positionV>
            <wp:extent cx="6980555" cy="13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0555" cy="135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-738505</wp:posOffset>
            </wp:positionV>
            <wp:extent cx="6980555" cy="13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0555" cy="135890"/>
                    </a:xfrm>
                    <a:prstGeom prst="rect">
                      <a:avLst/>
                    </a:prstGeom>
                    <a:noFill/>
                  </pic:spPr>
                </pic:pic>
              </a:graphicData>
            </a:graphic>
          </wp:anchor>
        </w:drawing>
      </w:r>
    </w:p>
    <w:p>
      <w:pPr>
        <w:spacing w:after="0" w:line="136" w:lineRule="exact"/>
        <w:rPr>
          <w:sz w:val="20"/>
          <w:szCs w:val="20"/>
          <w:color w:val="auto"/>
        </w:rPr>
      </w:pPr>
    </w:p>
    <w:p>
      <w:pPr>
        <w:ind w:left="260" w:hanging="153"/>
        <w:spacing w:after="0"/>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Common stock and treasury stock were retroactively adjusted for the Company's 1-for-5 Reverse Stock Split effective July 28, 2020. See Note 1.</w:t>
      </w:r>
    </w:p>
    <w:p>
      <w:pPr>
        <w:spacing w:after="0" w:line="6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220" w:top="140" w:right="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October 31, 2020</w:t>
            </w:r>
          </w:p>
        </w:tc>
      </w:tr>
      <w:tr>
        <w:trPr>
          <w:trHeight w:val="194"/>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(301.8)</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operating activities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Provision for inventory obsolescence reserve</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Bargain purchase gain</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1"/>
        </w:trPr>
        <w:tc>
          <w:tcPr>
            <w:tcW w:w="71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1"/>
        </w:trPr>
        <w:tc>
          <w:tcPr>
            <w:tcW w:w="71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4"/>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operating activities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9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4"/>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from ABL Facility</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Payments on capital lease obligations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to financed payables</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7"/>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financing activities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7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3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Cash paid during period for:</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Issuance of common stock and stock based payments for QES acquisition</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8"/>
        </w:trPr>
        <w:tc>
          <w:tcPr>
            <w:tcW w:w="712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of U.S. dollars)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major active basins throughout the United States. The Company delivers mission critical oilfield services focused on drilling, completion, production and intervention activities for the most technically demanding wells from over 50 service and support facilities located throughout the United States.</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thru-tubing, hydraulic fracturing rentals, fishing, pressure control, wireline, rig-assisted snubbing, fluid pumping, flowback, pressure pumping and special situation services. KLXE’s primary rentals include hydraulic fracturing stacks, blow out preventers, tubulars, downhole tools, and accommodation units. KLXE's primary product offering includes a suite of proprietary dissolvable and composite plugs along with liner hangers, stage cementing tools, inflatables, and float/casing equipment.</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24, 2020,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The Board subsequently resolved to implement the Reverse Stock Split at a ratio of 1-for-5.</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2021 or for any future period. The information included in these condensed consolidated financial statements should be read in conjunction with the consolidated financial statements and accompanying notes included in the Company’s 2020 Annual Report on Form 10-K filed with the SEC on April 28, 2021.</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present the consolidated KLXE and QES financial position as of October 31, 2021 and January 31, 2021. Combined results for both legacy KLXE and legacy QES are included for the entire period in the condensed consolidated statements of operations and cash flows for the three and nine months ended October 31, 2021. The condensed consolidated statements of operations and cash flows for the three and nine months ended October 31, 2020 includes QES’s results for the final three days of the Company's second fiscal quarter, July 29, 2020 through July 31, 2020.</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September 3, 2021, the Board of the Company adopted the Fourth Amended and Restated Bylaws of the Company, effective as of such date, to change the Company’s fiscal year-end from January 31 to December 31, effective beginning with the year ending December 31, 2021. As a result, the Company’s current fiscal year 2021 will be shortened from 12 months to 11 months and end on December 31, 2021. The Company is undertaking this change in an effort to normalize our fiscal year-end and improve comparability with our peers.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for additional information. As a result of the change in presentation, the total corporate overhead costs allocated for the three and nine months ended October 31, 2020 to the Company’s three reportable segments decreased by $11.4 and $13.7, respectively.</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w:t>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changes better reflect the CODM’s philosophy on assessing performance and allocating resources as well as improve the Company’s comparability to its peer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Property and equipment are stated at cost and depreciated generally under the straight-line method over their estimated useful lives of one to forty years (or the lesser of the term of the lease for leasehold improvements, as appropriate). During the quarter, as a result of increased usage from improving drilling activity levels and changes in the manner and conditions in which various types of our small tools are used, we updated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of such tools to 1 - 3 years, resulting in approximately $0.2 of incremental monthly depreciation on a prospective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 Update not yet Adopted</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as of March 12, 2020 through December 31, 2022. While the exact impact of this standard is not known, the guidance is not expected to have a material impact on the Company’s condensed consolidated financial statements.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Financial Services industry and market participants continue to work towards transitioning away from interbank offered rates ("IBOR"), including the LIBOR, that are being phased out imminently. This phasing out will have an impact on the ABL Facility (defined below) that utilizes LIBOR as a benchmark. To transition from IBOR Reference Rate, the ABL Facility agreement between the Company and JP Morgan Chase &amp; Co. ("JP Morgan"), which currently has borrowings outstanding of $30.0, will be amended to adopt an alternate rate effective on or before June 30, 2023. Until the ABL Facility agreement is amended to allow for Secured Overnight Financing Rate ("SOFR") as the replacement to LIBOR, the Alternate Base Rate ("ABR"), is the default rate that JP Morgan has agreed to use as the LIBOR replacement.</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January 1, 2022. While the exact impact of this standard is not known, the guidance is not expected to have a material impact on the Company’s condensed consolidated financial statements.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October 31, 2021 had a third-party accounts receivable balance, net of allowance, of $102.9. Topic 326 is not expected to have a material impact on the Company’s condensed consolidated financial statements.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 and qualitative disclosures surrounding leases. Topic 842 will be applied using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condensed consolidated financial statements as of its adoption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inclusive of cash paid to settle QES debt, comprised of 3.4 million shares of the Company’s common stock. Based on the Company’s preliminary purchase price allocation, the purchase price was less than the fair value of the identifiable assets acquired, which resulted in a $39.8 bargain purchase gain being recorded in fiscal 2020.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$0.4 was allocated to the purchase price, and $1.6 relating to post-acquisition services will be recorded as operating expenses over the remaining requisite service periods. As of the Merger date, each unvested QES RSU was converted into a KLXE RSU award at a conversion rate of 0.0969 and valued on July 28, 2020.</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condensed consolidated statements of operations from the respective date of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assets acquired and liabilities assumed in the Merger in accordance with ASC 805: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b w:val="1"/>
                <w:bCs w:val="1"/>
                <w:color w:val="auto"/>
              </w:rPr>
              <w:t>QES</w:t>
            </w:r>
          </w:p>
        </w:tc>
      </w:tr>
      <w:tr>
        <w:trPr>
          <w:trHeight w:val="210"/>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1"/>
        </w:trPr>
        <w:tc>
          <w:tcPr>
            <w:tcW w:w="932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1"/>
        </w:trPr>
        <w:tc>
          <w:tcPr>
            <w:tcW w:w="9320" w:type="dxa"/>
            <w:vAlign w:val="bottom"/>
          </w:tcPr>
          <w:p>
            <w:pPr>
              <w:ind w:left="20"/>
              <w:spacing w:after="0"/>
              <w:rPr>
                <w:sz w:val="20"/>
                <w:szCs w:val="20"/>
                <w:color w:val="auto"/>
              </w:rPr>
            </w:pPr>
            <w:r>
              <w:rPr>
                <w:rFonts w:ascii="Arial" w:cs="Arial" w:eastAsia="Arial" w:hAnsi="Arial"/>
                <w:sz w:val="16"/>
                <w:szCs w:val="16"/>
                <w:color w:val="auto"/>
              </w:rPr>
              <w:t>Other current and non-current assets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1"/>
        </w:trPr>
        <w:tc>
          <w:tcPr>
            <w:tcW w:w="9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1"/>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235"/>
        </w:trPr>
        <w:tc>
          <w:tcPr>
            <w:tcW w:w="9320" w:type="dxa"/>
            <w:vAlign w:val="bottom"/>
            <w:tcBorders>
              <w:bottom w:val="single" w:sz="8" w:color="CCEEFF"/>
            </w:tcBorders>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0"/>
                <w:szCs w:val="20"/>
                <w:color w:val="auto"/>
                <w:vertAlign w:val="superscript"/>
              </w:rPr>
              <w:t>(1)</w:t>
            </w:r>
          </w:p>
        </w:tc>
        <w:tc>
          <w:tcPr>
            <w:tcW w:w="4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60" w:hanging="153"/>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The total consideration of the Merger was approximately $44.4, which was comprised of 3.4 million shares of the Company's common stock and cash paid to settle QES debt.</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substantially integrated portions of the QES business and, as a result, it is not practicable to report stand-alone revenues and operating (loss) earnings of the QES business since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and Integration Costs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Merger and integration costs were recorded separately from the acquisition of assets and assumptions of liabilities in the Merger. Merger costs consist of legal and professional fees and accelerated stock compensation expense. Integration costs consist of expenses to relocate corporate headquarters, integrate the QES business, reduce headcount, and consolidate service and support facilities. Integration of the QES business is complete and the Company incurred no merger and integration costs for the three months ended October 31, 2021.</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merger and integration costs that were recorded for the three and nine months ended October 31, 2021 and 2020 in the interim condensed consolidated statements of operations by line item: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760" w:type="dxa"/>
            <w:vAlign w:val="bottom"/>
            <w:gridSpan w:val="6"/>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7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October 31, 2021</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October 31, 2021</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October 31, 2020</w:t>
            </w: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54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1"/>
        </w:trPr>
        <w:tc>
          <w:tcPr>
            <w:tcW w:w="37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54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Lease termination costs (part of impairment and</w:t>
            </w:r>
          </w:p>
        </w:tc>
        <w:tc>
          <w:tcPr>
            <w:tcW w:w="1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charges)</w:t>
            </w:r>
          </w:p>
        </w:tc>
        <w:tc>
          <w:tcPr>
            <w:tcW w:w="15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3720" w:type="dxa"/>
            <w:vAlign w:val="bottom"/>
          </w:tcPr>
          <w:p>
            <w:pPr>
              <w:ind w:left="180"/>
              <w:spacing w:after="0"/>
              <w:rPr>
                <w:sz w:val="20"/>
                <w:szCs w:val="20"/>
                <w:color w:val="auto"/>
              </w:rPr>
            </w:pPr>
            <w:r>
              <w:rPr>
                <w:rFonts w:ascii="Arial" w:cs="Arial" w:eastAsia="Arial" w:hAnsi="Arial"/>
                <w:sz w:val="16"/>
                <w:szCs w:val="16"/>
                <w:color w:val="auto"/>
              </w:rPr>
              <w:t>Total merger and integration costs</w:t>
            </w:r>
          </w:p>
        </w:tc>
        <w:tc>
          <w:tcPr>
            <w:tcW w:w="1540" w:type="dxa"/>
            <w:vAlign w:val="bottom"/>
          </w:tcPr>
          <w:p>
            <w:pPr>
              <w:jc w:val="right"/>
              <w:ind w:right="13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37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2021 and January 31, 2021, accrued lease termination costs were: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as of January 31, 2021</w:t>
            </w:r>
          </w:p>
        </w:tc>
        <w:tc>
          <w:tcPr>
            <w:tcW w:w="84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620"/>
              <w:spacing w:after="0"/>
              <w:rPr>
                <w:sz w:val="20"/>
                <w:szCs w:val="20"/>
                <w:color w:val="auto"/>
              </w:rPr>
            </w:pPr>
            <w:r>
              <w:rPr>
                <w:rFonts w:ascii="Arial" w:cs="Arial" w:eastAsia="Arial" w:hAnsi="Arial"/>
                <w:sz w:val="16"/>
                <w:szCs w:val="16"/>
                <w:color w:val="auto"/>
                <w:w w:val="98"/>
              </w:rPr>
              <w:t>3.4</w:t>
            </w:r>
          </w:p>
        </w:tc>
      </w:tr>
      <w:tr>
        <w:trPr>
          <w:trHeight w:val="211"/>
        </w:trPr>
        <w:tc>
          <w:tcPr>
            <w:tcW w:w="9320" w:type="dxa"/>
            <w:vAlign w:val="bottom"/>
          </w:tcPr>
          <w:p>
            <w:pPr>
              <w:ind w:left="20"/>
              <w:spacing w:after="0"/>
              <w:rPr>
                <w:sz w:val="20"/>
                <w:szCs w:val="20"/>
                <w:color w:val="auto"/>
              </w:rPr>
            </w:pPr>
            <w:r>
              <w:rPr>
                <w:rFonts w:ascii="Arial" w:cs="Arial" w:eastAsia="Arial" w:hAnsi="Arial"/>
                <w:sz w:val="16"/>
                <w:szCs w:val="16"/>
                <w:color w:val="auto"/>
              </w:rPr>
              <w:t>Charged to costs and expenses</w:t>
            </w:r>
          </w:p>
        </w:tc>
        <w:tc>
          <w:tcPr>
            <w:tcW w:w="840" w:type="dxa"/>
            <w:vAlign w:val="bottom"/>
          </w:tcPr>
          <w:p>
            <w:pPr>
              <w:spacing w:after="0"/>
              <w:rPr>
                <w:sz w:val="18"/>
                <w:szCs w:val="18"/>
                <w:color w:val="auto"/>
              </w:rPr>
            </w:pPr>
          </w:p>
        </w:tc>
        <w:tc>
          <w:tcPr>
            <w:tcW w:w="1080" w:type="dxa"/>
            <w:vAlign w:val="bottom"/>
          </w:tcPr>
          <w:p>
            <w:pPr>
              <w:jc w:val="center"/>
              <w:ind w:left="620"/>
              <w:spacing w:after="0"/>
              <w:rPr>
                <w:sz w:val="20"/>
                <w:szCs w:val="20"/>
                <w:color w:val="auto"/>
              </w:rPr>
            </w:pPr>
            <w:r>
              <w:rPr>
                <w:rFonts w:ascii="Arial" w:cs="Arial" w:eastAsia="Arial" w:hAnsi="Arial"/>
                <w:sz w:val="16"/>
                <w:szCs w:val="16"/>
                <w:color w:val="auto"/>
                <w:w w:val="98"/>
              </w:rPr>
              <w:t>0.6</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Deductions</w:t>
            </w: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rPr>
              <w:t>(0.9)</w:t>
            </w:r>
          </w:p>
        </w:tc>
      </w:tr>
      <w:tr>
        <w:trPr>
          <w:trHeight w:val="207"/>
        </w:trPr>
        <w:tc>
          <w:tcPr>
            <w:tcW w:w="9320" w:type="dxa"/>
            <w:vAlign w:val="bottom"/>
          </w:tcPr>
          <w:p>
            <w:pPr>
              <w:ind w:left="20"/>
              <w:spacing w:after="0"/>
              <w:rPr>
                <w:sz w:val="20"/>
                <w:szCs w:val="20"/>
                <w:color w:val="auto"/>
              </w:rPr>
            </w:pPr>
            <w:r>
              <w:rPr>
                <w:rFonts w:ascii="Arial" w:cs="Arial" w:eastAsia="Arial" w:hAnsi="Arial"/>
                <w:sz w:val="16"/>
                <w:szCs w:val="16"/>
                <w:color w:val="auto"/>
              </w:rPr>
              <w:t>Balance as of April 30, 2021</w:t>
            </w:r>
          </w:p>
        </w:tc>
        <w:tc>
          <w:tcPr>
            <w:tcW w:w="840" w:type="dxa"/>
            <w:vAlign w:val="bottom"/>
          </w:tcPr>
          <w:p>
            <w:pPr>
              <w:spacing w:after="0"/>
              <w:rPr>
                <w:sz w:val="18"/>
                <w:szCs w:val="18"/>
                <w:color w:val="auto"/>
              </w:rPr>
            </w:pPr>
          </w:p>
        </w:tc>
        <w:tc>
          <w:tcPr>
            <w:tcW w:w="1080" w:type="dxa"/>
            <w:vAlign w:val="bottom"/>
          </w:tcPr>
          <w:p>
            <w:pPr>
              <w:jc w:val="center"/>
              <w:ind w:left="620"/>
              <w:spacing w:after="0"/>
              <w:rPr>
                <w:sz w:val="20"/>
                <w:szCs w:val="20"/>
                <w:color w:val="auto"/>
              </w:rPr>
            </w:pPr>
            <w:r>
              <w:rPr>
                <w:rFonts w:ascii="Arial" w:cs="Arial" w:eastAsia="Arial" w:hAnsi="Arial"/>
                <w:sz w:val="16"/>
                <w:szCs w:val="16"/>
                <w:color w:val="auto"/>
                <w:w w:val="98"/>
              </w:rPr>
              <w:t>3.1</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Deductions</w:t>
            </w: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rPr>
              <w:t>(0.6)</w:t>
            </w:r>
          </w:p>
        </w:tc>
      </w:tr>
      <w:tr>
        <w:trPr>
          <w:trHeight w:val="207"/>
        </w:trPr>
        <w:tc>
          <w:tcPr>
            <w:tcW w:w="9320" w:type="dxa"/>
            <w:vAlign w:val="bottom"/>
          </w:tcPr>
          <w:p>
            <w:pPr>
              <w:ind w:left="20"/>
              <w:spacing w:after="0"/>
              <w:rPr>
                <w:sz w:val="20"/>
                <w:szCs w:val="20"/>
                <w:color w:val="auto"/>
              </w:rPr>
            </w:pPr>
            <w:r>
              <w:rPr>
                <w:rFonts w:ascii="Arial" w:cs="Arial" w:eastAsia="Arial" w:hAnsi="Arial"/>
                <w:sz w:val="16"/>
                <w:szCs w:val="16"/>
                <w:color w:val="auto"/>
              </w:rPr>
              <w:t>Balance as of July 31, 2021</w:t>
            </w:r>
          </w:p>
        </w:tc>
        <w:tc>
          <w:tcPr>
            <w:tcW w:w="840" w:type="dxa"/>
            <w:vAlign w:val="bottom"/>
          </w:tcPr>
          <w:p>
            <w:pPr>
              <w:spacing w:after="0"/>
              <w:rPr>
                <w:sz w:val="18"/>
                <w:szCs w:val="18"/>
                <w:color w:val="auto"/>
              </w:rPr>
            </w:pPr>
          </w:p>
        </w:tc>
        <w:tc>
          <w:tcPr>
            <w:tcW w:w="1080" w:type="dxa"/>
            <w:vAlign w:val="bottom"/>
          </w:tcPr>
          <w:p>
            <w:pPr>
              <w:jc w:val="center"/>
              <w:ind w:left="620"/>
              <w:spacing w:after="0"/>
              <w:rPr>
                <w:sz w:val="20"/>
                <w:szCs w:val="20"/>
                <w:color w:val="auto"/>
              </w:rPr>
            </w:pPr>
            <w:r>
              <w:rPr>
                <w:rFonts w:ascii="Arial" w:cs="Arial" w:eastAsia="Arial" w:hAnsi="Arial"/>
                <w:sz w:val="16"/>
                <w:szCs w:val="16"/>
                <w:color w:val="auto"/>
                <w:w w:val="98"/>
              </w:rPr>
              <w:t>2.5</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Deductions</w:t>
            </w: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6"/>
                <w:szCs w:val="16"/>
                <w:color w:val="auto"/>
              </w:rPr>
              <w:t>(0.2)</w:t>
            </w:r>
          </w:p>
        </w:tc>
      </w:tr>
      <w:tr>
        <w:trPr>
          <w:trHeight w:val="210"/>
        </w:trPr>
        <w:tc>
          <w:tcPr>
            <w:tcW w:w="9320" w:type="dxa"/>
            <w:vAlign w:val="bottom"/>
          </w:tcPr>
          <w:p>
            <w:pPr>
              <w:ind w:left="180"/>
              <w:spacing w:after="0"/>
              <w:rPr>
                <w:sz w:val="20"/>
                <w:szCs w:val="20"/>
                <w:color w:val="auto"/>
              </w:rPr>
            </w:pPr>
            <w:r>
              <w:rPr>
                <w:rFonts w:ascii="Arial" w:cs="Arial" w:eastAsia="Arial" w:hAnsi="Arial"/>
                <w:sz w:val="16"/>
                <w:szCs w:val="16"/>
                <w:color w:val="auto"/>
              </w:rPr>
              <w:t>Ending balance as of October 31, 2021</w:t>
            </w:r>
          </w:p>
        </w:tc>
        <w:tc>
          <w:tcPr>
            <w:tcW w:w="8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620"/>
              <w:spacing w:after="0"/>
              <w:rPr>
                <w:sz w:val="20"/>
                <w:szCs w:val="20"/>
                <w:color w:val="auto"/>
              </w:rPr>
            </w:pPr>
            <w:r>
              <w:rPr>
                <w:rFonts w:ascii="Arial" w:cs="Arial" w:eastAsia="Arial" w:hAnsi="Arial"/>
                <w:sz w:val="16"/>
                <w:szCs w:val="16"/>
                <w:color w:val="auto"/>
                <w:w w:val="98"/>
              </w:rPr>
              <w:t>2.3</w:t>
            </w:r>
          </w:p>
        </w:tc>
      </w:tr>
      <w:tr>
        <w:trPr>
          <w:trHeight w:val="20"/>
        </w:trPr>
        <w:tc>
          <w:tcPr>
            <w:tcW w:w="9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merger and integration costs that were recorded for the three and nine months ended October 31, 2021 and 2020 in the interim condensed consolidated statements of operations by type: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4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October 31, 2021</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October 31, 2020</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October 31, 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October 31, 2020</w:t>
            </w:r>
          </w:p>
        </w:tc>
      </w:tr>
      <w:tr>
        <w:trPr>
          <w:trHeight w:val="208"/>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costs</w:t>
            </w:r>
          </w:p>
        </w:tc>
        <w:tc>
          <w:tcPr>
            <w:tcW w:w="1620" w:type="dxa"/>
            <w:vAlign w:val="bottom"/>
            <w:shd w:val="clear" w:color="auto" w:fill="CCEEFF"/>
          </w:tcPr>
          <w:p>
            <w:pPr>
              <w:jc w:val="right"/>
              <w:ind w:right="1440"/>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4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Integration costs</w:t>
            </w:r>
          </w:p>
        </w:tc>
        <w:tc>
          <w:tcPr>
            <w:tcW w:w="1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merger and integration costs</w:t>
            </w:r>
          </w:p>
        </w:tc>
        <w:tc>
          <w:tcPr>
            <w:tcW w:w="1620" w:type="dxa"/>
            <w:vAlign w:val="bottom"/>
            <w:shd w:val="clear" w:color="auto" w:fill="CCEEFF"/>
          </w:tcPr>
          <w:p>
            <w:pPr>
              <w:jc w:val="right"/>
              <w:ind w:right="1440"/>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4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Plugs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obsolescence reserve</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Inventories are primarily made up of composite and dissolvable plugs, spare parts and consumables used to perform services for customers. The Company values inventories at the lower of cost or net realizable value. Inventories are reported net of obsolescence reserves of $2.6 and $2.4 as of October 31, 2021 and January 31, 2021,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31, 2021</w:t>
            </w:r>
          </w:p>
        </w:tc>
        <w:tc>
          <w:tcPr>
            <w:tcW w:w="200" w:type="dxa"/>
            <w:vAlign w:val="bottom"/>
          </w:tcPr>
          <w:p>
            <w:pPr>
              <w:spacing w:after="0"/>
              <w:rPr>
                <w:sz w:val="18"/>
                <w:szCs w:val="18"/>
                <w:color w:val="auto"/>
              </w:rPr>
            </w:pPr>
          </w:p>
        </w:tc>
        <w:tc>
          <w:tcPr>
            <w:tcW w:w="1700" w:type="dxa"/>
            <w:vAlign w:val="bottom"/>
          </w:tcPr>
          <w:p>
            <w:pPr>
              <w:jc w:val="right"/>
              <w:ind w:right="24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leasehold improvements</w:t>
            </w:r>
          </w:p>
        </w:tc>
        <w:tc>
          <w:tcPr>
            <w:tcW w:w="6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1"/>
        </w:trPr>
        <w:tc>
          <w:tcPr>
            <w:tcW w:w="52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221.8</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07"/>
        </w:trPr>
        <w:tc>
          <w:tcPr>
            <w:tcW w:w="5220" w:type="dxa"/>
            <w:vAlign w:val="bottom"/>
          </w:tcPr>
          <w:p>
            <w:pPr>
              <w:ind w:left="160"/>
              <w:spacing w:after="0"/>
              <w:rPr>
                <w:sz w:val="20"/>
                <w:szCs w:val="20"/>
                <w:color w:val="auto"/>
              </w:rPr>
            </w:pPr>
            <w:r>
              <w:rPr>
                <w:rFonts w:ascii="Arial" w:cs="Arial" w:eastAsia="Arial" w:hAnsi="Arial"/>
                <w:sz w:val="16"/>
                <w:szCs w:val="16"/>
                <w:color w:val="auto"/>
              </w:rPr>
              <w:t>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448.7</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r>
      <w:tr>
        <w:trPr>
          <w:trHeight w:val="210"/>
        </w:trPr>
        <w:tc>
          <w:tcPr>
            <w:tcW w:w="5220" w:type="dxa"/>
            <w:vAlign w:val="bottom"/>
          </w:tcPr>
          <w:p>
            <w:pPr>
              <w:ind w:left="160"/>
              <w:spacing w:after="0"/>
              <w:rPr>
                <w:sz w:val="20"/>
                <w:szCs w:val="20"/>
                <w:color w:val="auto"/>
              </w:rPr>
            </w:pPr>
            <w:r>
              <w:rPr>
                <w:rFonts w:ascii="Arial" w:cs="Arial" w:eastAsia="Arial" w:hAnsi="Arial"/>
                <w:sz w:val="16"/>
                <w:szCs w:val="16"/>
                <w:color w:val="auto"/>
              </w:rPr>
              <w:t>Total property and equipment, net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w:t>
            </w: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expense was 13.6 and $14.7 for the three months ended October 31, 2021 and 2020, respectively, and $43.4 and $40.0 for the nine months ended October 31, 2021 and 2020, respectively.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of assets is computed using the straight-line method over the lesser of the estimated useful lives of the respective assets or the lease term, if shorter. During the quarter, as a result of increased usage from improving drilling activity levels and changes in the manner and conditions in which various types of our small tools are used, we updated the estimated useful lives of such tools to 1 - 3 years, resulting in approximately $0.2 of incremental monthly depreciation on a prospective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October 31, 2021, the Company’s condensed consolidated balance sheet included assets classified as held for sale of $2.6. The assets held for sale were reported within other current assets on the condensed consolidated balance sheet and represented the value of three operational facilities and select equipment. In light of the current market environment and as part of the global integration of the QES business, the Company has consolidated operations within certain geographies rendering these locations unnecessary to support the efficient operations of the Company. These assets were being actively marketed for sale as of October 31, 2021 and were recorded at the lower of their carrying value or fair value less costs to sell. During the three months ended October 31, 2021, the Company completed the sale of one aircraft with a carrying value of $0.8 for total sales proceeds of $1.9 and one operational facility with a carrying value of $0.7 for total sales proceeds of $0.7.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Amortization expense associated with gross intangible assets of $5.7 was $0.1 and nil for the three months ended October 31, 2021 and 2020, respectively, and $0.2 and $3.8 for the nine months ended October 31, 2021 and 2020, respectively. During the three months ended October 31, 2020, accelerated amortization of $2.7 was recognized related to the Company's customer contracts and relationships long-lived intangible. The remaining intangible balance will be amortized straight-line over 7.5 years.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drove a steep drop in oil prices, leading to decreases in demand for the Company’s services and lower current and expected revenues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Based on the impairment indicators above, the Company performed a goodwill and long-lived asset impairment analysis during the three months ended April 30, 2020. The results of the impairment analysis 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condensed consolidated statements of operations for the nine months ended October 31, 2020. This charge reflects $91.3 and $89.1 of the long-lived assets attributable to the Southwest and Northeast/Mid-Con segments, respectively.</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10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valuation of the Company and its reportable segments’ goodwill impairment test was estimated using the guideline public company analysis and the discounted cash flow analysis, which were equally weighted in the fair value analysis. See Note 10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operations for the nine months ended October 31, 2020. This charge reflects the full value of the goodwill attributable to the Rocky Mountains segment, leaving the Company with no goodwill.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impairment indicators were identified for the quarter ended October 31,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salaries, vacation and related benefits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other than property</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Accrued lease termination costs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compensation</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accrued liabilities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and capital lease obligations consisted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ABL Facility</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7"/>
        </w:trPr>
        <w:tc>
          <w:tcPr>
            <w:tcW w:w="7140" w:type="dxa"/>
            <w:vAlign w:val="bottom"/>
          </w:tcPr>
          <w:p>
            <w:pPr>
              <w:ind w:left="140"/>
              <w:spacing w:after="0"/>
              <w:rPr>
                <w:sz w:val="20"/>
                <w:szCs w:val="20"/>
                <w:color w:val="auto"/>
              </w:rPr>
            </w:pPr>
            <w:r>
              <w:rPr>
                <w:rFonts w:ascii="Arial" w:cs="Arial" w:eastAsia="Arial" w:hAnsi="Arial"/>
                <w:sz w:val="16"/>
                <w:szCs w:val="16"/>
                <w:color w:val="auto"/>
              </w:rPr>
              <w:t>Total principal outstanding</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256.3</w:t>
            </w: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7"/>
        </w:trPr>
        <w:tc>
          <w:tcPr>
            <w:tcW w:w="7140" w:type="dxa"/>
            <w:vAlign w:val="bottom"/>
          </w:tcPr>
          <w:p>
            <w:pPr>
              <w:ind w:left="240"/>
              <w:spacing w:after="0"/>
              <w:rPr>
                <w:sz w:val="20"/>
                <w:szCs w:val="20"/>
                <w:color w:val="auto"/>
              </w:rPr>
            </w:pPr>
            <w:r>
              <w:rPr>
                <w:rFonts w:ascii="Arial" w:cs="Arial" w:eastAsia="Arial" w:hAnsi="Arial"/>
                <w:sz w:val="16"/>
                <w:szCs w:val="16"/>
                <w:color w:val="auto"/>
              </w:rPr>
              <w:t>Total debt, net of debt issuance costs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250.2</w:t>
            </w: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capital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140" w:type="dxa"/>
            <w:vAlign w:val="bottom"/>
          </w:tcPr>
          <w:p>
            <w:pPr>
              <w:ind w:left="240"/>
              <w:spacing w:after="0"/>
              <w:rPr>
                <w:sz w:val="20"/>
                <w:szCs w:val="20"/>
                <w:color w:val="auto"/>
              </w:rPr>
            </w:pPr>
            <w:r>
              <w:rPr>
                <w:rFonts w:ascii="Arial" w:cs="Arial" w:eastAsia="Arial" w:hAnsi="Arial"/>
                <w:sz w:val="16"/>
                <w:szCs w:val="16"/>
                <w:color w:val="auto"/>
              </w:rPr>
              <w:t>Long-term portion of debt and capital lease obligations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October 31, 2021,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Notes, total debt related to the Notes as of October 31, 2021 was $244.6. The Notes bear interest at an annual rate of 11.5%, payable semi-annually in arrears on May 1 and November 1. Accrued interest related to the Notes was $14.4 as of October 31, 2021.</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October 31, 2021,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fixed charge coverage ratio (“FCCR”) to be at least 1.0 to 1.0 if availability falls below the greater of $10.0 or 15% of the borrowing base. At all times during the nine months ended October 31, 2021, availability exceeded this threshold, and the Company was not subject to this financial covenant. As of October 31, 2021, the FCCR was below 1.0 to 1.0. The Company was in full compliance with its credit facility as of October 31, 2021.</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Borrowings outstanding under the ABL Facility were $30.0 as of October 31, 2021 and bear interest at a rate equal to LIBOR plus the applicable margin (as defined in the ABL Facility). The effective interest rate under the ABL Facility was approximately 4.75% on October 31, 2021. Total letters of credit outstanding under the ABL Facility were $5.0 at October 31, 2021, a reduction of $1.6 or 24.2% compared to July 31, 2021. Accrued interest under the ABL Facility was $0.3 as of October 31, 2021.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Financial Services industry and market participants continue to work towards transitioning away from IBOR, including the LIBOR, that are being phased out imminently. This phasing out will have an impact on the ABL Facility that utilizes LIBOR as a benchmark. To transition from IBOR Reference Rate, the ABL Facility agreement between the Company and JP Morgan, which currently has borrowings outstanding of $30.0, will be amended to adopt an alternate rate effective on or before June 30, 2023. Until the ABL Facility agreement is amended to allow for SOFR as the replacement to LIBOR, the ABR is the default rate that JP Morgan has agreed to use as the LIBOR replacement. See Note 2 for further discussion of upcoming changes from LIBOR to Term SOFR.</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total funds available of $40.0 and net funds available of $30.0, after $10.0 FCCR holdback, on the October 31, 2021 borrowing base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acquired QES's long-term capital lease agreements in the Merger. The leases are for a manufacturing and office facility supporting completion operations in Oklahoma and have 20-year lease terms. The Company also leases certain vehicles, machinery and service equipment under capital leases. The capital lease obligations for these assets have lease terms ranging from 36 months to 101 months, and the interest rates range between 3.0% to 7.2%.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Total capital lease obligations were $10.1 as of October 31, 2021, including $3.8 of current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Information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 fair value of the ABL Facility approximates its carrying value as of October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the Notes, based on market prices for publicly traded debt,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and January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6" w:lineRule="exact"/>
              <w:rPr>
                <w:sz w:val="20"/>
                <w:szCs w:val="20"/>
                <w:color w:val="auto"/>
              </w:rPr>
            </w:pPr>
            <w:r>
              <w:rPr>
                <w:rFonts w:ascii="Arial" w:cs="Arial" w:eastAsia="Arial" w:hAnsi="Arial"/>
                <w:sz w:val="16"/>
                <w:szCs w:val="16"/>
                <w:b w:val="1"/>
                <w:bCs w:val="1"/>
                <w:color w:val="auto"/>
              </w:rPr>
              <w:t>October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6" w:lineRule="exact"/>
              <w:rPr>
                <w:sz w:val="20"/>
                <w:szCs w:val="20"/>
                <w:color w:val="auto"/>
              </w:rPr>
            </w:pPr>
            <w:r>
              <w:rPr>
                <w:rFonts w:ascii="Arial" w:cs="Arial" w:eastAsia="Arial" w:hAnsi="Arial"/>
                <w:sz w:val="16"/>
                <w:szCs w:val="16"/>
                <w:b w:val="1"/>
                <w:bCs w:val="1"/>
                <w:color w:val="auto"/>
              </w:rPr>
              <w:t>January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132.5</w:t>
            </w:r>
          </w:p>
        </w:tc>
        <w:tc>
          <w:tcPr>
            <w:tcW w:w="2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months ended April 30, 2020, goodwill and long-lived assets, including certain property and equipment and purchased intangibles subject to amortization, were impaired as a result of the first quarter 2020 interim goodwill and long-lived asset impairment tests.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Fair value is measured as of the impairment date. The carrying value and fair value of the impaired assets as of April 30, 2020 was $194.0 and $52.8 for property and equipment, net, $28.3 and nil for goodwill, and $39.2 and nil for intangible assets, net, respectively. See Note 7 for a discussion of the changes in goodwill and long-lived asset values due to impairment charges recorded during the three months ended April 30,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Contingencies and Off-Balance-Sheet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October 31, 2021, future minimum lease payments under these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arrangements approximated $69.6 of which $30.1 is related to long-term real estate leases and $23.5 is related to long-term coiled tubing unit 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 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“Offering”) the Company’s common stock, par value $0.01 per share, having an aggregate offering price of up to $50.0 (the “Common Stock”).</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Offering will be issued pursuant to the Company’s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 of 1933, as amended (the “Securities Act”).</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 and nine months ended October 31, 2021, the Company sold 1,070,000 and 1,130,216 shares of Common Stock, respectively, for gross proceeds of approximately $4.9 and $5.5, respectively, and paid legal and administrative fees of $0.1 and $0.7,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jc w:val="both"/>
        <w:spacing w:after="0" w:line="250"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Compensation cost recognized during the three and nine months ended October 31, 2021 and 2020 was related to grants of restricted stock as approved by the Compensation Committee. Certain grants of restricted stock to directors and management accelerated in connection with the Merger on July 28, 2020, resulting in approximately $15.1 of stock-based compensation expense during the nine months ended October 31, 2020. Stock-based compensation was $0.9 and $0.5 for the three months ended October 31, 2021 and 2020, respectively, and $2.7 and $17.2 for the nine months ended October 31, 2021 and 2020, respectively. Unrecognized compensation cost related to restricted stock awards made by the Company was $7.1 at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date of the QES acquisition, each unvested QES restricted stock unit award was converted into a replacement 0.0969 KLXE restricted stock unit award. Approximately 2.0 million shares of QES common stock subject to awards outstanding were converted to 0.2 million shares of common stock assumed by KLXE.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expense was $0.2 and $0.4 for the three and nine months ended October 31, 2021, respectively, and was comprised primarily of state and local taxes, compared to $0.2 and $0.3 for the three and nine months ended October 31, 2020, respectively. The Company has a valuation allowance against its deferred tax balances, and as a result, it was unable to recognize a tax benefit on its year-to-date losses.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(“CARES Act”), which was enacted on March 27, 2020 in the United States, includes measures to assist companies. Under the CARES Act, the Company has deferred the employer portion of FICA tax payments of $3.8 as of October 31, 2021. This deferral is included on the condensed consolidated balance sheet. Accrued and other non-current liabilities each had a balance of $1.9 as of October 31, 2021. These payments are due in two installments: half on December 31, 2021 and half on December 31, 2022.</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American Rescue Plan Act of 2021 (the "ARP”) enacted on March 11, 2021 in the United States, responds to the continued economic and health impacts of the COVID-19 pandemic. The ARP includes a wide variety of tax and non-tax provisions. The Company does not anticipate any material impacts from this legislation.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CODM. As a result,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31, 2021</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October 31, 2020</w:t>
            </w:r>
          </w:p>
        </w:tc>
      </w:tr>
      <w:tr>
        <w:trPr>
          <w:trHeight w:val="19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r>
      <w:tr>
        <w:trPr>
          <w:trHeight w:val="211"/>
        </w:trPr>
        <w:tc>
          <w:tcPr>
            <w:tcW w:w="374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94.4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17"/>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1"/>
        </w:trPr>
        <w:tc>
          <w:tcPr>
            <w:tcW w:w="3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14"/>
        </w:trPr>
        <w:tc>
          <w:tcPr>
            <w:tcW w:w="374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Operating loss </w:t>
            </w:r>
            <w:r>
              <w:rPr>
                <w:rFonts w:ascii="Arial" w:cs="Arial" w:eastAsia="Arial" w:hAnsi="Arial"/>
                <w:sz w:val="20"/>
                <w:szCs w:val="20"/>
                <w:color w:val="auto"/>
                <w:vertAlign w:val="superscript"/>
              </w:rPr>
              <w:t>(1)(2)</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4"/>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1"/>
        </w:trPr>
        <w:tc>
          <w:tcPr>
            <w:tcW w:w="374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7"/>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214"/>
        </w:trPr>
        <w:tc>
          <w:tcPr>
            <w:tcW w:w="3740" w:type="dxa"/>
            <w:vAlign w:val="bottom"/>
            <w:tcBorders>
              <w:bottom w:val="single" w:sz="8" w:color="CCEEFF"/>
            </w:tcBorders>
          </w:tcPr>
          <w:p>
            <w:pPr>
              <w:ind w:left="140"/>
              <w:spacing w:after="0" w:line="214"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07"/>
        </w:trPr>
        <w:tc>
          <w:tcPr>
            <w:tcW w:w="3740" w:type="dxa"/>
            <w:vAlign w:val="bottom"/>
            <w:shd w:val="clear" w:color="auto" w:fill="CCEEFF"/>
          </w:tcPr>
          <w:p>
            <w:pPr>
              <w:ind w:left="220"/>
              <w:spacing w:after="0" w:line="207" w:lineRule="exact"/>
              <w:rPr>
                <w:sz w:val="20"/>
                <w:szCs w:val="20"/>
                <w:color w:val="auto"/>
              </w:rPr>
            </w:pPr>
            <w:r>
              <w:rPr>
                <w:rFonts w:ascii="Arial" w:cs="Arial" w:eastAsia="Arial" w:hAnsi="Arial"/>
                <w:sz w:val="16"/>
                <w:szCs w:val="16"/>
                <w:color w:val="auto"/>
              </w:rPr>
              <w:t>Total operating loss</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w:t>
            </w:r>
          </w:p>
        </w:tc>
      </w:tr>
      <w:tr>
        <w:trPr>
          <w:trHeight w:val="211"/>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240" w:hanging="233"/>
        <w:spacing w:after="0" w:line="242" w:lineRule="auto"/>
        <w:tabs>
          <w:tab w:leader="none" w:pos="158" w:val="left"/>
        </w:tabs>
        <w:numPr>
          <w:ilvl w:val="0"/>
          <w:numId w:val="6"/>
        </w:numPr>
        <w:rPr>
          <w:rFonts w:ascii="Arial" w:cs="Arial" w:eastAsia="Arial" w:hAnsi="Arial"/>
          <w:sz w:val="9"/>
          <w:szCs w:val="9"/>
          <w:color w:val="auto"/>
        </w:rPr>
      </w:pPr>
      <w:r>
        <w:rPr>
          <w:rFonts w:ascii="Arial" w:cs="Arial" w:eastAsia="Arial" w:hAnsi="Arial"/>
          <w:sz w:val="14"/>
          <w:szCs w:val="14"/>
          <w:color w:val="auto"/>
        </w:rPr>
        <w:t>Historically, and through July 31, 2020, the Company’s total corporate overhead costs were allocated and reported within each reportable segment. During the third quarter of 2020, the Company changed the corporate overhead allocation methodology to include corporate costs incurred on behalf of its operating segments, which includes accounts payable, accounts receivable, insurance, audit, supply chain, health, safety and environmental and others. The remaining unallocated corporate costs are reported as a reconciling item. The change will better reflect the CODM’s philosophy on assessing performance and allocating resources, as well as improve comparability to the Company’s peer group.</w:t>
      </w:r>
    </w:p>
    <w:p>
      <w:pPr>
        <w:spacing w:after="0" w:line="4" w:lineRule="exact"/>
        <w:rPr>
          <w:rFonts w:ascii="Arial" w:cs="Arial" w:eastAsia="Arial" w:hAnsi="Arial"/>
          <w:sz w:val="9"/>
          <w:szCs w:val="9"/>
          <w:color w:val="auto"/>
        </w:rPr>
      </w:pPr>
    </w:p>
    <w:p>
      <w:pPr>
        <w:ind w:left="240" w:hanging="233"/>
        <w:spacing w:after="0" w:line="210"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Operating loss for the three and nine months ended October 31, 2020 includes impairment and other charges of $4.4 and $213.1, respectively, of which $1.6 and $92.9, respectively, were attributable to the Southwest segment, $0.0 and $28.3, respectively, were attributable to the Rocky Mountains segment, $0.5 and $89.6, respectively, were attributable to the Northeast/Mid-Con segment and $2.3 and $2.3, respectively, were attributable to Corporate and other.</w:t>
      </w:r>
    </w:p>
    <w:p>
      <w:pPr>
        <w:spacing w:after="0" w:line="1" w:lineRule="exact"/>
        <w:rPr>
          <w:rFonts w:ascii="Arial" w:cs="Arial" w:eastAsia="Arial" w:hAnsi="Arial"/>
          <w:sz w:val="21"/>
          <w:szCs w:val="21"/>
          <w:color w:val="auto"/>
          <w:vertAlign w:val="superscript"/>
        </w:rPr>
      </w:pPr>
    </w:p>
    <w:p>
      <w:pPr>
        <w:ind w:left="160" w:hanging="153"/>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reduction in bargain purchase gain of $2.4 and bargain purchase gain of $38.7 during the three and nine-month periods ending October 31, 2020,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by service offering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October 31, 2021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69"/>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7"/>
              </w:rPr>
              <w:t>Northeast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70"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35"/>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October 31, 2021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69"/>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7"/>
              </w:rPr>
              <w:t>Northeast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70"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35"/>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0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31, 2021</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October 31, 2020</w:t>
            </w:r>
          </w:p>
        </w:tc>
      </w:tr>
      <w:tr>
        <w:trPr>
          <w:trHeight w:val="20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1"/>
        </w:trPr>
        <w:tc>
          <w:tcPr>
            <w:tcW w:w="38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1"/>
        </w:trPr>
        <w:tc>
          <w:tcPr>
            <w:tcW w:w="382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3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8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1"/>
        </w:trPr>
        <w:tc>
          <w:tcPr>
            <w:tcW w:w="75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1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r>
      <w:tr>
        <w:trPr>
          <w:trHeight w:val="207"/>
        </w:trPr>
        <w:tc>
          <w:tcPr>
            <w:tcW w:w="7520" w:type="dxa"/>
            <w:vAlign w:val="bottom"/>
          </w:tcPr>
          <w:p>
            <w:pPr>
              <w:ind w:left="160"/>
              <w:spacing w:after="0"/>
              <w:rPr>
                <w:sz w:val="20"/>
                <w:szCs w:val="20"/>
                <w:color w:val="auto"/>
              </w:rPr>
            </w:pPr>
            <w:r>
              <w:rPr>
                <w:rFonts w:ascii="Arial" w:cs="Arial" w:eastAsia="Arial" w:hAnsi="Arial"/>
                <w:sz w:val="16"/>
                <w:szCs w:val="16"/>
                <w:color w:val="auto"/>
              </w:rPr>
              <w:t>Total segment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1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0"/>
        </w:trPr>
        <w:tc>
          <w:tcPr>
            <w:tcW w:w="75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Common Share</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October 31, 2021 and 2020, 0.5 and 0.3 million shares of the Company’s common stock, respectively, and for the nine months ended October 31, 2021 and 2020, 0.4 and 0.5 million shares of the Company’s common stock, respectively, were excluded from the determination of diluted net loss per common share because their effect would have been anti-dilutive. The computations of basic and diluted net loss per share for the three and nine months ended October 31, 2021 and 2020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00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31, 2021</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8"/>
              </w:rPr>
              <w:t>October 31, 2020</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October 31, 2021</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8"/>
              </w:rPr>
              <w:t>October 31, 2020</w:t>
            </w:r>
          </w:p>
        </w:tc>
        <w:tc>
          <w:tcPr>
            <w:tcW w:w="0" w:type="dxa"/>
            <w:vAlign w:val="bottom"/>
          </w:tcPr>
          <w:p>
            <w:pPr>
              <w:spacing w:after="0"/>
              <w:rPr>
                <w:sz w:val="1"/>
                <w:szCs w:val="1"/>
                <w:color w:val="auto"/>
              </w:rPr>
            </w:pPr>
          </w:p>
        </w:tc>
      </w:tr>
      <w:tr>
        <w:trPr>
          <w:trHeight w:val="233"/>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Arial" w:cs="Arial" w:eastAsia="Arial" w:hAnsi="Arial"/>
                <w:sz w:val="16"/>
                <w:szCs w:val="16"/>
                <w:color w:val="auto"/>
              </w:rPr>
              <w:t>Basic net loss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2021 and in this Quarterly Report, including the following factors:</w:t>
      </w:r>
    </w:p>
    <w:p>
      <w:pPr>
        <w:spacing w:after="0" w:line="237" w:lineRule="exact"/>
        <w:rPr>
          <w:sz w:val="20"/>
          <w:szCs w:val="20"/>
          <w:color w:val="auto"/>
        </w:rPr>
      </w:pP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extraordinary market environment and impacts resulting from the COVID-19 pandemic and related swift and material decline, as well as increased volatility, in national and global crude oil demand and crude oil prices;</w:t>
      </w:r>
    </w:p>
    <w:p>
      <w:pPr>
        <w:ind w:left="800" w:right="2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have on our financial flexibility, our ability to engage in strategic transactions or our ability to declare and pay cash dividends on our common stock;</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hanging="151"/>
        <w:spacing w:after="0" w:line="255"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 of U.S. dollars and shares)</w:t>
      </w:r>
    </w:p>
    <w:p>
      <w:pPr>
        <w:spacing w:after="0" w:line="190" w:lineRule="exact"/>
        <w:rPr>
          <w:sz w:val="20"/>
          <w:szCs w:val="20"/>
          <w:color w:val="auto"/>
        </w:rPr>
      </w:pPr>
    </w:p>
    <w:p>
      <w:pPr>
        <w:jc w:val="both"/>
        <w:spacing w:after="0" w:line="252"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the historical condensed consolidated financial statements and related notes included elsewhere in this Quarterly Report on Form 10-Q (“Quarterly Report”) as well as our </w:t>
      </w:r>
      <w:hyperlink r:id="rId35">
        <w:r>
          <w:rPr>
            <w:rFonts w:ascii="Arial" w:cs="Arial" w:eastAsia="Arial" w:hAnsi="Arial"/>
            <w:sz w:val="18"/>
            <w:szCs w:val="18"/>
            <w:i w:val="1"/>
            <w:iCs w:val="1"/>
            <w:color w:val="auto"/>
          </w:rPr>
          <w:t xml:space="preserve">Annual Report on Form 10-K </w:t>
        </w:r>
      </w:hyperlink>
      <w:r>
        <w:rPr>
          <w:rFonts w:ascii="Arial" w:cs="Arial" w:eastAsia="Arial" w:hAnsi="Arial"/>
          <w:sz w:val="18"/>
          <w:szCs w:val="18"/>
          <w:i w:val="1"/>
          <w:iCs w:val="1"/>
          <w:color w:val="auto"/>
        </w:rPr>
        <w:t>for the fiscal year ended January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following discussion and analysis addresses the results of KLX Energy Services Holdings, Inc.’s (the “Company”, “KLXE” or “KLX Energy Services”) operations for the three and nine months ended October 31, 2021, as compared to our results of operations for the three and nine months ended October 31, 2020. In addition, the discussion and analysis addresses our liquidity, financial condition and other matters for these periods. The previously announced merger of Krypton Merger Sub, Inc., an indirect wholly owned subsidiary of KLXE ("Merger Sub"), with and into QES, with QES surviving the merger as a subsidiary of KLXE (the "Merger") closed on July 28, 2020. Unless otherwise noted or the context requires otherwise, references herein to KLX Energy Services with respect to time periods prior to July 28, 2020 include KLX Energy Services and its consolidated subsidiaries and do not include QES and its consolidated subsidiaries, while references herein to KLX Energy Services with respect to time periods from and after July 28, 2020 include QES and its consolidated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Services, LLC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high-pressure pumping, thru-tubing and certain other services. We successfully completed the integration of the Tecton and Red Bone businesses during fiscal 2019. We acquired QES during the second quarter of 2020 and, by doing so, helped establish KLXE as an industry leading provider of diversified oilfield solutions across the full well lifecycle to the major onshore oil and gas producing regions of the United States.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26, 2020, the Company’s Board of Directors (the "Board") approved a 1-for-5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Merger of KLXE and QES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KLXE became a leading provider of large diameter coiled tubing and wireline services and one of the largest independent providers of directional drilling to the U.S. market.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closing the Merger, the Company focused on integrating personnel, facilities, processes and systems across all functional areas of the organization.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By the end of first quarter of 2021, the Company had implemented approximately $46.0 of annualized cost savings. We continue to be diligently focused on generating additional cost savings from the Merger and to date have realized such savings through eliminating KLXE's legacy corporate headquarters in Wellington, Florida, rationalizing associated corporate functions to Houston, and capturing operational synergies in the areas of personnel, facilities and rolling stock.</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first quarter of 2021, we consolidated corporate offices in Houston, Texas and identified $4.4 of additional annualized fixed cost savings associated with headcount, facilities, changes to management processes and reduction in the size of the Board from nine directors to seven directors. These cost savings were fully implemented by the end of the second quarter and were completely realized during the third quarter.</w:t>
      </w:r>
    </w:p>
    <w:p>
      <w:pPr>
        <w:spacing w:after="0" w:line="23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Additional synergies may be realized as management continues to rationalize operational facilities and align common roles, processes and systems throughout each function and region. The Merger also enhances the Company’s ability to effect further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basins. We operate in three segments on a geographic basis, including the Southwest Region (the Permian Basin, Eagle Ford Shale and the Gulf Coast including industrial and petrochemical facilities), the Rocky Mountains Region (the Bakken, Williston, DJ, Uinta, Powder River, Piceance and Niobrara basins)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organization and, in selected instances, by our technology partners to develop tools covered by 28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exploration and production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endeavor to continue to build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research and development team.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quarter, as a result of increased usage from improving drilling activity levels and changes in the manner and conditions in which various types of our small tools are used, we updated the estimated useful lives of such tools to 1 - 3 years, resulting in approximately $0.2 of incremental monthly depreciation on a prospective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to the condensed consolidated financial statements for additional information. As a result of the change in presentation, the total corporate overhead costs allocated for the three and nine months ended October 31, 2020 to the Company’s three reportable segments decreased by $11.4 and $13.7, respectively.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changed its presentation of service offering revenues. Historically, and through January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w:t>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September 3, 2021, the Board of the Company adopted the Fourth Amended and Restated Bylaws of the Company, effective as of such date, to change the Company’s fiscal year-end from January 31 to December 31, effective beginning with the year ended December 31, 2021. As a result, the Company’s current fiscal year 2021 will be shortened from 12 months to 11 months and end on December 31, 2021. The Company is undertaking this change in an effort to normalize our fiscal year-end and improve comparability with our peers.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during 2020 was challenged due to the novel coronavirus ("COVID-19") pandemic and macro supply and demand concerns. While the extent and duration of the continued global impact of the COVID-19 pandemic is unknown, economic activity has increased from the April 2020 lows, and signs of a potential global economic recovery in fiscal 2021 have emerged, driven by the rollout of COVID-19 vaccines, fiscal and monetary stimulus policies, and pent-up demand for goods and services.</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Despite the market headwinds experienced in 2020, the Company remained focused on building a leaner and more profitable set of service offerings, which allowed us to make meaningful positive impacts to our revenue, operating margins, cash flows and Adjusted EBITDA. See "How We Evaluate Our Operations" for additional information. We have taken, and are continuing to take, steps to reduce costs, including reductions in capital expenditures, as well as other workforce rightsizing and ongoing streamlining initiatives.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of 2021, we experienced a material slow down due to the unprecedented Winter Storm Uri, the costliest winter storm in U.S. history. As a result of the storm conditions, our customers shut-in wells and delayed work, causing us at least seven days of lost revenue, primarily in the Permian and the Mid-continent regions.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far in fiscal 2021, West Texas Intermediate ("WTI") prices have increased an incremental 16.4% from May 1 to July 31 and another 12.9% from July 31 to October 31. In response, the United States has continued to increase drilling and completion activity levels relative to where the market exited 2020. As of October 31, 2021, U.S. rig count was up to 544, an increase of 11.5% since July 31, 2021. Additionally,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have continued to see U.S. shale operators consolidate within certain basins, particularly the Permian and Rocky Mountains, and many public operators have announced that they are targeting oil and gas production at the end of 2021 to be consistent with production levels at year end 2020.</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saw a meaningful increase in overall activity throughout the first three quarters of 2021, as commodity prices have reached levels last seen in 2014. Looking ahead to the remainder of fiscal 2021, provided that the impact of the COVID-19 pandemic lessens, economic activity continues to increase, and commodity prices remain strong, we expect to experience further increases in activity and corresponding improvements in the price of our products and services.</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diverse product and service offerings uniquely positions KLXE to respond to a rapidly evolving marketplace where we can provide a comprehensive suite of engineered solutions for our customers with one call and one master services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research and development, which we believe allows us to maintain a technical advantage over our competitors providing similar services using standard equipment.</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$50.4 of cost synergies associated with the Merger has further reduced our cost structure and afforded us greater flexibility to respond to changing industry conditions. The implementation of integrated, company-wide management information systems and processes provides more transparency to current operating performance and trends within each market where we compete and helps us more acutely scale our cost structure and pricing strategies on a market-by-market basis. The potential for further cost savings remains as we continue to refine and optimize the business moving forward. We believe our ability to differentiate ourselves on the basis of quality provides an opportunity for us to gain market share and increase our share of business with existing customers.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younger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0" w:lineRule="exact"/>
        <w:rPr>
          <w:sz w:val="20"/>
          <w:szCs w:val="20"/>
          <w:color w:val="auto"/>
        </w:rPr>
      </w:pPr>
    </w:p>
    <w:p>
      <w:pPr>
        <w:ind w:left="960" w:hanging="311"/>
        <w:spacing w:after="0"/>
        <w:tabs>
          <w:tab w:leader="none" w:pos="9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247" w:lineRule="exact"/>
        <w:rPr>
          <w:rFonts w:ascii="Arial" w:cs="Arial" w:eastAsia="Arial" w:hAnsi="Arial"/>
          <w:sz w:val="18"/>
          <w:szCs w:val="18"/>
          <w:i w:val="1"/>
          <w:iCs w:val="1"/>
          <w:color w:val="auto"/>
        </w:rPr>
      </w:pPr>
    </w:p>
    <w:p>
      <w:pPr>
        <w:jc w:val="both"/>
        <w:ind w:left="980" w:hanging="331"/>
        <w:spacing w:after="0" w:line="252" w:lineRule="auto"/>
        <w:tabs>
          <w:tab w:leader="none" w:pos="97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("Adjusted EBITDA")</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non-Generally Accepted Accounting Principles financial measure that is used by management and external users of our financial statements, such as industry analysts, investors, lenders and rating agencies. Adjusted EBITDA is not a measure of net earnings or cash flows as determined by Generally Accepted Accounting Principles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213" w:lineRule="exact"/>
        <w:rPr>
          <w:rFonts w:ascii="Arial" w:cs="Arial" w:eastAsia="Arial" w:hAnsi="Arial"/>
          <w:sz w:val="18"/>
          <w:szCs w:val="18"/>
          <w:i w:val="1"/>
          <w:iCs w:val="1"/>
          <w:color w:val="auto"/>
        </w:rPr>
      </w:pPr>
    </w:p>
    <w:p>
      <w:pPr>
        <w:ind w:left="980" w:right="20" w:hanging="331"/>
        <w:spacing w:after="0" w:line="276" w:lineRule="auto"/>
        <w:tabs>
          <w:tab w:leader="none" w:pos="97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Three Months Ended October 31,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40" w:type="dxa"/>
            <w:vAlign w:val="bottom"/>
          </w:tcPr>
          <w:p>
            <w:pPr>
              <w:spacing w:after="0"/>
              <w:rPr>
                <w:sz w:val="18"/>
                <w:szCs w:val="18"/>
                <w:color w:val="auto"/>
              </w:rPr>
            </w:pPr>
          </w:p>
        </w:tc>
        <w:tc>
          <w:tcPr>
            <w:tcW w:w="1660" w:type="dxa"/>
            <w:vAlign w:val="bottom"/>
          </w:tcPr>
          <w:p>
            <w:pPr>
              <w:jc w:val="right"/>
              <w:ind w:right="18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100.5 %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84.7 %</w:t>
            </w:r>
          </w:p>
        </w:tc>
      </w:tr>
      <w:tr>
        <w:trPr>
          <w:trHeight w:val="211"/>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2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103.2 %</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96.1 %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quarter ended October 31, 2021, revenues were $139.0, an increase of $68.1, or 96.1%, as compared with the prior year period. Rocky Mountains segment revenue increased by $18.3, or 100.5%, Southwest segment revenue increased $21.0, or 84.7%, and Northeast/Mid-Con segment revenue increased by $28.8, or 103.2%. The increases in all three operating segments were driven by a combination of increased pricing for the Company's products and services as well as increased activity. In the current quarter, rig count increased to 544, by 248 or 84% as compared to the same period of the prior year. This was driven by an increase in production activity across all three of our operating segments. Additionally, pricing has increased materially across most of our product service lines as compared to the same period of the prior year.</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 product line basis, drilling, completion, production and intervention services contributed approximately 27.8%, 48.8%, 14.0% and 9.4%, respectively, to revenue for the three months ended October 31, 2021 and 21.6%, 43.9%, 10.6% and 24.0%, respectively, for the three months ended October 31, 2020. The most significant contribution to the increase came from drilling, which increased by $23.4, or 152.9%, due to the directional drilling service revenues acquired in the Merger with QES. Completion, production and intervention services revenues changed by approximately $36.6 or 117.7%, $12.0 or 160.0% and $(3.9) or (22.9)%, respectively, as compared to the same period in the prior year.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October 31, 2021, cost of sales were $120.7, or 86.8% of revenues, as compared to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$65.6, or 92.5% of revenues. Cost of sales as a percentage of revenues decreased primarily due to the improvement in pricing discussed above, which has more than offset cost pressures related to labor and supply chain.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October 31, 2021, selling, general and administrative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were $14.8, or 10.6% of revenues, as compared with $14.1, or 19.9% of revenues, in the prior year period. Decrease in SG&amp;A as a percentage of revenues was driven primarily by the improvement in pricing discussed above. Additionally, SG&amp;A expenses for the quarter ended October 31, 2020, included $2.7 of merger and integration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r>
        <w:rPr>
          <w:rFonts w:ascii="Arial" w:cs="Arial" w:eastAsia="Arial" w:hAnsi="Arial"/>
          <w:sz w:val="18"/>
          <w:szCs w:val="18"/>
          <w:color w:val="auto"/>
        </w:rPr>
        <w:t>. The following is a summary of operating income (loss) by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40" w:type="dxa"/>
            <w:vAlign w:val="bottom"/>
          </w:tcPr>
          <w:p>
            <w:pPr>
              <w:spacing w:after="0"/>
              <w:rPr>
                <w:sz w:val="18"/>
                <w:szCs w:val="18"/>
                <w:color w:val="auto"/>
              </w:rPr>
            </w:pPr>
          </w:p>
        </w:tc>
        <w:tc>
          <w:tcPr>
            <w:tcW w:w="1660" w:type="dxa"/>
            <w:vAlign w:val="bottom"/>
          </w:tcPr>
          <w:p>
            <w:pPr>
              <w:jc w:val="right"/>
              <w:ind w:right="18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(4.6)</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63.0 %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55.9 %</w:t>
            </w: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Northeast/Mid-Con</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133.3 %</w:t>
            </w:r>
          </w:p>
        </w:tc>
      </w:tr>
      <w:tr>
        <w:trPr>
          <w:trHeight w:val="217"/>
        </w:trPr>
        <w:tc>
          <w:tcPr>
            <w:tcW w:w="550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44.7 %</w:t>
            </w:r>
          </w:p>
        </w:tc>
      </w:tr>
      <w:tr>
        <w:trPr>
          <w:trHeight w:val="207"/>
        </w:trPr>
        <w:tc>
          <w:tcPr>
            <w:tcW w:w="5500" w:type="dxa"/>
            <w:vAlign w:val="bottom"/>
          </w:tcPr>
          <w:p>
            <w:pPr>
              <w:ind w:left="20"/>
              <w:spacing w:after="0" w:line="207" w:lineRule="exact"/>
              <w:rPr>
                <w:sz w:val="20"/>
                <w:szCs w:val="20"/>
                <w:color w:val="auto"/>
              </w:rPr>
            </w:pPr>
            <w:r>
              <w:rPr>
                <w:rFonts w:ascii="Arial" w:cs="Arial" w:eastAsia="Arial" w:hAnsi="Arial"/>
                <w:sz w:val="16"/>
                <w:szCs w:val="16"/>
                <w:color w:val="auto"/>
              </w:rPr>
              <w:t>Total operating loss</w:t>
            </w:r>
            <w:r>
              <w:rPr>
                <w:rFonts w:ascii="Arial" w:cs="Arial" w:eastAsia="Arial" w:hAnsi="Arial"/>
                <w:sz w:val="20"/>
                <w:szCs w:val="20"/>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65.8 %</w:t>
            </w: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39" w:lineRule="exact"/>
        <w:rPr>
          <w:sz w:val="20"/>
          <w:szCs w:val="20"/>
          <w:color w:val="auto"/>
        </w:rPr>
      </w:pPr>
    </w:p>
    <w:p>
      <w:pPr>
        <w:ind w:left="140" w:hanging="133"/>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Includes reduction in bargain purchase gain of $2.4 during the three months ended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quarter ended October 31, 2021, operating loss was $10.4 compared to operating loss of $30.4 in the prior year period, due to above increases in activity and improvements in pricing, along with synergies implemented related to integration of the Merger and consolidating operating facilities and headcount. Additionally, operating loss for Corporate and other for the quarter ended October 31, 2020 includes $2.4 of a non-recurring reduction in bargain purchase gain.</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Results improved in all segments compared to prior year period, as Rocky Mountains segment operating loss was $1.7, Southwest segment operating loss was $4.1, and Northeast/Mid-Con segment operating income was $1.7 for the three months ended October 31, 2021, in each case primarily driven by increased activity due to higher rig count, improved pricing, and a reduced cost structure driven by successful integration of the QES business.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October 31, 2021, income tax expense was $0.2, which was consistent with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was comprised primarily of state and local taxes. The Company did not recognize a tax benefit on its year-to-date losses because it has a valuation allowance against its deferred tax balances, which prevents the Company from recording such benefit.</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October 31, 2021, net loss was $18.8, as compared to $38.3 in the prior year period, due to above-mentioned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activity as well as improvements in pricing.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2021 Compared to Nine Months Ended October 31,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6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70.1</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34.7 %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137.5 %</w:t>
            </w:r>
          </w:p>
        </w:tc>
      </w:tr>
      <w:tr>
        <w:trPr>
          <w:trHeight w:val="211"/>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2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80.9 %</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79.7 %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nine months ended October 31, 2021, revenues were $341.7, an increase of $151.6, or 79.7%, as compared with the prior year period. Rocky Mountains segment revenue increased by $24.3, or 34.7%, Southwest segment revenue increased $73.4, or 137.5%, and Northeast/Mid-Con segment revenue increased by $53.9, or 80.9%. The increases in all three operating segments were driven by a combination of increased pricing for the Company's products and services as well as increased activity. In the current quarter, rig count increased to 544, by 248 or 84% as compared to the same period of the prior year. This was driven by an increase in production activity across all three of our operating segments. Additionally, pricing has increased materially across most of our product service lines as compared to the same period of the prior year.</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 product line basis, drilling, completion, production and intervention services contributed approximately 27.9%, 47.9%, 14.1% and 10.1%, respectively, to revenue for the nine months ended October 31, 2021 and 14.2%, 48.6%, 14.3% and 22.9%, respectively, for the nine months ended October 31, 2020. The most significant contribution to the increase came from drilling, which increased by $68.5, or 254.6%, due to the directional drilling service revenues acquired in the Merger with QES. Completion, production, and intervention services revenues changed by approximately $71.4 or 77.3%, $20.9 or 76.8% and $(9.2) or (21.1)%, respectively, as compared to the same period in the prior year.</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nine months ended October 31, 2021, cost of sales were $308.5, or 90.3% of revenues, as compared to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$180.5, or 95.0% of revenues. Cost of sales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percentage of revenues decreased primarily due to the improvement in pricing discussed above, which has more than offset cost pressures related to labor and supply chain.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nine months ended October 31, 2021, SG&amp;A expenses were $44.1, or 12.9%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$69.6, or 36.6% of revenues, in the prior year period. Decreases in SG&amp;A expense and SG&amp;A as a percentage of revenues were driven by the improvement in pricing discussed above. Additionally, SG&amp;A expenses for the nine months ended October 31, 2020, included $28.9 of merger and integration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r>
        <w:rPr>
          <w:rFonts w:ascii="Arial" w:cs="Arial" w:eastAsia="Arial" w:hAnsi="Arial"/>
          <w:sz w:val="18"/>
          <w:szCs w:val="18"/>
          <w:color w:val="auto"/>
        </w:rPr>
        <w:t>. The following is a summary of operating loss by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2021</w:t>
            </w:r>
          </w:p>
        </w:tc>
        <w:tc>
          <w:tcPr>
            <w:tcW w:w="160" w:type="dxa"/>
            <w:vAlign w:val="bottom"/>
          </w:tcPr>
          <w:p>
            <w:pPr>
              <w:spacing w:after="0"/>
              <w:rPr>
                <w:sz w:val="18"/>
                <w:szCs w:val="18"/>
                <w:color w:val="auto"/>
              </w:rPr>
            </w:pPr>
          </w:p>
        </w:tc>
        <w:tc>
          <w:tcPr>
            <w:tcW w:w="1640" w:type="dxa"/>
            <w:vAlign w:val="bottom"/>
          </w:tcPr>
          <w:p>
            <w:pPr>
              <w:jc w:val="right"/>
              <w:ind w:right="180"/>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2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(45.3)</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75.5 %</w:t>
            </w:r>
          </w:p>
        </w:tc>
      </w:tr>
      <w:tr>
        <w:trPr>
          <w:trHeight w:val="217"/>
        </w:trPr>
        <w:tc>
          <w:tcPr>
            <w:tcW w:w="5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86.6 %</w:t>
            </w:r>
          </w:p>
        </w:tc>
      </w:tr>
      <w:tr>
        <w:trPr>
          <w:trHeight w:val="211"/>
        </w:trPr>
        <w:tc>
          <w:tcPr>
            <w:tcW w:w="5520" w:type="dxa"/>
            <w:vAlign w:val="bottom"/>
          </w:tcPr>
          <w:p>
            <w:pPr>
              <w:ind w:left="240"/>
              <w:spacing w:after="0"/>
              <w:rPr>
                <w:sz w:val="20"/>
                <w:szCs w:val="20"/>
                <w:color w:val="auto"/>
              </w:rPr>
            </w:pPr>
            <w:r>
              <w:rPr>
                <w:rFonts w:ascii="Arial" w:cs="Arial" w:eastAsia="Arial" w:hAnsi="Arial"/>
                <w:sz w:val="16"/>
                <w:szCs w:val="16"/>
                <w:color w:val="auto"/>
              </w:rPr>
              <w:t>Northeast/Mid-Con</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(105.2)</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91.5 %</w:t>
            </w:r>
          </w:p>
        </w:tc>
      </w:tr>
      <w:tr>
        <w:trPr>
          <w:trHeight w:val="214"/>
        </w:trPr>
        <w:tc>
          <w:tcPr>
            <w:tcW w:w="5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0"/>
        </w:trPr>
        <w:tc>
          <w:tcPr>
            <w:tcW w:w="5520" w:type="dxa"/>
            <w:vAlign w:val="bottom"/>
          </w:tcPr>
          <w:p>
            <w:pPr>
              <w:ind w:left="20"/>
              <w:spacing w:after="0" w:line="210" w:lineRule="exact"/>
              <w:rPr>
                <w:sz w:val="20"/>
                <w:szCs w:val="20"/>
                <w:color w:val="auto"/>
              </w:rPr>
            </w:pPr>
            <w:r>
              <w:rPr>
                <w:rFonts w:ascii="Arial" w:cs="Arial" w:eastAsia="Arial" w:hAnsi="Arial"/>
                <w:sz w:val="16"/>
                <w:szCs w:val="16"/>
                <w:color w:val="auto"/>
              </w:rPr>
              <w:t>Total operating loss</w:t>
            </w:r>
            <w:r>
              <w:rPr>
                <w:rFonts w:ascii="Arial" w:cs="Arial" w:eastAsia="Arial" w:hAnsi="Arial"/>
                <w:sz w:val="20"/>
                <w:szCs w:val="20"/>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79.8 %</w:t>
            </w: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79" w:lineRule="exact"/>
        <w:rPr>
          <w:sz w:val="20"/>
          <w:szCs w:val="20"/>
          <w:color w:val="auto"/>
        </w:rPr>
      </w:pPr>
    </w:p>
    <w:p>
      <w:pPr>
        <w:ind w:left="140" w:hanging="133"/>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bargain purchase gain of $38.7 during the nine months ended October 31, 2020.</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nine months ended October 31, 2021, operating loss was $56.2 compared to operating loss of $278.8 in the prior year period, due to a decrease in impairment and other charges from $213.1 in 2020 to $0.8 in 2021, as well as due to above increases in activity and improvements in pricing, along with synergies implemented related to integration of the Merger and consolidating operating facilities and headcount.</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Results improved in all segments compared to the prior year period, as Rocky Mountains segment operating loss was $11.1, Southwest segment operating loss was $15.3, and Northeast/Mid-Con segment operating loss was $8.9 for the nine months ended October 31, 2021, in each case primarily driven by lower impairment and other charges as well as higher rig count and improved pricing.</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For the nine months ended October 31, 2021, income tax expense was $0.4, as compared to income tax expense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$0.3 in the prior year period, and was comprised primarily of state and local taxes. The Company did not recognize a tax benefit on its year-to-date losses because it has a valuation allowance against its deferred tax balances, which prevents the Company from recording such benefit.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nine months ended October 31, 2021, net loss was $80.6, as compared to $301.8 in the prior year period,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impairment and other charges from $213.1 in 2020 to $0.8 in 2021, along with above-mentioned increase in activity as well as improvements in pricing.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senior secured credit agreement dated August 10, 2018 ("ABL Facility") and cash flows from operations. At October 31, 2021, we had $40.8 of cash and cash equivalents and total $40.0 available and net $30.0 available after $10.0 fixed charge coverage ratio ("FCCR") holdback on the October 31, 2021 ABL Facility Borrowing Base Certificate, which resulted in a total liquidity position of $80.8 and a net liquidity position of $70.8.</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cash flow used in operations for the nine months ended October 31, 2021 was approximately $43.2 as compared to approximately $35.8 used in operations for the same period in 2020. In response to declining customer activity and commodity price instability, in the third quarter of 2020 we implemented actions to achieve our previously announced annualized run-rate cost synergies. By the end of first quarter of 2021,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Company implemented approximately $46.0 of annualized cost savings and also identified and actioned an additional $4.4 of annualized cost savings.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available cash. The COVID-19 pandemic and the related significant decrease in the price of oil resulted in a decrease in demand for our services in the last part of the first quarter through the third quarter of 2020. We started to see a moderate increase in overall activity throughout the first three quarters of 2021, which we expect to continue into the remainder of the fiscal year. Additionally, should our customers experience financial distress due to the current market conditions, they could default on their payments owed to us, which would affect our cash flows and liquidity. As of October 31, 2021, we have $5.0 of trade accounts receivable reserved for customers in bankruptcy, primarily related to Magellan. See Part II, Item 1 "Legal Proceedings" for more information regarding the amount due from Magellan.</w:t>
      </w:r>
    </w:p>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primary use of capital resources has been for funding working capital and investing in property and equipment used to provide our services. We actively manage our capital spending and are focused on required maintenance spending. In addition, we regularly monitor potential sources of capital, including equity and debt financings, in an effort to meet our planned capital expenditure and liquidity requirements and reduce cost. The COVID-19 pandemic, coupled with the global crude oil supply and demand imbalance and the resulting volatility in U.S. onshore oil and gas activity, has significantly affected the value of our common stock, which, without a viable recovery and uptick in the demand for our services, may reduce our ability to access capital in the bank and capital markets, including through equity or debt offerings.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October 31, 2021, we had $40.8 of cash and cash equivalents. Cash on hand at October 31, 2021 decreased by $6.3, as compared with $47.1 cash on hand at January 31, 2021 as a result of $43.2 of cash used in operating activities offset by $6.2 of cash provided by investing activities and $30.7 of cash provided by financing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October 31, 2020</w:t>
            </w:r>
          </w:p>
        </w:tc>
      </w:tr>
      <w:tr>
        <w:trPr>
          <w:trHeight w:val="208"/>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3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cash used in operating activities was $43.2 for the nine months ended October 31, 2021, as compared to $35.8 for the nine months ended October 31, 2020. The decrease in operating cash flows was primarily attributable to working capital investments associated with increased accounts receivable from associated increased revenue and utilization.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provided by investing activities was $6.2 for the nine months ended October 31, 2021, as compared to net cash used in investing activities of $10.3 for the nine months ended October 31, 2020. The increase in investing cash flows for the nine months ended October 31, 2021 was primarily driven by sales of facilities, trucks and other idle assets resulting from cost reduction initiatives, as well as lost-in-hole tools billed to customers as a result of increased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cash provided by financing activities was $30.7 for the nine months ended October 31, 2021, compared to $2.4 for the nine months ended October 31, 2020. During the nine months ended October 31, 2021, borrowings under the ABL facility were $30.0 and proceeds from stock issuance, net of costs were $4.8, offset by $1.8 paid on financed payables, $2.0 paid on capital lease obligations, and $0.3 paid for treasury shares in connection with the settlement of income tax and related benefit withholding obligations arising from vesting of restricted stock grants under the Company’s long-term incentive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There was $30.0 outstanding under the ABL Facility as of October 31, 2021. Total letters of credit outstanding under the ABL Facility were $5.0 at October 31, 2021. The effective interest rate under the ABL Facility was approximately 4.75% on October 31, 2021. Accrued interest as of October 31, 2021 was $0.3.</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Financial Services industry and market participants continue to work towards transitioning away from interbank offered rates ("IBOR"), including the LIBOR, that are being phased out imminently. This phasing out will have an impact on the ABL Facility that utilizes LIBOR as a benchmark. To transition from IBOR Reference Rate, the ABL Facility agreement between the Company and JP Morgan Chase &amp; Co. ("JP Morgan"), which currently has borrowings outstanding of $30.0, will be amended to adopt an alternate rate effective on or before June 30, 2023. Until the ABL Facility agreement is amended to allow for Secured Overnight Financing Rate ("SOFR") as the replacement to LIBOR, the Alternate Base Rate ("ABR"), is the default rate that JP Morgan has agreed to use as the LIBOR replacement. See Note 2 for further discussion of upcoming changes from LIBOR to Term SOFR.</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$10.0 or 15% of the borrowing base. At all times during the nine months ended October 31, 2021, availability exceeded this threshold, and the Company was not subject to this financial covenant. As of October 31, 2021, the FCCR was below 1.0 to 1.0. The Company was in full compliance with its credit facility as of October 31, 2021.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October 31, 2021 was $244.6. The Notes bear interest at an annual rate of 11.5%, payable semi-annually in arrears on May 1 and November 1. Accrued interest as of October 31, 2021 was $14.4.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capital expenditures were $7.5 during the nine months ended October 31, 2021, compared to $11.1 in the nine months ended October 31, 2020. We expect to incur a total between $9.0 to $11.0 in capital expenditures for the year ending December 31, 2021, based on current industry conditions. This is more than a 30% reduction from the previous range of $14.0 to $16.0, partially driven by the change in year-end. The nature of our capital expenditures is comprised of a base level of investment required to support our current operations and amounts related to growth and Company initiatives. Capital expenditures for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the ABL Facility availability, Equity Distribution Agreement (defined below) and cash flow from operations. We have total funds available of $40.0 and net funds available of $30.0, after $10.0 FCCR holdback, as of October 31, 2021, from our $100.0 ABL Facility (under which the amount of availability depends in part on a borrowing base tied to the aggregate amount of our accounts receivable and inventory satisfying specified criteria and our compliance with a minimum fixed charge coverage ratio).</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based on our current forecasts, our cash on hand, the ABL Facility availability, the Equity Distribution Agreement (defined below), together with our cash flows, will provide us with the ability to fund our operations, meet our debt service obligations, and make planned capital expenditures for at least the next 12 months. However, we can make no assurances regarding our ability to achieve our forecasts, which are materially dependent on our financial performance and demand for our services.</w:t>
      </w:r>
    </w:p>
    <w:p>
      <w:pPr>
        <w:spacing w:after="0" w:line="235"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Company also continues to assess various sources and options including public and private financings to bolster its liquidity and believes that, given current market conditions, it has opportunities to do so, however, there are no guarantees regarding these future financings.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“Offering”) the Company’s common stock, par value $0.01 per share, having an aggregate offering price of up to $50.0 (the “Common Stock”).</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Offering will be issued pursuant to the Company’s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 of 1933, as amended (the “Securities Act”).</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 and nine months ended October 31, 2021, the Company sold 1,070,000 and 1,130,216 shares of Common Stock, respectively, for gross proceeds of approximately $4.9 and $5.5, respectively, and paid legal and administrative fees of $0.1 and $0.7,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October 31, 2021, future minimum lease payments under these arrangements approximated $69.6 of which $30.1 is related to long-term real estate leases and $23.5 is related to long-term coiled tubing unit leases.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2020 Annual Report on Form 10-K filed with the SEC on April 28,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revised financial accounting standards. If we were to subsequently elect instead to comply with these public company effective dates, such election would be irrevocable pursuant to Section 107 of the JOBS Act.</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preparation of this Quarterly Report for the quarter ended October 31, 2021,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October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("Underwriters") to recover $4.6 owed on invoices duly issued by the Company for services rendered on behalf of the defendants in response to an offshore well blowout near Bob Hall Pier in Corpus Christi, Texas. Magellan did not dispute the invoices but alleged an inability to pay prior to obtaining funding from Underwriters under Magellan's Owner's Extra Expense Policy. On March 19, 2021, Underwriters filed a declaratory judgment action in the United States District Court for the Southern District of Texas seeking a declaration that certain blowout related expenses fall outside of policy coverage. On March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Magellan filed for bankruptcy pursuant to Chapter 7 of the U.S. bankruptcy code. The bankruptcy proceedings are ongoing. We expect that the trustee will continue to pursue claims against Underwriters as well as preference and other claims to maximize the value of the Chapter 7 estate for the benefit of trade creditors. During the year ended January 31, 2021, the Company reserved the full amount of its invoices totaling $4.6 as a prudent action in light of the Chapter 7 filing.</w:t>
      </w:r>
    </w:p>
    <w:p>
      <w:pPr>
        <w:spacing w:after="0" w:line="22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previously described in Part I, Item IA. “Risk Factors” in our Annual Report on Form 10-K for the fiscal year ended January 31, 2021.</w:t>
      </w: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October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4"/>
        </w:trPr>
        <w:tc>
          <w:tcPr>
            <w:tcW w:w="4080" w:type="dxa"/>
            <w:vAlign w:val="bottom"/>
          </w:tcPr>
          <w:p>
            <w:pPr>
              <w:spacing w:after="0"/>
              <w:rPr>
                <w:sz w:val="11"/>
                <w:szCs w:val="11"/>
                <w:color w:val="auto"/>
              </w:rPr>
            </w:pPr>
          </w:p>
        </w:tc>
        <w:tc>
          <w:tcPr>
            <w:tcW w:w="1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1"/>
                <w:szCs w:val="11"/>
                <w:color w:val="auto"/>
              </w:rPr>
            </w:pP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Average price paid per</w:t>
            </w:r>
          </w:p>
        </w:tc>
        <w:tc>
          <w:tcPr>
            <w:tcW w:w="17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right"/>
              <w:ind w:right="49"/>
              <w:spacing w:after="0" w:line="134"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34"/>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7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11"/>
                <w:szCs w:val="11"/>
                <w:color w:val="auto"/>
              </w:rPr>
            </w:pPr>
          </w:p>
        </w:tc>
        <w:tc>
          <w:tcPr>
            <w:tcW w:w="17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4"/>
        </w:trPr>
        <w:tc>
          <w:tcPr>
            <w:tcW w:w="408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99"/>
              </w:rPr>
              <w:t>share</w:t>
            </w:r>
            <w:r>
              <w:rPr>
                <w:rFonts w:ascii="Arial" w:cs="Arial" w:eastAsia="Arial" w:hAnsi="Arial"/>
                <w:sz w:val="9"/>
                <w:szCs w:val="9"/>
                <w:b w:val="1"/>
                <w:bCs w:val="1"/>
                <w:color w:val="auto"/>
                <w:w w:val="99"/>
              </w:rPr>
              <w:t>(2)</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r>
              <w:rPr>
                <w:rFonts w:ascii="Arial" w:cs="Arial" w:eastAsia="Arial" w:hAnsi="Arial"/>
                <w:sz w:val="9"/>
                <w:szCs w:val="9"/>
                <w:b w:val="1"/>
                <w:bCs w:val="1"/>
                <w:color w:val="auto"/>
              </w:rPr>
              <w:t>(3)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 2021 - August 31, 2021</w:t>
            </w:r>
          </w:p>
        </w:tc>
        <w:tc>
          <w:tcPr>
            <w:tcW w:w="174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48,859,603</w:t>
            </w:r>
          </w:p>
        </w:tc>
        <w:tc>
          <w:tcPr>
            <w:tcW w:w="0" w:type="dxa"/>
            <w:vAlign w:val="bottom"/>
          </w:tcPr>
          <w:p>
            <w:pPr>
              <w:spacing w:after="0"/>
              <w:rPr>
                <w:sz w:val="1"/>
                <w:szCs w:val="1"/>
                <w:color w:val="auto"/>
              </w:rPr>
            </w:pPr>
          </w:p>
        </w:tc>
      </w:tr>
      <w:tr>
        <w:trPr>
          <w:trHeight w:val="187"/>
        </w:trPr>
        <w:tc>
          <w:tcPr>
            <w:tcW w:w="4080" w:type="dxa"/>
            <w:vAlign w:val="bottom"/>
          </w:tcPr>
          <w:p>
            <w:pPr>
              <w:ind w:left="20"/>
              <w:spacing w:after="0"/>
              <w:rPr>
                <w:sz w:val="20"/>
                <w:szCs w:val="20"/>
                <w:color w:val="auto"/>
              </w:rPr>
            </w:pPr>
            <w:r>
              <w:rPr>
                <w:rFonts w:ascii="Arial" w:cs="Arial" w:eastAsia="Arial" w:hAnsi="Arial"/>
                <w:sz w:val="14"/>
                <w:szCs w:val="14"/>
                <w:color w:val="auto"/>
              </w:rPr>
              <w:t>September 1, 2021 - September 30, 2021</w:t>
            </w:r>
          </w:p>
        </w:tc>
        <w:tc>
          <w:tcPr>
            <w:tcW w:w="1740" w:type="dxa"/>
            <w:vAlign w:val="bottom"/>
          </w:tcPr>
          <w:p>
            <w:pPr>
              <w:ind w:left="152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740" w:type="dxa"/>
            <w:vAlign w:val="bottom"/>
          </w:tcPr>
          <w:p>
            <w:pPr>
              <w:ind w:left="154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9"/>
              <w:spacing w:after="0"/>
              <w:rPr>
                <w:sz w:val="20"/>
                <w:szCs w:val="20"/>
                <w:color w:val="auto"/>
              </w:rPr>
            </w:pPr>
            <w:r>
              <w:rPr>
                <w:rFonts w:ascii="Arial" w:cs="Arial" w:eastAsia="Arial" w:hAnsi="Arial"/>
                <w:sz w:val="14"/>
                <w:szCs w:val="14"/>
                <w:color w:val="auto"/>
              </w:rPr>
              <w:t>48,859,603</w:t>
            </w:r>
          </w:p>
        </w:tc>
        <w:tc>
          <w:tcPr>
            <w:tcW w:w="0" w:type="dxa"/>
            <w:vAlign w:val="bottom"/>
          </w:tcPr>
          <w:p>
            <w:pPr>
              <w:spacing w:after="0"/>
              <w:rPr>
                <w:sz w:val="1"/>
                <w:szCs w:val="1"/>
                <w:color w:val="auto"/>
              </w:rPr>
            </w:pPr>
          </w:p>
        </w:tc>
      </w:tr>
      <w:tr>
        <w:trPr>
          <w:trHeight w:val="187"/>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2021 - October 31, 2021</w:t>
            </w:r>
          </w:p>
        </w:tc>
        <w:tc>
          <w:tcPr>
            <w:tcW w:w="174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48,859,603</w:t>
            </w:r>
          </w:p>
        </w:tc>
        <w:tc>
          <w:tcPr>
            <w:tcW w:w="0" w:type="dxa"/>
            <w:vAlign w:val="bottom"/>
          </w:tcPr>
          <w:p>
            <w:pPr>
              <w:spacing w:after="0"/>
              <w:rPr>
                <w:sz w:val="1"/>
                <w:szCs w:val="1"/>
                <w:color w:val="auto"/>
              </w:rPr>
            </w:pPr>
          </w:p>
        </w:tc>
      </w:tr>
      <w:tr>
        <w:trPr>
          <w:trHeight w:val="181"/>
        </w:trPr>
        <w:tc>
          <w:tcPr>
            <w:tcW w:w="4080" w:type="dxa"/>
            <w:vAlign w:val="bottom"/>
          </w:tcPr>
          <w:p>
            <w:pPr>
              <w:ind w:left="240"/>
              <w:spacing w:after="0"/>
              <w:rPr>
                <w:sz w:val="20"/>
                <w:szCs w:val="20"/>
                <w:color w:val="auto"/>
              </w:rPr>
            </w:pPr>
            <w:r>
              <w:rPr>
                <w:rFonts w:ascii="Arial" w:cs="Arial" w:eastAsia="Arial" w:hAnsi="Arial"/>
                <w:sz w:val="14"/>
                <w:szCs w:val="14"/>
                <w:color w:val="auto"/>
              </w:rPr>
              <w:t>Total</w:t>
            </w:r>
          </w:p>
        </w:tc>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0" w:hanging="233"/>
        <w:spacing w:after="0" w:line="20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shares purchased from employees in connection with the settlement of income tax and related benefit withholding obligations arising from vesting of restricted stock grants under the Company’s Long-Term Incentive Plan.</w:t>
      </w:r>
    </w:p>
    <w:p>
      <w:pPr>
        <w:ind w:left="160" w:hanging="153"/>
        <w:spacing w:after="0" w:line="186"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average price paid per share of common stock repurchased under the share repurchase program includes commissions paid to the brokers.</w:t>
      </w:r>
    </w:p>
    <w:p>
      <w:pPr>
        <w:ind w:left="240" w:hanging="233"/>
        <w:spacing w:after="0" w:line="216"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 August 2019, our Board authorized a share repurchase program for the repurchase of outstanding shares of the Company’s common stock having an aggregate purchase price up to $50.</w:t>
      </w:r>
    </w:p>
    <w:p>
      <w:pPr>
        <w:spacing w:after="0" w:line="21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12"/>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420" w:type="dxa"/>
            <w:vAlign w:val="bottom"/>
            <w:tcBorders>
              <w:bottom w:val="single" w:sz="8" w:color="0000FF"/>
            </w:tcBorders>
            <w:gridSpan w:val="5"/>
          </w:tcPr>
          <w:p>
            <w:pPr>
              <w:spacing w:after="0"/>
              <w:rPr>
                <w:rFonts w:ascii="Arial" w:cs="Arial" w:eastAsia="Arial" w:hAnsi="Arial"/>
                <w:sz w:val="18"/>
                <w:szCs w:val="18"/>
                <w:color w:val="0000FF"/>
                <w:w w:val="98"/>
              </w:rPr>
            </w:pPr>
            <w:hyperlink r:id="rId59">
              <w:r>
                <w:rPr>
                  <w:rFonts w:ascii="Arial" w:cs="Arial" w:eastAsia="Arial" w:hAnsi="Arial"/>
                  <w:sz w:val="18"/>
                  <w:szCs w:val="18"/>
                  <w:color w:val="0000FF"/>
                  <w:w w:val="98"/>
                </w:rPr>
                <w:t>Amended and Restated Certificate of Incorporation of KLX Energy Services Holdings, Inc. (incorporated by reference to</w:t>
              </w:r>
            </w:hyperlink>
          </w:p>
        </w:tc>
        <w:tc>
          <w:tcPr>
            <w:tcW w:w="460" w:type="dxa"/>
            <w:vAlign w:val="bottom"/>
            <w:gridSpan w:val="6"/>
          </w:tcPr>
          <w:p>
            <w:pPr>
              <w:spacing w:after="0"/>
              <w:rPr>
                <w:sz w:val="24"/>
                <w:szCs w:val="24"/>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gridSpan w:val="11"/>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Exhibit 3.1 of KLX Energy Services Holdings, Inc.’s Quarterly Report on Form 10-Q, filed on September 8, 2020, File No.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001-38609).</w:t>
              </w:r>
            </w:hyperlink>
          </w:p>
        </w:tc>
        <w:tc>
          <w:tcPr>
            <w:tcW w:w="1320" w:type="dxa"/>
            <w:vAlign w:val="bottom"/>
            <w:tcBorders>
              <w:top w:val="single" w:sz="8" w:color="0000FF"/>
            </w:tcBorders>
          </w:tcPr>
          <w:p>
            <w:pPr>
              <w:spacing w:after="0"/>
              <w:rPr>
                <w:sz w:val="13"/>
                <w:szCs w:val="13"/>
                <w:color w:val="auto"/>
              </w:rPr>
            </w:pPr>
          </w:p>
        </w:tc>
        <w:tc>
          <w:tcPr>
            <w:tcW w:w="390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880" w:type="dxa"/>
            <w:vAlign w:val="bottom"/>
            <w:gridSpan w:val="11"/>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r:id="rId60">
              <w:r>
                <w:rPr>
                  <w:rFonts w:ascii="Arial" w:cs="Arial" w:eastAsia="Arial" w:hAnsi="Arial"/>
                  <w:sz w:val="17"/>
                  <w:szCs w:val="17"/>
                  <w:color w:val="0000FF"/>
                </w:rPr>
                <w:t>KLX Energy Services Holdings, Inc.'s Current Report on Form 8-K, filed on September 9, 2021 File No. 001-38609).</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9880" w:type="dxa"/>
            <w:vAlign w:val="bottom"/>
            <w:gridSpan w:val="1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rPr>
            </w:pPr>
            <w:hyperlink w:anchor="page40">
              <w:r>
                <w:rPr>
                  <w:rFonts w:ascii="Arial" w:cs="Arial" w:eastAsia="Arial" w:hAnsi="Arial"/>
                  <w:sz w:val="17"/>
                  <w:szCs w:val="17"/>
                  <w:color w:val="0000FF"/>
                </w:rPr>
                <w:t>1934, as Adopted Pursuant to Section 302 of the Sarbanes-Oxley Act of 2002.</w:t>
              </w:r>
            </w:hyperlink>
          </w:p>
        </w:tc>
        <w:tc>
          <w:tcPr>
            <w:tcW w:w="36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880" w:type="dxa"/>
            <w:vAlign w:val="bottom"/>
            <w:gridSpan w:val="1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rPr>
            </w:pPr>
            <w:hyperlink w:anchor="page41">
              <w:r>
                <w:rPr>
                  <w:rFonts w:ascii="Arial" w:cs="Arial" w:eastAsia="Arial" w:hAnsi="Arial"/>
                  <w:sz w:val="17"/>
                  <w:szCs w:val="17"/>
                  <w:color w:val="0000FF"/>
                </w:rPr>
                <w:t>1934, as Adopted Pursuant to Section 302 of the Sarbanes-Oxley Act of 2002.</w:t>
              </w:r>
            </w:hyperlink>
          </w:p>
        </w:tc>
        <w:tc>
          <w:tcPr>
            <w:tcW w:w="36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880" w:type="dxa"/>
            <w:vAlign w:val="bottom"/>
            <w:gridSpan w:val="1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w:anchor="page42">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88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w:anchor="page43">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r>
      <w:tr>
        <w:trPr>
          <w:trHeight w:val="246"/>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820" w:firstLine="25"/>
        <w:spacing w:after="0" w:line="294" w:lineRule="auto"/>
        <w:tabs>
          <w:tab w:leader="none" w:pos="13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340" w:hanging="333"/>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December 10, 2021</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ind w:left="7400"/>
        <w:spacing w:after="0" w:line="225" w:lineRule="auto"/>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December 10, 2021</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ind w:left="7400"/>
        <w:spacing w:after="0" w:line="225" w:lineRule="auto"/>
        <w:rPr>
          <w:sz w:val="20"/>
          <w:szCs w:val="20"/>
          <w:color w:val="auto"/>
        </w:rPr>
      </w:pPr>
      <w:r>
        <w:rPr>
          <w:rFonts w:ascii="Arial" w:cs="Arial" w:eastAsia="Arial" w:hAnsi="Arial"/>
          <w:sz w:val="18"/>
          <w:szCs w:val="18"/>
          <w:i w:val="1"/>
          <w:iCs w:val="1"/>
          <w:color w:val="auto"/>
        </w:rPr>
        <w:t>Senior  Vice  President  and  Chief  Accounting</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December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0" w:right="3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1" w:lineRule="exact"/>
        <w:rPr>
          <w:sz w:val="20"/>
          <w:szCs w:val="20"/>
          <w:color w:val="auto"/>
        </w:rPr>
      </w:pPr>
    </w:p>
    <w:p>
      <w:pPr>
        <w:ind w:left="680" w:right="60" w:hanging="655"/>
        <w:spacing w:after="0" w:line="23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31, 2021 of KLX Energy Services Holdings, Inc. (the “registrant”);</w:t>
      </w:r>
    </w:p>
    <w:p>
      <w:pPr>
        <w:spacing w:after="0" w:line="108" w:lineRule="exact"/>
        <w:rPr>
          <w:rFonts w:ascii="Arial" w:cs="Arial" w:eastAsia="Arial" w:hAnsi="Arial"/>
          <w:sz w:val="18"/>
          <w:szCs w:val="18"/>
          <w:color w:val="auto"/>
        </w:rPr>
      </w:pPr>
    </w:p>
    <w:p>
      <w:pPr>
        <w:jc w:val="both"/>
        <w:ind w:left="680" w:right="60" w:hanging="655"/>
        <w:spacing w:after="0" w:line="22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13335</wp:posOffset>
            </wp:positionV>
            <wp:extent cx="3074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1" w:lineRule="exact"/>
        <w:rPr>
          <w:sz w:val="20"/>
          <w:szCs w:val="20"/>
          <w:color w:val="auto"/>
        </w:rPr>
      </w:pPr>
    </w:p>
    <w:p>
      <w:pPr>
        <w:ind w:left="680" w:right="60" w:hanging="655"/>
        <w:spacing w:after="0" w:line="23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31, 2021 of KLX Energy Services Holdings, Inc. (the “registrant”);</w:t>
      </w:r>
    </w:p>
    <w:p>
      <w:pPr>
        <w:spacing w:after="0" w:line="108" w:lineRule="exact"/>
        <w:rPr>
          <w:rFonts w:ascii="Arial" w:cs="Arial" w:eastAsia="Arial" w:hAnsi="Arial"/>
          <w:sz w:val="18"/>
          <w:szCs w:val="18"/>
          <w:color w:val="auto"/>
        </w:rPr>
      </w:pPr>
    </w:p>
    <w:p>
      <w:pPr>
        <w:jc w:val="both"/>
        <w:ind w:left="680" w:right="60" w:hanging="655"/>
        <w:spacing w:after="0" w:line="22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13335</wp:posOffset>
            </wp:positionV>
            <wp:extent cx="3023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in connection with the Quarterly Report of KLX Energy Services Holdings, Inc. (the “Company”) on Form 10-Q for the period ended October 31, 2021, as filed with the Securities and Exchange Commission on the date hereof (the “Periodic Report”), I, Christopher J. Baker, as Chief Executive Officer, President and Director of the Company, hereby certify that:</w:t>
      </w:r>
    </w:p>
    <w:p>
      <w:pPr>
        <w:spacing w:after="0" w:line="97" w:lineRule="exact"/>
        <w:rPr>
          <w:sz w:val="20"/>
          <w:szCs w:val="20"/>
          <w:color w:val="auto"/>
        </w:rPr>
      </w:pPr>
    </w:p>
    <w:p>
      <w:pPr>
        <w:ind w:left="560" w:hanging="312"/>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Date: December 10, 2021</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83"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in connection with the Quarterly Report of KLX Energy Services Holdings, Inc. (the “Company”) on Form 10-Q for the period ended October 31, 2021, as filed with the Securities and Exchange Commission on the date hereof (the “Periodic Report”), I, Keefer M. Lehner, as Executive Vice President and Chief Financial Officer of the Company, hereby certify that:</w:t>
      </w:r>
    </w:p>
    <w:p>
      <w:pPr>
        <w:spacing w:after="0" w:line="97" w:lineRule="exact"/>
        <w:rPr>
          <w:sz w:val="20"/>
          <w:szCs w:val="20"/>
          <w:color w:val="auto"/>
        </w:rPr>
      </w:pPr>
    </w:p>
    <w:p>
      <w:pPr>
        <w:ind w:left="560" w:hanging="312"/>
        <w:spacing w:after="0"/>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Date: December 10, 2021</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35" Type="http://schemas.openxmlformats.org/officeDocument/2006/relationships/hyperlink" Target="http://www.sec.gov/ix?doc=/Archives/edgar/data/1688476/000168847620000017/a201910-kxdoc.htm" TargetMode="External"/><Relationship Id="rId59" Type="http://schemas.openxmlformats.org/officeDocument/2006/relationships/hyperlink" Target="http://www.sec.gov/Archives/edgar/data/1738827/000173882720000004/klxenergy-archarter2020.htm" TargetMode="External"/><Relationship Id="rId60" Type="http://schemas.openxmlformats.org/officeDocument/2006/relationships/hyperlink" Target="https://www.sec.gov/Archives/edgar/data/0001738827/000173882721000031/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2021-12-10T15:25:42Z</dcterms:created>
  <dcterms:modified xsi:type="dcterms:W3CDTF">2021-12-10T15:25:42Z</dcterms:modified>
</cp:coreProperties>
</file>