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KLX Energy Services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Warren G. Lichtenstein</w:t>
              <w:br/>
              <w:t>Steel Partners Holdings L.P., 590 Madison Avenue, 32nd Floor</w:t>
              <w:br/>
              <w:t>New York, NY, 10022</w:t>
              <w:br/>
              <w:t>212-520-2300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08/27/2026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STEEL PARTNERS HOLDINGS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1,907,172.00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1,907,172.00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1,907,172.00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Steel Partners Holdings GP Inc.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1,907,172.00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1,907,172.00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1,907,172.00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SPH Group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1,907,172.00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1,907,172.00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1,907,172.00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SPH Group Holdings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1,907,172.00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1,907,172.00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1,907,172.00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Steel Excel Inc.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1,907,172.00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1,907,172.00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1,907,172.00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Steel Connect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1,907,172.00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1,907,172.00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1,907,172.00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SP Strategic Holdings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1,907,172.00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1,907,172.00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1,907,172.00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item1to7"/>
      <w:bookmarkStart w:id="35" w:name="item1to7"/>
      <w:bookmarkEnd w:id="35"/>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Item 1.</w:t>
            </w:r>
          </w:p>
        </w:tc>
        <w:tc>
          <w:tcPr>
            <w:tcW w:w="9041" w:type="dxa"/>
            <w:tcBorders/>
            <w:vAlign w:val="center"/>
          </w:tcPr>
          <w:p>
            <w:pPr>
              <w:pStyle w:val="TableContents"/>
              <w:bidi w:val="0"/>
              <w:spacing w:before="0" w:after="283"/>
              <w:jc w:val="left"/>
              <w:rPr/>
            </w:pPr>
            <w:r>
              <w:rPr/>
              <w:t>Security and Issuer</w:t>
            </w:r>
          </w:p>
        </w:tc>
      </w:tr>
      <w:tr>
        <w:trPr/>
        <w:tc>
          <w:tcPr>
            <w:tcW w:w="1164" w:type="dxa"/>
            <w:tcBorders/>
            <w:vAlign w:val="center"/>
          </w:tcPr>
          <w:p>
            <w:pPr>
              <w:pStyle w:val="TableContents"/>
              <w:bidi w:val="0"/>
              <w:spacing w:before="0" w:after="283"/>
              <w:jc w:val="left"/>
              <w:rPr/>
            </w:pPr>
            <w:r>
              <w:rPr/>
              <w:t>(a)</w:t>
            </w:r>
          </w:p>
        </w:tc>
        <w:tc>
          <w:tcPr>
            <w:tcW w:w="904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r>
      <w:tr>
        <w:trPr/>
        <w:tc>
          <w:tcPr>
            <w:tcW w:w="1164" w:type="dxa"/>
            <w:tcBorders/>
            <w:vAlign w:val="center"/>
          </w:tcPr>
          <w:p>
            <w:pPr>
              <w:pStyle w:val="TableContents"/>
              <w:bidi w:val="0"/>
              <w:spacing w:before="0" w:after="283"/>
              <w:jc w:val="left"/>
              <w:rPr/>
            </w:pPr>
            <w:r>
              <w:rPr/>
              <w:t>(b)</w:t>
            </w:r>
          </w:p>
        </w:tc>
        <w:tc>
          <w:tcPr>
            <w:tcW w:w="9041" w:type="dxa"/>
            <w:tcBorders/>
            <w:vAlign w:val="center"/>
          </w:tcPr>
          <w:p>
            <w:pPr>
              <w:pStyle w:val="TableContents"/>
              <w:bidi w:val="0"/>
              <w:jc w:val="left"/>
              <w:rPr/>
            </w:pPr>
            <w:r>
              <w:rPr/>
              <w:t xml:space="preserve">Name of Issuer: </w:t>
            </w:r>
          </w:p>
          <w:p>
            <w:pPr>
              <w:pStyle w:val="TableContents"/>
              <w:bidi w:val="0"/>
              <w:spacing w:before="0" w:after="0"/>
              <w:jc w:val="left"/>
              <w:rPr/>
            </w:pPr>
            <w:r>
              <w:rPr/>
              <w:t>KLX Energy Services Holdings, Inc.</w:t>
            </w:r>
          </w:p>
        </w:tc>
      </w:tr>
      <w:tr>
        <w:trPr/>
        <w:tc>
          <w:tcPr>
            <w:tcW w:w="1164" w:type="dxa"/>
            <w:tcBorders/>
            <w:vAlign w:val="center"/>
          </w:tcPr>
          <w:p>
            <w:pPr>
              <w:pStyle w:val="TableContents"/>
              <w:bidi w:val="0"/>
              <w:spacing w:before="0" w:after="283"/>
              <w:jc w:val="left"/>
              <w:rPr/>
            </w:pPr>
            <w:r>
              <w:rPr/>
              <w:t>(c)</w:t>
            </w:r>
          </w:p>
        </w:tc>
        <w:tc>
          <w:tcPr>
            <w:tcW w:w="904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3040 POST OAK BOULEVARD, 15TH FLOOR, HOUSTON, TEXAS , 77056.</w:t>
            </w:r>
          </w:p>
        </w:tc>
      </w:tr>
      <w:tr>
        <w:trPr/>
        <w:tc>
          <w:tcPr>
            <w:tcW w:w="1164" w:type="dxa"/>
            <w:tcBorders/>
            <w:vAlign w:val="center"/>
          </w:tcPr>
          <w:p>
            <w:pPr>
              <w:pStyle w:val="TableContents"/>
              <w:bidi w:val="0"/>
              <w:spacing w:before="0" w:after="283"/>
              <w:jc w:val="left"/>
              <w:rPr/>
            </w:pPr>
            <w:r>
              <w:rPr/>
              <w:t>Item 2.</w:t>
            </w:r>
          </w:p>
        </w:tc>
        <w:tc>
          <w:tcPr>
            <w:tcW w:w="9041" w:type="dxa"/>
            <w:tcBorders/>
            <w:vAlign w:val="center"/>
          </w:tcPr>
          <w:p>
            <w:pPr>
              <w:pStyle w:val="TableContents"/>
              <w:bidi w:val="0"/>
              <w:spacing w:before="0" w:after="283"/>
              <w:jc w:val="left"/>
              <w:rPr/>
            </w:pPr>
            <w:r>
              <w:rPr/>
              <w:t>Identity and Background</w:t>
            </w:r>
          </w:p>
        </w:tc>
      </w:tr>
      <w:tr>
        <w:trPr/>
        <w:tc>
          <w:tcPr>
            <w:tcW w:w="1164" w:type="dxa"/>
            <w:tcBorders/>
            <w:vAlign w:val="center"/>
          </w:tcPr>
          <w:p>
            <w:pPr>
              <w:pStyle w:val="TableContents"/>
              <w:bidi w:val="0"/>
              <w:spacing w:before="0" w:after="283"/>
              <w:jc w:val="left"/>
              <w:rPr/>
            </w:pPr>
            <w:r>
              <w:rPr/>
              <w:t>(a)</w:t>
            </w:r>
          </w:p>
        </w:tc>
        <w:tc>
          <w:tcPr>
            <w:tcW w:w="9041" w:type="dxa"/>
            <w:tcBorders/>
            <w:vAlign w:val="center"/>
          </w:tcPr>
          <w:p>
            <w:pPr>
              <w:pStyle w:val="TableContents"/>
              <w:bidi w:val="0"/>
              <w:spacing w:before="0" w:after="0"/>
              <w:jc w:val="left"/>
              <w:rPr/>
            </w:pPr>
            <w:r>
              <w:rPr/>
              <w:t>This statement is filed by Steel Partners Holdings L.P., a Delaware limited partnership ("Steel Holdings"), Steel Partners Holdings GP Inc., a Delaware corporation ("Steel Holdings GP"), SPH Group LLC, a Delaware limited liability company ("SPHG"), SPH Group Holdings LLC, a Delaware limited liability company ("SPHG Holdings"), Steel Excel Inc., a Delaware corporation ("Steel Excel"), Steel Connect LLC, a Delaware limited liability company ("Steel Connect") and SP Strategic Holdings LLC, a Delaware limited liability company ("SP Strategic Holdings"). Each of the foregoing is referred to as a "Reporting Person" and collectively as the "Reporting Persons." Steel Holdings owns a majority of the membership interests of SPHG. SPHG is the sole member of SPHG Holdings. Steel Holdings GP is the general partner of Steel Holdings, the managing member of SPHG and the manager of SPHG Holdings. Steel Excel is a majority owned subsidiary of SPHG Holdings. Steel Connect is an indirect subsidiary of Steel Excel. SP Strategic Holdings is a wholly owned subsidiary of Steel Connect. Accordingly, for purposes of this statement, each of Steel Holdings, SPHG, SPHG Holdings, Steel Holdings GP, Steel Excel and Steel Connect may be deemed to beneficially own the shares of Common Stock, $0.01 par value per share (the "Shares"), owned directly by SP Strategic Holdings. Each Reporting Person disclaims beneficial ownership of the Shares owned directly by another Reporting Person. Set forth in Exhibit 1 attached hereto ("Exhibit 1") is the name and present principal business, occupation or employment and the name, principal business and address of any corporation or other organization in which such employment is conducted of (i) the executive officers and directors of Steel Holdings GP, (ii) the executive officers and directors of Steel Excel, (iii) the executive officers and managers of Steel Connect, and (iv) the executive officers of SP Strategic Holdings. To the best of the Reporting Persons' knowledge, except as otherwise set forth herein, none of the persons listed in Exhibit 1 beneficially owns any securities of the Issuer or is a party to any contract, agreement or understanding required to be disclosed herein.</w:t>
            </w:r>
          </w:p>
        </w:tc>
      </w:tr>
      <w:tr>
        <w:trPr/>
        <w:tc>
          <w:tcPr>
            <w:tcW w:w="1164" w:type="dxa"/>
            <w:tcBorders/>
            <w:vAlign w:val="center"/>
          </w:tcPr>
          <w:p>
            <w:pPr>
              <w:pStyle w:val="TableContents"/>
              <w:bidi w:val="0"/>
              <w:spacing w:before="0" w:after="283"/>
              <w:jc w:val="left"/>
              <w:rPr/>
            </w:pPr>
            <w:r>
              <w:rPr/>
              <w:t>(b)</w:t>
            </w:r>
          </w:p>
        </w:tc>
        <w:tc>
          <w:tcPr>
            <w:tcW w:w="9041" w:type="dxa"/>
            <w:tcBorders/>
            <w:vAlign w:val="center"/>
          </w:tcPr>
          <w:p>
            <w:pPr>
              <w:pStyle w:val="TableContents"/>
              <w:bidi w:val="0"/>
              <w:spacing w:before="0" w:after="0"/>
              <w:jc w:val="left"/>
              <w:rPr/>
            </w:pPr>
            <w:r>
              <w:rPr/>
              <w:t>The principal business address of the Reporting Persons is 590 Madison Avenue, 32nd Floor, New York, NY 10022.</w:t>
            </w:r>
          </w:p>
        </w:tc>
      </w:tr>
      <w:tr>
        <w:trPr/>
        <w:tc>
          <w:tcPr>
            <w:tcW w:w="1164" w:type="dxa"/>
            <w:tcBorders/>
            <w:vAlign w:val="center"/>
          </w:tcPr>
          <w:p>
            <w:pPr>
              <w:pStyle w:val="TableContents"/>
              <w:bidi w:val="0"/>
              <w:spacing w:before="0" w:after="283"/>
              <w:jc w:val="left"/>
              <w:rPr/>
            </w:pPr>
            <w:r>
              <w:rPr/>
              <w:t>(c)</w:t>
            </w:r>
          </w:p>
        </w:tc>
        <w:tc>
          <w:tcPr>
            <w:tcW w:w="9041" w:type="dxa"/>
            <w:tcBorders/>
            <w:vAlign w:val="center"/>
          </w:tcPr>
          <w:p>
            <w:pPr>
              <w:pStyle w:val="TableContents"/>
              <w:bidi w:val="0"/>
              <w:spacing w:before="0" w:after="0"/>
              <w:jc w:val="left"/>
              <w:rPr/>
            </w:pPr>
            <w:r>
              <w:rPr/>
              <w:t>Steel Holdings is a global diversified holding company that engages or has interests in a variety of operating businesses through its subsidiary companies. The principal business of SPHG Holdings is holding securities for the account of Steel Holdings. The principal business of SPHG is serving as the sole member of SPHG Holdings and other affiliates. The principal business of Steel Holdings GP is serving as the general partner of Steel Holdings, the managing member of SPHG and the manager of SPHG Holdings. The principal business of Steel Excel is serving as a global diversified company that engages or has interests in a variety of operating businesses. The principal business of Steel Connect is serving as a holding company whose wholly owned subsidiary, ModusLink Corporation, serves the supply chain management market. The principal business of SP Strategic Holdings is holding securities for the account of Steel Connect.</w:t>
            </w:r>
          </w:p>
        </w:tc>
      </w:tr>
      <w:tr>
        <w:trPr/>
        <w:tc>
          <w:tcPr>
            <w:tcW w:w="1164" w:type="dxa"/>
            <w:tcBorders/>
            <w:vAlign w:val="center"/>
          </w:tcPr>
          <w:p>
            <w:pPr>
              <w:pStyle w:val="TableContents"/>
              <w:bidi w:val="0"/>
              <w:spacing w:before="0" w:after="283"/>
              <w:jc w:val="left"/>
              <w:rPr/>
            </w:pPr>
            <w:r>
              <w:rPr/>
              <w:t>(d)</w:t>
            </w:r>
          </w:p>
        </w:tc>
        <w:tc>
          <w:tcPr>
            <w:tcW w:w="9041" w:type="dxa"/>
            <w:tcBorders/>
            <w:vAlign w:val="center"/>
          </w:tcPr>
          <w:p>
            <w:pPr>
              <w:pStyle w:val="TableContents"/>
              <w:bidi w:val="0"/>
              <w:spacing w:before="0" w:after="0"/>
              <w:jc w:val="left"/>
              <w:rPr/>
            </w:pPr>
            <w:r>
              <w:rPr/>
              <w:t>No Reporting Person, nor any person listed in Exhibit 1, has, during the last five years, been convicted in a criminal proceeding (excluding traffic violations or similar misdemeanors).</w:t>
            </w:r>
          </w:p>
        </w:tc>
      </w:tr>
      <w:tr>
        <w:trPr/>
        <w:tc>
          <w:tcPr>
            <w:tcW w:w="1164" w:type="dxa"/>
            <w:tcBorders/>
            <w:vAlign w:val="center"/>
          </w:tcPr>
          <w:p>
            <w:pPr>
              <w:pStyle w:val="TableContents"/>
              <w:bidi w:val="0"/>
              <w:spacing w:before="0" w:after="283"/>
              <w:jc w:val="left"/>
              <w:rPr/>
            </w:pPr>
            <w:r>
              <w:rPr/>
              <w:t>(e)</w:t>
            </w:r>
          </w:p>
        </w:tc>
        <w:tc>
          <w:tcPr>
            <w:tcW w:w="9041" w:type="dxa"/>
            <w:tcBorders/>
            <w:vAlign w:val="center"/>
          </w:tcPr>
          <w:p>
            <w:pPr>
              <w:pStyle w:val="TableContents"/>
              <w:bidi w:val="0"/>
              <w:spacing w:before="0" w:after="0"/>
              <w:jc w:val="left"/>
              <w:rPr/>
            </w:pPr>
            <w:r>
              <w:rPr/>
              <w:t>No Reporting Person, nor any person listed in Exhibit 1, has,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64" w:type="dxa"/>
            <w:tcBorders/>
            <w:vAlign w:val="center"/>
          </w:tcPr>
          <w:p>
            <w:pPr>
              <w:pStyle w:val="TableContents"/>
              <w:bidi w:val="0"/>
              <w:spacing w:before="0" w:after="283"/>
              <w:jc w:val="left"/>
              <w:rPr/>
            </w:pPr>
            <w:r>
              <w:rPr/>
              <w:t>(f)</w:t>
            </w:r>
          </w:p>
        </w:tc>
        <w:tc>
          <w:tcPr>
            <w:tcW w:w="9041" w:type="dxa"/>
            <w:tcBorders/>
            <w:vAlign w:val="center"/>
          </w:tcPr>
          <w:p>
            <w:pPr>
              <w:pStyle w:val="TableContents"/>
              <w:bidi w:val="0"/>
              <w:spacing w:before="0" w:after="0"/>
              <w:jc w:val="left"/>
              <w:rPr/>
            </w:pPr>
            <w:r>
              <w:rPr/>
              <w:t>Each of the individuals who are listed in Exhibit 1 is a citizen of the United States of America. Each of the entities that are Reporting Persons are organized under the laws of the State of Delaware.</w:t>
            </w:r>
          </w:p>
        </w:tc>
      </w:tr>
      <w:tr>
        <w:trPr/>
        <w:tc>
          <w:tcPr>
            <w:tcW w:w="1164" w:type="dxa"/>
            <w:tcBorders/>
            <w:vAlign w:val="center"/>
          </w:tcPr>
          <w:p>
            <w:pPr>
              <w:pStyle w:val="TableContents"/>
              <w:bidi w:val="0"/>
              <w:spacing w:before="0" w:after="283"/>
              <w:jc w:val="left"/>
              <w:rPr/>
            </w:pPr>
            <w:r>
              <w:rPr/>
              <w:t>Item 3.</w:t>
            </w:r>
          </w:p>
        </w:tc>
        <w:tc>
          <w:tcPr>
            <w:tcW w:w="9041" w:type="dxa"/>
            <w:tcBorders/>
            <w:vAlign w:val="center"/>
          </w:tcPr>
          <w:p>
            <w:pPr>
              <w:pStyle w:val="TableContents"/>
              <w:bidi w:val="0"/>
              <w:spacing w:before="0" w:after="283"/>
              <w:jc w:val="left"/>
              <w:rPr/>
            </w:pPr>
            <w:r>
              <w:rPr/>
              <w:t>Source and Amount of Funds or Other Consideration</w:t>
            </w:r>
          </w:p>
        </w:tc>
      </w:tr>
      <w:tr>
        <w:trPr/>
        <w:tc>
          <w:tcPr>
            <w:tcW w:w="1164" w:type="dxa"/>
            <w:tcBorders/>
            <w:vAlign w:val="center"/>
          </w:tcPr>
          <w:p>
            <w:pPr>
              <w:pStyle w:val="TableContents"/>
              <w:bidi w:val="0"/>
              <w:spacing w:before="0" w:after="283"/>
              <w:jc w:val="left"/>
              <w:rPr/>
            </w:pPr>
            <w:r>
              <w:rPr/>
              <w:t> </w:t>
            </w:r>
          </w:p>
        </w:tc>
        <w:tc>
          <w:tcPr>
            <w:tcW w:w="9041" w:type="dxa"/>
            <w:tcBorders/>
            <w:vAlign w:val="center"/>
          </w:tcPr>
          <w:p>
            <w:pPr>
              <w:pStyle w:val="TableContents"/>
              <w:bidi w:val="0"/>
              <w:spacing w:before="0" w:after="0"/>
              <w:jc w:val="left"/>
              <w:rPr/>
            </w:pPr>
            <w:r>
              <w:rPr/>
              <w:t>The aggregate purchase price of the 1,907,172 Shares owned directly by SP Strategic Holdings is approximately $2,920,401, including brokerage commissions. Such Shares were acquired with SP Strategic Holdings' cash on hand.</w:t>
            </w:r>
          </w:p>
        </w:tc>
      </w:tr>
      <w:tr>
        <w:trPr/>
        <w:tc>
          <w:tcPr>
            <w:tcW w:w="1164" w:type="dxa"/>
            <w:tcBorders/>
            <w:vAlign w:val="center"/>
          </w:tcPr>
          <w:p>
            <w:pPr>
              <w:pStyle w:val="TableContents"/>
              <w:bidi w:val="0"/>
              <w:spacing w:before="0" w:after="283"/>
              <w:jc w:val="left"/>
              <w:rPr/>
            </w:pPr>
            <w:r>
              <w:rPr/>
              <w:t>Item 4.</w:t>
            </w:r>
          </w:p>
        </w:tc>
        <w:tc>
          <w:tcPr>
            <w:tcW w:w="9041" w:type="dxa"/>
            <w:tcBorders/>
            <w:vAlign w:val="center"/>
          </w:tcPr>
          <w:p>
            <w:pPr>
              <w:pStyle w:val="TableContents"/>
              <w:bidi w:val="0"/>
              <w:spacing w:before="0" w:after="283"/>
              <w:jc w:val="left"/>
              <w:rPr/>
            </w:pPr>
            <w:r>
              <w:rPr/>
              <w:t>Purpose of Transaction</w:t>
            </w:r>
          </w:p>
        </w:tc>
      </w:tr>
      <w:tr>
        <w:trPr/>
        <w:tc>
          <w:tcPr>
            <w:tcW w:w="1164" w:type="dxa"/>
            <w:tcBorders/>
            <w:vAlign w:val="center"/>
          </w:tcPr>
          <w:p>
            <w:pPr>
              <w:pStyle w:val="TableContents"/>
              <w:bidi w:val="0"/>
              <w:spacing w:before="0" w:after="283"/>
              <w:jc w:val="left"/>
              <w:rPr/>
            </w:pPr>
            <w:r>
              <w:rPr/>
              <w:t> </w:t>
            </w:r>
          </w:p>
        </w:tc>
        <w:tc>
          <w:tcPr>
            <w:tcW w:w="9041" w:type="dxa"/>
            <w:tcBorders/>
            <w:vAlign w:val="center"/>
          </w:tcPr>
          <w:p>
            <w:pPr>
              <w:pStyle w:val="TableContents"/>
              <w:bidi w:val="0"/>
              <w:spacing w:before="0" w:after="0"/>
              <w:jc w:val="left"/>
              <w:rPr/>
            </w:pPr>
            <w:r>
              <w:rPr/>
              <w:t>On August 24, 2026, the Issuer distributed to all holders of record of Shares as of 5:00 p.m., New York City time, on August 21, 2026 (the "Record Date") one transferable subscription right (each, a "Right") for each Share held as of the Record Date (the "Rights Offering"). Each Right entitles the holder thereof, subject to certain limitations, to purchase 3.885 Shares, rounded down to the nearest whole Share, at a subscription price of $1.49 per share (the "Subscription Price"); provided, that any holder that exercises its basic subscription rights in full will have an over-subscription privilege to purchase additional Shares that remain unsubscribed as of September 23, 2026 (the "Expiration Date"), subject to certain limitations. The Issuer reserves the right, in its sole and absolute discretion, to amend, extend or cancel the Rights Offering at any time for any reason prior to the Expiration Date. If the Rights Offering is canceled, all subscription payments received by the subscription agent will be returned, without interest or penalty, as soon as practicable to those holders who subscribed for Shares in the Rights Offering. In connection with the Rights Offering, on August 24, 2026, SP Strategic Holdings received 766,118 rights. SP Strategic Holdings purchased 1,086,121 Rights following the Record Date. Accordingly, as of the date hereof, SP Strategic Holdings holds 1,852,239 Rights and is entitled to purchase an aggregate of 7,195,948 Shares at the Subscription Price upon the exercise the Rights, subject to the completion of the Rights Offering. The Reporting Persons purchased the Shares and the Rights based on the Reporting Persons' belief that the Shares and the Rights, when purchased, were undervalued and represented an attractive investment opportunity. Depending upon overall market conditions, other investment opportunities available to the Reporting Persons, and the availability of Shares at prices that would make the purchase or sale of Shares desirable, the Reporting Persons may endeavor to increase or decrease their position in the Issuer through, among other things, the purchase or sale of Shares on the open market or in private transactions or otherwise, on such terms and at such times as the Reporting Persons may deem advisable. No Reporting Person has any present plan or proposal which would relate to or result in any of the matters set forth in subparagraphs (a) - (j) of Item 4 of Schedule 13D except as set forth herein or such as would occur upon or in connection with completion of, or following, any of the actions discussed herein. The Reporting Persons intend to review their investment in the Issuer on a continuing basis. Depending on various factors, including, without limitation, the Issuer's financial position and strategic direction, the price levels of the Shares, conditions in the securities markets and general economic and industry conditions, other investment opportunities available to the Reporting Persons, and the outcome of any discussions referenced herein, the Reporting Persons may in the future take such actions with respect to their investment in the Issuer as they deem appropriate, including, without limitation, engaging in communications and negotiations with management and the Issuer's Board of Directors, engaging in discussions with stockholders of the Issuer or third parties (including potential financing sources), exchanging information with the Issuer or any such persons pursuant to appropriate confidentiality or similar agreements regarding any of the foregoing, purchasing additional Shares, selling some or all of their Shares, engaging in short selling of or any hedging or similar transaction with respect to the Shares, or changing their intention with respect to any and all matters referred to in Item 4. The Reporting Persons may also take steps to explore and prepare for various plans and actions, and propose transactions, before forming an intention to engage in such plans or actions or proceed with such transactions.</w:t>
            </w:r>
          </w:p>
        </w:tc>
      </w:tr>
      <w:tr>
        <w:trPr/>
        <w:tc>
          <w:tcPr>
            <w:tcW w:w="1164" w:type="dxa"/>
            <w:tcBorders/>
            <w:vAlign w:val="center"/>
          </w:tcPr>
          <w:p>
            <w:pPr>
              <w:pStyle w:val="TableContents"/>
              <w:bidi w:val="0"/>
              <w:spacing w:before="0" w:after="283"/>
              <w:jc w:val="left"/>
              <w:rPr/>
            </w:pPr>
            <w:r>
              <w:rPr/>
              <w:t>Item 5.</w:t>
            </w:r>
          </w:p>
        </w:tc>
        <w:tc>
          <w:tcPr>
            <w:tcW w:w="9041" w:type="dxa"/>
            <w:tcBorders/>
            <w:vAlign w:val="center"/>
          </w:tcPr>
          <w:p>
            <w:pPr>
              <w:pStyle w:val="TableContents"/>
              <w:bidi w:val="0"/>
              <w:spacing w:before="0" w:after="283"/>
              <w:jc w:val="left"/>
              <w:rPr/>
            </w:pPr>
            <w:r>
              <w:rPr/>
              <w:t>Interest in Securities of the Issuer</w:t>
            </w:r>
          </w:p>
        </w:tc>
      </w:tr>
      <w:tr>
        <w:trPr/>
        <w:tc>
          <w:tcPr>
            <w:tcW w:w="1164" w:type="dxa"/>
            <w:tcBorders/>
            <w:vAlign w:val="center"/>
          </w:tcPr>
          <w:p>
            <w:pPr>
              <w:pStyle w:val="TableContents"/>
              <w:bidi w:val="0"/>
              <w:spacing w:before="0" w:after="283"/>
              <w:jc w:val="left"/>
              <w:rPr/>
            </w:pPr>
            <w:r>
              <w:rPr/>
              <w:t>(a)</w:t>
            </w:r>
          </w:p>
        </w:tc>
        <w:tc>
          <w:tcPr>
            <w:tcW w:w="9041" w:type="dxa"/>
            <w:tcBorders/>
            <w:vAlign w:val="center"/>
          </w:tcPr>
          <w:p>
            <w:pPr>
              <w:pStyle w:val="TableContents"/>
              <w:bidi w:val="0"/>
              <w:spacing w:before="0" w:after="0"/>
              <w:jc w:val="left"/>
              <w:rPr/>
            </w:pPr>
            <w:r>
              <w:rPr/>
              <w:t>The aggregate percentage of Shares reported owned by each person named herein is based upon 21,428,722 Shares outstanding, which is the total number of Shares outstanding as of August 21, 2026, as reported in the Issuer's Prospectus Supplement filed with the Securities and Exchange Commission on August 24, 2026. As of the close of business on the date hereof, SP Strategic Holdings owned directly 1,907,172 Shares, constituting approximately 8.9% of the Shares outstanding. By virtue of their relationships with SP Strategic Holdings, each of Steel Holdings, SPHG, SPHG Holdings, Steel Holdings GP, Steel Excel and Steel Connect may be deemed to beneficially own the Shares owned directly by SP Strategic Holdings.</w:t>
            </w:r>
          </w:p>
        </w:tc>
      </w:tr>
      <w:tr>
        <w:trPr/>
        <w:tc>
          <w:tcPr>
            <w:tcW w:w="1164" w:type="dxa"/>
            <w:tcBorders/>
            <w:vAlign w:val="center"/>
          </w:tcPr>
          <w:p>
            <w:pPr>
              <w:pStyle w:val="TableContents"/>
              <w:bidi w:val="0"/>
              <w:spacing w:before="0" w:after="283"/>
              <w:jc w:val="left"/>
              <w:rPr/>
            </w:pPr>
            <w:r>
              <w:rPr/>
              <w:t>(b)</w:t>
            </w:r>
          </w:p>
        </w:tc>
        <w:tc>
          <w:tcPr>
            <w:tcW w:w="9041" w:type="dxa"/>
            <w:tcBorders/>
            <w:vAlign w:val="center"/>
          </w:tcPr>
          <w:p>
            <w:pPr>
              <w:pStyle w:val="TableContents"/>
              <w:bidi w:val="0"/>
              <w:spacing w:before="0" w:after="0"/>
              <w:jc w:val="left"/>
              <w:rPr/>
            </w:pPr>
            <w:r>
              <w:rPr/>
              <w:t>Each of Steel Holdings, SPHG, SPHG Holdings, Steel Holdings GP, Steel Excel and Steel Connect may be deemed to have shared power to vote and dispose of the Shares reported in this statement owned directly by SP Strategic Holdings.</w:t>
            </w:r>
          </w:p>
        </w:tc>
      </w:tr>
      <w:tr>
        <w:trPr/>
        <w:tc>
          <w:tcPr>
            <w:tcW w:w="1164" w:type="dxa"/>
            <w:tcBorders/>
            <w:vAlign w:val="center"/>
          </w:tcPr>
          <w:p>
            <w:pPr>
              <w:pStyle w:val="TableContents"/>
              <w:bidi w:val="0"/>
              <w:spacing w:before="0" w:after="283"/>
              <w:jc w:val="left"/>
              <w:rPr/>
            </w:pPr>
            <w:r>
              <w:rPr/>
              <w:t>(c)</w:t>
            </w:r>
          </w:p>
        </w:tc>
        <w:tc>
          <w:tcPr>
            <w:tcW w:w="9041" w:type="dxa"/>
            <w:tcBorders/>
            <w:vAlign w:val="center"/>
          </w:tcPr>
          <w:p>
            <w:pPr>
              <w:pStyle w:val="TableContents"/>
              <w:bidi w:val="0"/>
              <w:spacing w:before="0" w:after="0"/>
              <w:jc w:val="left"/>
              <w:rPr/>
            </w:pPr>
            <w:r>
              <w:rPr/>
              <w:t>The transactions in the Shares by SP Strategic Holdings during the past sixty days are set forth in Exhibit 2 and are incorporated herein by reference. All of such transactions were effected in the open market.</w:t>
            </w:r>
          </w:p>
        </w:tc>
      </w:tr>
      <w:tr>
        <w:trPr/>
        <w:tc>
          <w:tcPr>
            <w:tcW w:w="1164" w:type="dxa"/>
            <w:tcBorders/>
            <w:vAlign w:val="center"/>
          </w:tcPr>
          <w:p>
            <w:pPr>
              <w:pStyle w:val="TableContents"/>
              <w:bidi w:val="0"/>
              <w:spacing w:before="0" w:after="283"/>
              <w:jc w:val="left"/>
              <w:rPr/>
            </w:pPr>
            <w:r>
              <w:rPr/>
              <w:t>(d)</w:t>
            </w:r>
          </w:p>
        </w:tc>
        <w:tc>
          <w:tcPr>
            <w:tcW w:w="9041" w:type="dxa"/>
            <w:tcBorders/>
            <w:vAlign w:val="center"/>
          </w:tcPr>
          <w:p>
            <w:pPr>
              <w:pStyle w:val="TableContents"/>
              <w:bidi w:val="0"/>
              <w:spacing w:before="0" w:after="0"/>
              <w:jc w:val="left"/>
              <w:rPr/>
            </w:pPr>
            <w:r>
              <w:rPr/>
              <w:t>No person other than the Reporting Persons is known to have the right to receive, or the power to direct the receipt of dividends from, or proceeds from the sale of, the Shares.</w:t>
            </w:r>
          </w:p>
        </w:tc>
      </w:tr>
      <w:tr>
        <w:trPr/>
        <w:tc>
          <w:tcPr>
            <w:tcW w:w="1164" w:type="dxa"/>
            <w:tcBorders/>
            <w:vAlign w:val="center"/>
          </w:tcPr>
          <w:p>
            <w:pPr>
              <w:pStyle w:val="TableContents"/>
              <w:bidi w:val="0"/>
              <w:spacing w:before="0" w:after="283"/>
              <w:jc w:val="left"/>
              <w:rPr/>
            </w:pPr>
            <w:r>
              <w:rPr/>
              <w:t>(e)</w:t>
            </w:r>
          </w:p>
        </w:tc>
        <w:tc>
          <w:tcPr>
            <w:tcW w:w="9041" w:type="dxa"/>
            <w:tcBorders/>
            <w:vAlign w:val="center"/>
          </w:tcPr>
          <w:p>
            <w:pPr>
              <w:pStyle w:val="TableContents"/>
              <w:bidi w:val="0"/>
              <w:spacing w:before="0" w:after="0"/>
              <w:jc w:val="left"/>
              <w:rPr/>
            </w:pPr>
            <w:r>
              <w:rPr/>
              <w:t>Not applicable.</w:t>
            </w:r>
          </w:p>
        </w:tc>
      </w:tr>
      <w:tr>
        <w:trPr/>
        <w:tc>
          <w:tcPr>
            <w:tcW w:w="1164" w:type="dxa"/>
            <w:tcBorders/>
            <w:vAlign w:val="center"/>
          </w:tcPr>
          <w:p>
            <w:pPr>
              <w:pStyle w:val="TableContents"/>
              <w:bidi w:val="0"/>
              <w:spacing w:before="0" w:after="283"/>
              <w:jc w:val="left"/>
              <w:rPr/>
            </w:pPr>
            <w:r>
              <w:rPr/>
              <w:t>Item 6.</w:t>
            </w:r>
          </w:p>
        </w:tc>
        <w:tc>
          <w:tcPr>
            <w:tcW w:w="9041"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64" w:type="dxa"/>
            <w:tcBorders/>
            <w:vAlign w:val="center"/>
          </w:tcPr>
          <w:p>
            <w:pPr>
              <w:pStyle w:val="TableContents"/>
              <w:bidi w:val="0"/>
              <w:spacing w:before="0" w:after="283"/>
              <w:jc w:val="left"/>
              <w:rPr/>
            </w:pPr>
            <w:r>
              <w:rPr/>
              <w:t> </w:t>
            </w:r>
          </w:p>
        </w:tc>
        <w:tc>
          <w:tcPr>
            <w:tcW w:w="9041" w:type="dxa"/>
            <w:tcBorders/>
            <w:vAlign w:val="center"/>
          </w:tcPr>
          <w:p>
            <w:pPr>
              <w:pStyle w:val="TableContents"/>
              <w:bidi w:val="0"/>
              <w:spacing w:before="0" w:after="0"/>
              <w:jc w:val="left"/>
              <w:rPr/>
            </w:pPr>
            <w:r>
              <w:rPr/>
              <w:t>As described in Item 4 above, SP Strategic Holdings has purchased an aggregate of 1,086,121 Rights. Such Rights were purchased for an aggregate price of approximately $135,520 and entitle SP Strategic Holdings to purchase an aggregate of 4,219,580 Shares at the Subscription Price upon the exercise of the Rights, subject to the completion of the Rights Offering. On the date hereof, the Reporting Persons entered into a Joint Filing Agreement in which the Reporting Persons agreed to the joint filing on behalf of each of them of statements on Schedule 13D with respect to securities of the Issuer. A copy of this agreement is attached as Exhibit 99.1 hereto and is incorporated herein by reference.</w:t>
            </w:r>
          </w:p>
        </w:tc>
      </w:tr>
      <w:tr>
        <w:trPr/>
        <w:tc>
          <w:tcPr>
            <w:tcW w:w="1164" w:type="dxa"/>
            <w:tcBorders/>
            <w:vAlign w:val="center"/>
          </w:tcPr>
          <w:p>
            <w:pPr>
              <w:pStyle w:val="TableContents"/>
              <w:bidi w:val="0"/>
              <w:spacing w:before="0" w:after="283"/>
              <w:jc w:val="left"/>
              <w:rPr/>
            </w:pPr>
            <w:r>
              <w:rPr/>
              <w:t>Item 7.</w:t>
            </w:r>
          </w:p>
        </w:tc>
        <w:tc>
          <w:tcPr>
            <w:tcW w:w="9041" w:type="dxa"/>
            <w:tcBorders/>
            <w:vAlign w:val="center"/>
          </w:tcPr>
          <w:p>
            <w:pPr>
              <w:pStyle w:val="TableContents"/>
              <w:bidi w:val="0"/>
              <w:spacing w:before="0" w:after="283"/>
              <w:jc w:val="left"/>
              <w:rPr/>
            </w:pPr>
            <w:r>
              <w:rPr/>
              <w:t>Material to be Filed as Exhibits.</w:t>
            </w:r>
          </w:p>
        </w:tc>
      </w:tr>
      <w:tr>
        <w:trPr/>
        <w:tc>
          <w:tcPr>
            <w:tcW w:w="1164" w:type="dxa"/>
            <w:tcBorders/>
            <w:vAlign w:val="center"/>
          </w:tcPr>
          <w:p>
            <w:pPr>
              <w:pStyle w:val="TableContents"/>
              <w:bidi w:val="0"/>
              <w:spacing w:before="0" w:after="283"/>
              <w:jc w:val="left"/>
              <w:rPr/>
            </w:pPr>
            <w:r>
              <w:rPr/>
              <w:t> </w:t>
            </w:r>
          </w:p>
        </w:tc>
        <w:tc>
          <w:tcPr>
            <w:tcW w:w="9041" w:type="dxa"/>
            <w:tcBorders/>
            <w:vAlign w:val="center"/>
          </w:tcPr>
          <w:p>
            <w:pPr>
              <w:pStyle w:val="TableContents"/>
              <w:bidi w:val="0"/>
              <w:spacing w:before="0" w:after="0"/>
              <w:jc w:val="left"/>
              <w:rPr/>
            </w:pPr>
            <w:r>
              <w:rPr/>
              <w:t>1 - Directors and Officers 2- Transactions in Securities 99.1 - Joint Filing Agreement by and among the Reporting Persons, dated September 3,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signatureInfo"/>
      <w:bookmarkStart w:id="37" w:name="signatureInfo"/>
      <w:bookmarkEnd w:id="3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354" w:type="dxa"/>
        <w:jc w:val="left"/>
        <w:tblInd w:w="0" w:type="dxa"/>
        <w:tblLayout w:type="fixed"/>
        <w:tblCellMar>
          <w:top w:w="28" w:type="dxa"/>
          <w:left w:w="28" w:type="dxa"/>
          <w:bottom w:w="28" w:type="dxa"/>
          <w:right w:w="28" w:type="dxa"/>
        </w:tblCellMar>
      </w:tblPr>
      <w:tblGrid>
        <w:gridCol w:w="4177"/>
        <w:gridCol w:w="4177"/>
      </w:tblGrid>
      <w:tr>
        <w:trPr/>
        <w:tc>
          <w:tcPr>
            <w:tcW w:w="4177" w:type="dxa"/>
            <w:tcBorders/>
            <w:vAlign w:val="center"/>
          </w:tcPr>
          <w:p>
            <w:pPr>
              <w:pStyle w:val="TableContents"/>
              <w:bidi w:val="0"/>
              <w:spacing w:before="0" w:after="0"/>
              <w:jc w:val="left"/>
              <w:rPr/>
            </w:pPr>
            <w:r>
              <w:rPr/>
              <w:t> </w:t>
            </w:r>
          </w:p>
          <w:tbl>
            <w:tblPr>
              <w:tblW w:w="4006" w:type="dxa"/>
              <w:jc w:val="left"/>
              <w:tblInd w:w="0" w:type="dxa"/>
              <w:tblLayout w:type="fixed"/>
              <w:tblCellMar>
                <w:top w:w="28" w:type="dxa"/>
                <w:left w:w="28" w:type="dxa"/>
                <w:bottom w:w="28" w:type="dxa"/>
                <w:right w:w="28" w:type="dxa"/>
              </w:tblCellMar>
            </w:tblPr>
            <w:tblGrid>
              <w:gridCol w:w="4006"/>
            </w:tblGrid>
            <w:tr>
              <w:trPr/>
              <w:tc>
                <w:tcPr>
                  <w:tcW w:w="4006" w:type="dxa"/>
                  <w:tcBorders/>
                  <w:vAlign w:val="center"/>
                </w:tcPr>
                <w:p>
                  <w:pPr>
                    <w:pStyle w:val="TableContents"/>
                    <w:bidi w:val="0"/>
                    <w:spacing w:before="0" w:after="0"/>
                    <w:jc w:val="left"/>
                    <w:rPr/>
                  </w:pPr>
                  <w:r>
                    <w:rPr/>
                    <w:t>STEEL PARTNERS HOLDINGS L.P.</w:t>
                  </w:r>
                </w:p>
              </w:tc>
            </w:tr>
          </w:tbl>
          <w:p>
            <w:pPr>
              <w:pStyle w:val="TableContents"/>
              <w:bidi w:val="0"/>
              <w:spacing w:before="0" w:after="283"/>
              <w:jc w:val="left"/>
              <w:rPr/>
            </w:pPr>
            <w:r>
              <w:rPr/>
            </w:r>
          </w:p>
        </w:tc>
        <w:tc>
          <w:tcPr>
            <w:tcW w:w="41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Maria Reda</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Maria Reda, Secretary of Steel Partners Holdings GP Inc., its General Partner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09/03/2026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Steel Partners Holdings GP Inc.</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3"/>
        <w:gridCol w:w="4492"/>
      </w:tblGrid>
      <w:tr>
        <w:trPr/>
        <w:tc>
          <w:tcPr>
            <w:tcW w:w="57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Maria Reda</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Maria Reda, Secretary</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09/03/2026</w:t>
                  </w:r>
                </w:p>
              </w:tc>
            </w:tr>
          </w:tbl>
          <w:p>
            <w:pPr>
              <w:pStyle w:val="TableContents"/>
              <w:bidi w:val="0"/>
              <w:spacing w:before="0" w:after="283"/>
              <w:jc w:val="left"/>
              <w:rPr/>
            </w:pPr>
            <w:r>
              <w:rPr/>
            </w:r>
          </w:p>
        </w:tc>
        <w:tc>
          <w:tcPr>
            <w:tcW w:w="4492" w:type="dxa"/>
            <w:tcBorders/>
            <w:vAlign w:val="center"/>
          </w:tcPr>
          <w:p>
            <w:pPr>
              <w:pStyle w:val="TableContents"/>
              <w:bidi w:val="0"/>
              <w:spacing w:before="0" w:after="283"/>
              <w:jc w:val="left"/>
              <w:rPr>
                <w:sz w:val="4"/>
                <w:szCs w:val="4"/>
              </w:rPr>
            </w:pPr>
            <w:r>
              <w:rPr>
                <w:sz w:val="4"/>
                <w:szCs w:val="4"/>
              </w:rPr>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SPH Group LLC</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Maria Reda</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Maria Reda, Secretary of Steel Partners Holdings GP Inc., its 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09/03/2026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5770" w:type="dxa"/>
        <w:jc w:val="left"/>
        <w:tblInd w:w="0" w:type="dxa"/>
        <w:tblLayout w:type="fixed"/>
        <w:tblCellMar>
          <w:top w:w="28" w:type="dxa"/>
          <w:left w:w="28" w:type="dxa"/>
          <w:bottom w:w="28" w:type="dxa"/>
          <w:right w:w="28" w:type="dxa"/>
        </w:tblCellMar>
      </w:tblPr>
      <w:tblGrid>
        <w:gridCol w:w="2885"/>
        <w:gridCol w:w="2885"/>
      </w:tblGrid>
      <w:tr>
        <w:trPr/>
        <w:tc>
          <w:tcPr>
            <w:tcW w:w="2885" w:type="dxa"/>
            <w:tcBorders/>
            <w:vAlign w:val="center"/>
          </w:tcPr>
          <w:p>
            <w:pPr>
              <w:pStyle w:val="TableContents"/>
              <w:bidi w:val="0"/>
              <w:spacing w:before="0" w:after="0"/>
              <w:jc w:val="left"/>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0"/>
                    <w:jc w:val="left"/>
                    <w:rPr/>
                  </w:pPr>
                  <w:r>
                    <w:rPr/>
                    <w:t>SPH Group Holdings LLC</w:t>
                  </w:r>
                </w:p>
              </w:tc>
            </w:tr>
          </w:tbl>
          <w:p>
            <w:pPr>
              <w:pStyle w:val="TableContents"/>
              <w:bidi w:val="0"/>
              <w:spacing w:before="0" w:after="283"/>
              <w:jc w:val="left"/>
              <w:rPr/>
            </w:pPr>
            <w:r>
              <w:rPr/>
            </w:r>
          </w:p>
        </w:tc>
        <w:tc>
          <w:tcPr>
            <w:tcW w:w="288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Maria Reda</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Maria Reda, Secretary of Steel Partners Holdings GP Inc., its Manager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09/03/2026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3528" w:type="dxa"/>
        <w:jc w:val="left"/>
        <w:tblInd w:w="0" w:type="dxa"/>
        <w:tblLayout w:type="fixed"/>
        <w:tblCellMar>
          <w:top w:w="28" w:type="dxa"/>
          <w:left w:w="28" w:type="dxa"/>
          <w:bottom w:w="28" w:type="dxa"/>
          <w:right w:w="28" w:type="dxa"/>
        </w:tblCellMar>
      </w:tblPr>
      <w:tblGrid>
        <w:gridCol w:w="1764"/>
        <w:gridCol w:w="1764"/>
      </w:tblGrid>
      <w:tr>
        <w:trPr/>
        <w:tc>
          <w:tcPr>
            <w:tcW w:w="1764" w:type="dxa"/>
            <w:tcBorders/>
            <w:vAlign w:val="center"/>
          </w:tcPr>
          <w:p>
            <w:pPr>
              <w:pStyle w:val="TableContents"/>
              <w:bidi w:val="0"/>
              <w:spacing w:before="0" w:after="0"/>
              <w:jc w:val="left"/>
              <w:rPr/>
            </w:pPr>
            <w:r>
              <w:rPr/>
              <w:t> </w:t>
            </w:r>
          </w:p>
          <w:tbl>
            <w:tblPr>
              <w:tblW w:w="1651" w:type="dxa"/>
              <w:jc w:val="left"/>
              <w:tblInd w:w="0" w:type="dxa"/>
              <w:tblLayout w:type="fixed"/>
              <w:tblCellMar>
                <w:top w:w="28" w:type="dxa"/>
                <w:left w:w="28" w:type="dxa"/>
                <w:bottom w:w="28" w:type="dxa"/>
                <w:right w:w="28" w:type="dxa"/>
              </w:tblCellMar>
            </w:tblPr>
            <w:tblGrid>
              <w:gridCol w:w="1651"/>
            </w:tblGrid>
            <w:tr>
              <w:trPr/>
              <w:tc>
                <w:tcPr>
                  <w:tcW w:w="1651" w:type="dxa"/>
                  <w:tcBorders/>
                  <w:vAlign w:val="center"/>
                </w:tcPr>
                <w:p>
                  <w:pPr>
                    <w:pStyle w:val="TableContents"/>
                    <w:bidi w:val="0"/>
                    <w:spacing w:before="0" w:after="0"/>
                    <w:jc w:val="left"/>
                    <w:rPr/>
                  </w:pPr>
                  <w:r>
                    <w:rPr/>
                    <w:t>Steel Excel Inc.</w:t>
                  </w:r>
                </w:p>
              </w:tc>
            </w:tr>
          </w:tbl>
          <w:p>
            <w:pPr>
              <w:pStyle w:val="TableContents"/>
              <w:bidi w:val="0"/>
              <w:spacing w:before="0" w:after="283"/>
              <w:jc w:val="left"/>
              <w:rPr/>
            </w:pPr>
            <w:r>
              <w:rPr/>
            </w:r>
          </w:p>
        </w:tc>
        <w:tc>
          <w:tcPr>
            <w:tcW w:w="17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3"/>
        <w:gridCol w:w="4492"/>
      </w:tblGrid>
      <w:tr>
        <w:trPr/>
        <w:tc>
          <w:tcPr>
            <w:tcW w:w="57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Maria Reda</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Maria Reda, Secretary</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09/03/2026</w:t>
                  </w:r>
                </w:p>
              </w:tc>
            </w:tr>
          </w:tbl>
          <w:p>
            <w:pPr>
              <w:pStyle w:val="TableContents"/>
              <w:bidi w:val="0"/>
              <w:spacing w:before="0" w:after="283"/>
              <w:jc w:val="left"/>
              <w:rPr/>
            </w:pPr>
            <w:r>
              <w:rPr/>
            </w:r>
          </w:p>
        </w:tc>
        <w:tc>
          <w:tcPr>
            <w:tcW w:w="4492"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Steel Connect LLC</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3"/>
        <w:gridCol w:w="4492"/>
      </w:tblGrid>
      <w:tr>
        <w:trPr/>
        <w:tc>
          <w:tcPr>
            <w:tcW w:w="57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Maria Reda</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Maria Reda, Secretary</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09/03/2026</w:t>
                  </w:r>
                </w:p>
              </w:tc>
            </w:tr>
          </w:tbl>
          <w:p>
            <w:pPr>
              <w:pStyle w:val="TableContents"/>
              <w:bidi w:val="0"/>
              <w:spacing w:before="0" w:after="283"/>
              <w:jc w:val="left"/>
              <w:rPr/>
            </w:pPr>
            <w:r>
              <w:rPr/>
            </w:r>
          </w:p>
        </w:tc>
        <w:tc>
          <w:tcPr>
            <w:tcW w:w="4492" w:type="dxa"/>
            <w:tcBorders/>
            <w:vAlign w:val="center"/>
          </w:tcPr>
          <w:p>
            <w:pPr>
              <w:pStyle w:val="TableContents"/>
              <w:bidi w:val="0"/>
              <w:spacing w:before="0" w:after="283"/>
              <w:jc w:val="left"/>
              <w:rPr>
                <w:sz w:val="4"/>
                <w:szCs w:val="4"/>
              </w:rPr>
            </w:pPr>
            <w:r>
              <w:rPr>
                <w:sz w:val="4"/>
                <w:szCs w:val="4"/>
              </w:rPr>
            </w:r>
          </w:p>
        </w:tc>
      </w:tr>
    </w:tbl>
    <w:tbl>
      <w:tblPr>
        <w:tblW w:w="5828" w:type="dxa"/>
        <w:jc w:val="left"/>
        <w:tblInd w:w="0" w:type="dxa"/>
        <w:tblLayout w:type="fixed"/>
        <w:tblCellMar>
          <w:top w:w="28" w:type="dxa"/>
          <w:left w:w="28" w:type="dxa"/>
          <w:bottom w:w="28" w:type="dxa"/>
          <w:right w:w="28" w:type="dxa"/>
        </w:tblCellMar>
      </w:tblPr>
      <w:tblGrid>
        <w:gridCol w:w="2914"/>
        <w:gridCol w:w="2914"/>
      </w:tblGrid>
      <w:tr>
        <w:trPr/>
        <w:tc>
          <w:tcPr>
            <w:tcW w:w="2914" w:type="dxa"/>
            <w:tcBorders/>
            <w:vAlign w:val="center"/>
          </w:tcPr>
          <w:p>
            <w:pPr>
              <w:pStyle w:val="TableContents"/>
              <w:bidi w:val="0"/>
              <w:spacing w:before="0" w:after="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0"/>
                    <w:jc w:val="left"/>
                    <w:rPr/>
                  </w:pPr>
                  <w:r>
                    <w:rPr/>
                    <w:t>SP Strategic Holdings LLC</w:t>
                  </w:r>
                </w:p>
              </w:tc>
            </w:tr>
          </w:tbl>
          <w:p>
            <w:pPr>
              <w:pStyle w:val="TableContents"/>
              <w:bidi w:val="0"/>
              <w:spacing w:before="0" w:after="283"/>
              <w:jc w:val="left"/>
              <w:rPr/>
            </w:pPr>
            <w:r>
              <w:rPr/>
            </w:r>
          </w:p>
        </w:tc>
        <w:tc>
          <w:tcPr>
            <w:tcW w:w="29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3"/>
        <w:gridCol w:w="4492"/>
      </w:tblGrid>
      <w:tr>
        <w:trPr/>
        <w:tc>
          <w:tcPr>
            <w:tcW w:w="57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Maria Reda</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Maria Reda, Secretary</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09/03/2026</w:t>
                  </w:r>
                </w:p>
              </w:tc>
            </w:tr>
          </w:tbl>
          <w:p>
            <w:pPr>
              <w:pStyle w:val="TableContents"/>
              <w:bidi w:val="0"/>
              <w:spacing w:before="0" w:after="283"/>
              <w:jc w:val="left"/>
              <w:rPr/>
            </w:pPr>
            <w:r>
              <w:rPr/>
            </w:r>
          </w:p>
        </w:tc>
        <w:tc>
          <w:tcPr>
            <w:tcW w:w="449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right"/>
        <w:rPr>
          <w:rFonts w:ascii="Times New Roman;Times;Serif" w:hAnsi="Times New Roman;Times;Serif"/>
          <w:b w:val="false"/>
          <w:i w:val="false"/>
          <w:caps w:val="false"/>
          <w:smallCaps w:val="false"/>
          <w:sz w:val="20"/>
        </w:rPr>
      </w:pPr>
      <w:bookmarkStart w:id="38" w:name="ex1tosc13d04197klxe_09032026.htm"/>
      <w:bookmarkStart w:id="39" w:name="ksex1tosc13d04197klxe_09032026"/>
      <w:bookmarkEnd w:id="38"/>
      <w:bookmarkEnd w:id="39"/>
      <w:r>
        <w:rPr>
          <w:rFonts w:ascii="Times New Roman;Times;Serif" w:hAnsi="Times New Roman;Times;Serif"/>
          <w:b w:val="false"/>
          <w:i w:val="false"/>
          <w:caps w:val="false"/>
          <w:smallCaps w:val="false"/>
          <w:sz w:val="20"/>
        </w:rPr>
        <w:t>Exhibit 1</w:t>
      </w:r>
      <w:r>
        <w:br w:type="page"/>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Executive Officers and Directors of Steel Partners Holdings GP Inc.</w:t>
      </w:r>
    </w:p>
    <w:tbl>
      <w:tblPr>
        <w:tblW w:w="10205" w:type="dxa"/>
        <w:jc w:val="left"/>
        <w:tblInd w:w="0" w:type="dxa"/>
        <w:tblLayout w:type="fixed"/>
        <w:tblCellMar>
          <w:top w:w="0" w:type="dxa"/>
          <w:left w:w="0" w:type="dxa"/>
          <w:bottom w:w="0" w:type="dxa"/>
          <w:right w:w="0" w:type="dxa"/>
        </w:tblCellMar>
      </w:tblPr>
      <w:tblGrid>
        <w:gridCol w:w="2241"/>
        <w:gridCol w:w="6575"/>
        <w:gridCol w:w="1389"/>
      </w:tblGrid>
      <w:tr>
        <w:trPr/>
        <w:tc>
          <w:tcPr>
            <w:tcW w:w="2241" w:type="dxa"/>
            <w:tcBorders/>
            <w:vAlign w:val="center"/>
          </w:tcPr>
          <w:p>
            <w:pPr>
              <w:pStyle w:val="TableContents"/>
              <w:bidi w:val="0"/>
              <w:spacing w:before="0" w:after="283"/>
              <w:jc w:val="center"/>
              <w:rPr>
                <w:u w:val="single"/>
              </w:rPr>
            </w:pPr>
            <w:r>
              <w:rPr>
                <w:u w:val="single"/>
              </w:rPr>
              <w:t>Name and Position</w:t>
            </w:r>
          </w:p>
        </w:tc>
        <w:tc>
          <w:tcPr>
            <w:tcW w:w="6575" w:type="dxa"/>
            <w:tcBorders/>
            <w:vAlign w:val="center"/>
          </w:tcPr>
          <w:p>
            <w:pPr>
              <w:pStyle w:val="TableContents"/>
              <w:bidi w:val="0"/>
              <w:spacing w:before="0" w:after="283"/>
              <w:jc w:val="center"/>
              <w:rPr>
                <w:u w:val="single"/>
              </w:rPr>
            </w:pPr>
            <w:r>
              <w:rPr>
                <w:u w:val="single"/>
              </w:rPr>
              <w:t>Present Principal Occupation</w:t>
            </w:r>
          </w:p>
        </w:tc>
        <w:tc>
          <w:tcPr>
            <w:tcW w:w="1389" w:type="dxa"/>
            <w:tcBorders/>
            <w:vAlign w:val="center"/>
          </w:tcPr>
          <w:p>
            <w:pPr>
              <w:pStyle w:val="TableContents"/>
              <w:bidi w:val="0"/>
              <w:spacing w:before="0" w:after="283"/>
              <w:jc w:val="center"/>
              <w:rPr>
                <w:u w:val="single"/>
              </w:rPr>
            </w:pPr>
            <w:r>
              <w:rPr>
                <w:u w:val="single"/>
              </w:rPr>
              <w:t>Business Address</w:t>
            </w:r>
          </w:p>
        </w:tc>
      </w:tr>
      <w:tr>
        <w:trPr/>
        <w:tc>
          <w:tcPr>
            <w:tcW w:w="2241" w:type="dxa"/>
            <w:tcBorders/>
            <w:shd w:fill="CCEEFF" w:val="clear"/>
            <w:vAlign w:val="center"/>
          </w:tcPr>
          <w:p>
            <w:pPr>
              <w:pStyle w:val="TableContents"/>
              <w:bidi w:val="0"/>
              <w:spacing w:before="0" w:after="283"/>
              <w:jc w:val="left"/>
              <w:rPr/>
            </w:pPr>
            <w:r>
              <w:rPr/>
              <w:t>Warren G. Lichtenstein, Executive Chairman and Director</w:t>
            </w:r>
          </w:p>
        </w:tc>
        <w:tc>
          <w:tcPr>
            <w:tcW w:w="6575" w:type="dxa"/>
            <w:tcBorders/>
            <w:shd w:fill="CCEEFF" w:val="clear"/>
            <w:vAlign w:val="center"/>
          </w:tcPr>
          <w:p>
            <w:pPr>
              <w:pStyle w:val="TableContents"/>
              <w:bidi w:val="0"/>
              <w:spacing w:before="0" w:after="283"/>
              <w:jc w:val="left"/>
              <w:rPr/>
            </w:pPr>
            <w:r>
              <w:rPr/>
              <w:t>Executive Chairman of Steel Partners Holdings GP Inc., the General Partner of Steel Partners Holdings L.P., a global diversified holding company</w:t>
            </w:r>
          </w:p>
        </w:tc>
        <w:tc>
          <w:tcPr>
            <w:tcW w:w="1389" w:type="dxa"/>
            <w:tcBorders/>
            <w:shd w:fill="CCEEFF" w:val="clear"/>
            <w:vAlign w:val="center"/>
          </w:tcPr>
          <w:p>
            <w:pPr>
              <w:pStyle w:val="TableContents"/>
              <w:bidi w:val="0"/>
              <w:spacing w:before="0" w:after="283"/>
              <w:jc w:val="left"/>
              <w:rPr/>
            </w:pPr>
            <w:r>
              <w:rPr/>
              <w:t>c/o Steel Partners Holdings L.P.</w:t>
              <w:br/>
              <w:t>590 Madison Avenue, 32nd Floor</w:t>
              <w:br/>
              <w:t>New York, NY 10022</w:t>
            </w:r>
          </w:p>
        </w:tc>
      </w:tr>
      <w:tr>
        <w:trPr/>
        <w:tc>
          <w:tcPr>
            <w:tcW w:w="2241" w:type="dxa"/>
            <w:tcBorders/>
            <w:shd w:fill="FFFFFF" w:val="clear"/>
            <w:vAlign w:val="center"/>
          </w:tcPr>
          <w:p>
            <w:pPr>
              <w:pStyle w:val="TableContents"/>
              <w:bidi w:val="0"/>
              <w:spacing w:before="0" w:after="283"/>
              <w:jc w:val="left"/>
              <w:rPr/>
            </w:pPr>
            <w:r>
              <w:rPr/>
              <w:t>Jack L. Howard, President and Director</w:t>
            </w:r>
          </w:p>
        </w:tc>
        <w:tc>
          <w:tcPr>
            <w:tcW w:w="6575" w:type="dxa"/>
            <w:tcBorders/>
            <w:shd w:fill="FFFFFF" w:val="clear"/>
            <w:vAlign w:val="center"/>
          </w:tcPr>
          <w:p>
            <w:pPr>
              <w:pStyle w:val="TableContents"/>
              <w:bidi w:val="0"/>
              <w:spacing w:before="0" w:after="283"/>
              <w:jc w:val="left"/>
              <w:rPr/>
            </w:pPr>
            <w:r>
              <w:rPr/>
              <w:t>President of Steel Partners Holdings GP Inc., the General Partner of Steel Partners Holdings L.P., a global diversified holding company</w:t>
            </w:r>
          </w:p>
        </w:tc>
        <w:tc>
          <w:tcPr>
            <w:tcW w:w="1389" w:type="dxa"/>
            <w:tcBorders/>
            <w:shd w:fill="FFFFFF" w:val="clear"/>
            <w:vAlign w:val="center"/>
          </w:tcPr>
          <w:p>
            <w:pPr>
              <w:pStyle w:val="TableContents"/>
              <w:bidi w:val="0"/>
              <w:spacing w:before="0" w:after="283"/>
              <w:jc w:val="left"/>
              <w:rPr/>
            </w:pPr>
            <w:r>
              <w:rPr/>
              <w:t>c/o Steel Partners Holdings L.P.</w:t>
              <w:br/>
              <w:t>590 Madison Avenue, 32nd Floor</w:t>
              <w:br/>
              <w:t>New York, NY 10022</w:t>
            </w:r>
          </w:p>
        </w:tc>
      </w:tr>
      <w:tr>
        <w:trPr/>
        <w:tc>
          <w:tcPr>
            <w:tcW w:w="2241" w:type="dxa"/>
            <w:tcBorders/>
            <w:shd w:fill="CCEEFF" w:val="clear"/>
            <w:vAlign w:val="center"/>
          </w:tcPr>
          <w:p>
            <w:pPr>
              <w:pStyle w:val="TableContents"/>
              <w:bidi w:val="0"/>
              <w:spacing w:before="0" w:after="283"/>
              <w:jc w:val="left"/>
              <w:rPr/>
            </w:pPr>
            <w:r>
              <w:rPr/>
              <w:t>Lon Rosen, Director</w:t>
            </w:r>
          </w:p>
        </w:tc>
        <w:tc>
          <w:tcPr>
            <w:tcW w:w="6575" w:type="dxa"/>
            <w:tcBorders/>
            <w:shd w:fill="CCEEFF" w:val="clear"/>
            <w:vAlign w:val="center"/>
          </w:tcPr>
          <w:p>
            <w:pPr>
              <w:pStyle w:val="TableContents"/>
              <w:bidi w:val="0"/>
              <w:spacing w:before="0" w:after="283"/>
              <w:jc w:val="left"/>
              <w:rPr/>
            </w:pPr>
            <w:r>
              <w:rPr/>
              <w:t>Executive Vice President and Chief Marketing Officer for the Los Angeles Dodgers</w:t>
            </w:r>
          </w:p>
        </w:tc>
        <w:tc>
          <w:tcPr>
            <w:tcW w:w="1389" w:type="dxa"/>
            <w:tcBorders/>
            <w:shd w:fill="CCEEFF" w:val="clear"/>
            <w:vAlign w:val="center"/>
          </w:tcPr>
          <w:p>
            <w:pPr>
              <w:pStyle w:val="TableContents"/>
              <w:bidi w:val="0"/>
              <w:spacing w:before="0" w:after="283"/>
              <w:jc w:val="left"/>
              <w:rPr/>
            </w:pPr>
            <w:r>
              <w:rPr/>
              <w:t>c/o Steel Partners Holdings L.P.</w:t>
              <w:br/>
              <w:t>590 Madison Avenue, 32nd Floor</w:t>
              <w:br/>
              <w:t>New York, NY 10022</w:t>
            </w:r>
          </w:p>
        </w:tc>
      </w:tr>
      <w:tr>
        <w:trPr/>
        <w:tc>
          <w:tcPr>
            <w:tcW w:w="2241" w:type="dxa"/>
            <w:tcBorders/>
            <w:shd w:fill="FFFFFF" w:val="clear"/>
            <w:vAlign w:val="center"/>
          </w:tcPr>
          <w:p>
            <w:pPr>
              <w:pStyle w:val="TableContents"/>
              <w:bidi w:val="0"/>
              <w:spacing w:before="0" w:after="283"/>
              <w:jc w:val="left"/>
              <w:rPr/>
            </w:pPr>
            <w:r>
              <w:rPr/>
              <w:t>James Benenson III, Director</w:t>
            </w:r>
          </w:p>
        </w:tc>
        <w:tc>
          <w:tcPr>
            <w:tcW w:w="6575" w:type="dxa"/>
            <w:tcBorders/>
            <w:shd w:fill="FFFFFF" w:val="clear"/>
            <w:vAlign w:val="center"/>
          </w:tcPr>
          <w:p>
            <w:pPr>
              <w:pStyle w:val="TableContents"/>
              <w:bidi w:val="0"/>
              <w:spacing w:before="0" w:after="283"/>
              <w:jc w:val="left"/>
              <w:rPr/>
            </w:pPr>
            <w:r>
              <w:rPr/>
              <w:t>Director and Co-President of Summa Holdings, Inc. (“Summa”), a holding company, and director and Co-President of Industrial Manufacturing Company and Industrial Manufacturing Company International, subsidiaries of Summa that own various diversified industrial businesses</w:t>
            </w:r>
          </w:p>
        </w:tc>
        <w:tc>
          <w:tcPr>
            <w:tcW w:w="1389" w:type="dxa"/>
            <w:tcBorders/>
            <w:shd w:fill="FFFFFF" w:val="clear"/>
            <w:vAlign w:val="center"/>
          </w:tcPr>
          <w:p>
            <w:pPr>
              <w:pStyle w:val="TableContents"/>
              <w:bidi w:val="0"/>
              <w:spacing w:before="0" w:after="283"/>
              <w:jc w:val="left"/>
              <w:rPr/>
            </w:pPr>
            <w:r>
              <w:rPr/>
              <w:t>c/o Steel Partners Holdings L.P.</w:t>
              <w:br/>
              <w:t>590 Madison Avenue, 32nd Floor</w:t>
              <w:br/>
              <w:t>New York, NY 10022</w:t>
            </w:r>
          </w:p>
        </w:tc>
      </w:tr>
      <w:tr>
        <w:trPr/>
        <w:tc>
          <w:tcPr>
            <w:tcW w:w="2241" w:type="dxa"/>
            <w:tcBorders/>
            <w:shd w:fill="CCEEFF" w:val="clear"/>
            <w:vAlign w:val="center"/>
          </w:tcPr>
          <w:p>
            <w:pPr>
              <w:pStyle w:val="TableContents"/>
              <w:bidi w:val="0"/>
              <w:spacing w:before="0" w:after="283"/>
              <w:jc w:val="left"/>
              <w:rPr/>
            </w:pPr>
            <w:r>
              <w:rPr/>
              <w:t>Eric P. Karros, Director</w:t>
            </w:r>
          </w:p>
        </w:tc>
        <w:tc>
          <w:tcPr>
            <w:tcW w:w="6575" w:type="dxa"/>
            <w:tcBorders/>
            <w:shd w:fill="CCEEFF" w:val="clear"/>
            <w:vAlign w:val="center"/>
          </w:tcPr>
          <w:p>
            <w:pPr>
              <w:pStyle w:val="TableContents"/>
              <w:bidi w:val="0"/>
              <w:spacing w:before="0" w:after="283"/>
              <w:jc w:val="left"/>
              <w:rPr/>
            </w:pPr>
            <w:r>
              <w:rPr/>
              <w:t>Television analyst for FOX Sports and works for the Los Angeles Dodgers</w:t>
            </w:r>
          </w:p>
        </w:tc>
        <w:tc>
          <w:tcPr>
            <w:tcW w:w="1389" w:type="dxa"/>
            <w:tcBorders/>
            <w:shd w:fill="CCEEFF" w:val="clear"/>
            <w:vAlign w:val="center"/>
          </w:tcPr>
          <w:p>
            <w:pPr>
              <w:pStyle w:val="TableContents"/>
              <w:bidi w:val="0"/>
              <w:spacing w:before="0" w:after="283"/>
              <w:jc w:val="left"/>
              <w:rPr/>
            </w:pPr>
            <w:r>
              <w:rPr/>
              <w:t>c/o Steel Partners Holdings L.P.</w:t>
              <w:br/>
              <w:t>590 Madison Avenue, 32nd Floor</w:t>
              <w:br/>
              <w:t>New York, NY 10022</w:t>
            </w:r>
          </w:p>
        </w:tc>
      </w:tr>
      <w:tr>
        <w:trPr/>
        <w:tc>
          <w:tcPr>
            <w:tcW w:w="2241" w:type="dxa"/>
            <w:tcBorders/>
            <w:shd w:fill="FFFFFF" w:val="clear"/>
            <w:vAlign w:val="center"/>
          </w:tcPr>
          <w:p>
            <w:pPr>
              <w:pStyle w:val="TableContents"/>
              <w:bidi w:val="0"/>
              <w:spacing w:before="0" w:after="283"/>
              <w:jc w:val="left"/>
              <w:rPr/>
            </w:pPr>
            <w:r>
              <w:rPr/>
              <w:t>Rory H. Tahari, Director</w:t>
            </w:r>
          </w:p>
        </w:tc>
        <w:tc>
          <w:tcPr>
            <w:tcW w:w="6575" w:type="dxa"/>
            <w:tcBorders/>
            <w:shd w:fill="FFFFFF" w:val="clear"/>
            <w:vAlign w:val="center"/>
          </w:tcPr>
          <w:p>
            <w:pPr>
              <w:pStyle w:val="TableContents"/>
              <w:bidi w:val="0"/>
              <w:spacing w:before="0" w:after="283"/>
              <w:jc w:val="left"/>
              <w:rPr/>
            </w:pPr>
            <w:r>
              <w:rPr/>
              <w:t>Co-founder, State of Mind Partners, a strategic branding and investment firm</w:t>
            </w:r>
          </w:p>
        </w:tc>
        <w:tc>
          <w:tcPr>
            <w:tcW w:w="1389" w:type="dxa"/>
            <w:tcBorders/>
            <w:shd w:fill="FFFFFF" w:val="clear"/>
            <w:vAlign w:val="center"/>
          </w:tcPr>
          <w:p>
            <w:pPr>
              <w:pStyle w:val="TableContents"/>
              <w:bidi w:val="0"/>
              <w:spacing w:before="0" w:after="283"/>
              <w:jc w:val="left"/>
              <w:rPr/>
            </w:pPr>
            <w:r>
              <w:rPr/>
              <w:t>c/o Steel Partners Holdings L.P.</w:t>
              <w:br/>
              <w:t>590 Madison Avenue, 32nd Floor</w:t>
              <w:br/>
              <w:t>New York, NY 10022</w:t>
            </w:r>
          </w:p>
        </w:tc>
      </w:tr>
      <w:tr>
        <w:trPr/>
        <w:tc>
          <w:tcPr>
            <w:tcW w:w="2241" w:type="dxa"/>
            <w:tcBorders/>
            <w:shd w:fill="CCEEFF" w:val="clear"/>
            <w:vAlign w:val="center"/>
          </w:tcPr>
          <w:p>
            <w:pPr>
              <w:pStyle w:val="TableContents"/>
              <w:bidi w:val="0"/>
              <w:spacing w:before="0" w:after="283"/>
              <w:jc w:val="left"/>
              <w:rPr/>
            </w:pPr>
            <w:r>
              <w:rPr/>
              <w:t>Joseph Martin, Chief Operating Officer and Chief Legal Officer</w:t>
            </w:r>
          </w:p>
        </w:tc>
        <w:tc>
          <w:tcPr>
            <w:tcW w:w="6575" w:type="dxa"/>
            <w:tcBorders/>
            <w:shd w:fill="CCEEFF" w:val="clear"/>
            <w:vAlign w:val="center"/>
          </w:tcPr>
          <w:p>
            <w:pPr>
              <w:pStyle w:val="TableContents"/>
              <w:bidi w:val="0"/>
              <w:spacing w:before="0" w:after="283"/>
              <w:jc w:val="left"/>
              <w:rPr/>
            </w:pPr>
            <w:r>
              <w:rPr/>
              <w:t>Chief Operating Officer and Chief Legal Officer of Steel Partners Holdings GP Inc., the General Partner of Steel Partners Holdings L.P., a global diversified holding company</w:t>
            </w:r>
          </w:p>
        </w:tc>
        <w:tc>
          <w:tcPr>
            <w:tcW w:w="1389" w:type="dxa"/>
            <w:tcBorders/>
            <w:shd w:fill="CCEEFF" w:val="clear"/>
            <w:vAlign w:val="center"/>
          </w:tcPr>
          <w:p>
            <w:pPr>
              <w:pStyle w:val="TableContents"/>
              <w:bidi w:val="0"/>
              <w:spacing w:before="0" w:after="283"/>
              <w:jc w:val="left"/>
              <w:rPr/>
            </w:pPr>
            <w:r>
              <w:rPr/>
              <w:t>c/o Steel Partners Holdings L.P.</w:t>
              <w:br/>
              <w:t>590 Madison Avenue, 32nd Floor</w:t>
              <w:br/>
              <w:t>New York, NY 10022</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Executive Officers and Directors of Steel Excel Inc.</w:t>
      </w:r>
    </w:p>
    <w:tbl>
      <w:tblPr>
        <w:tblW w:w="10205" w:type="dxa"/>
        <w:jc w:val="left"/>
        <w:tblInd w:w="0" w:type="dxa"/>
        <w:tblLayout w:type="fixed"/>
        <w:tblCellMar>
          <w:top w:w="0" w:type="dxa"/>
          <w:left w:w="0" w:type="dxa"/>
          <w:bottom w:w="0" w:type="dxa"/>
          <w:right w:w="0" w:type="dxa"/>
        </w:tblCellMar>
      </w:tblPr>
      <w:tblGrid>
        <w:gridCol w:w="2135"/>
        <w:gridCol w:w="6149"/>
        <w:gridCol w:w="1921"/>
      </w:tblGrid>
      <w:tr>
        <w:trPr/>
        <w:tc>
          <w:tcPr>
            <w:tcW w:w="2135" w:type="dxa"/>
            <w:tcBorders/>
            <w:vAlign w:val="center"/>
          </w:tcPr>
          <w:p>
            <w:pPr>
              <w:pStyle w:val="TableContents"/>
              <w:bidi w:val="0"/>
              <w:spacing w:before="0" w:after="283"/>
              <w:jc w:val="center"/>
              <w:rPr>
                <w:u w:val="single"/>
              </w:rPr>
            </w:pPr>
            <w:r>
              <w:rPr>
                <w:u w:val="single"/>
              </w:rPr>
              <w:t>Name and Position</w:t>
            </w:r>
          </w:p>
        </w:tc>
        <w:tc>
          <w:tcPr>
            <w:tcW w:w="6149" w:type="dxa"/>
            <w:tcBorders/>
            <w:vAlign w:val="center"/>
          </w:tcPr>
          <w:p>
            <w:pPr>
              <w:pStyle w:val="TableContents"/>
              <w:bidi w:val="0"/>
              <w:spacing w:before="0" w:after="283"/>
              <w:jc w:val="center"/>
              <w:rPr>
                <w:u w:val="single"/>
              </w:rPr>
            </w:pPr>
            <w:r>
              <w:rPr>
                <w:u w:val="single"/>
              </w:rPr>
              <w:t>Present Principal Occupation</w:t>
            </w:r>
          </w:p>
        </w:tc>
        <w:tc>
          <w:tcPr>
            <w:tcW w:w="1921" w:type="dxa"/>
            <w:tcBorders/>
            <w:vAlign w:val="center"/>
          </w:tcPr>
          <w:p>
            <w:pPr>
              <w:pStyle w:val="TableContents"/>
              <w:bidi w:val="0"/>
              <w:spacing w:before="0" w:after="283"/>
              <w:jc w:val="center"/>
              <w:rPr>
                <w:u w:val="single"/>
              </w:rPr>
            </w:pPr>
            <w:r>
              <w:rPr>
                <w:u w:val="single"/>
              </w:rPr>
              <w:t>Business Address</w:t>
            </w:r>
          </w:p>
        </w:tc>
      </w:tr>
      <w:tr>
        <w:trPr/>
        <w:tc>
          <w:tcPr>
            <w:tcW w:w="2135" w:type="dxa"/>
            <w:tcBorders/>
            <w:shd w:fill="CCEEFF" w:val="clear"/>
            <w:vAlign w:val="center"/>
          </w:tcPr>
          <w:p>
            <w:pPr>
              <w:pStyle w:val="TableContents"/>
              <w:bidi w:val="0"/>
              <w:spacing w:before="0" w:after="283"/>
              <w:jc w:val="left"/>
              <w:rPr/>
            </w:pPr>
            <w:r>
              <w:rPr/>
              <w:t>Jack L. Howard, President and Director</w:t>
            </w:r>
          </w:p>
        </w:tc>
        <w:tc>
          <w:tcPr>
            <w:tcW w:w="6149" w:type="dxa"/>
            <w:tcBorders/>
            <w:shd w:fill="CCEEFF" w:val="clear"/>
            <w:vAlign w:val="center"/>
          </w:tcPr>
          <w:p>
            <w:pPr>
              <w:pStyle w:val="TableContents"/>
              <w:bidi w:val="0"/>
              <w:spacing w:before="0" w:after="283"/>
              <w:jc w:val="left"/>
              <w:rPr/>
            </w:pPr>
            <w:r>
              <w:rPr/>
              <w:t>President of Steel Partners Holdings GP Inc., the General Partner of Steel Partners Holdings L.P., a global diversified holding company</w:t>
            </w:r>
          </w:p>
        </w:tc>
        <w:tc>
          <w:tcPr>
            <w:tcW w:w="1921" w:type="dxa"/>
            <w:tcBorders/>
            <w:shd w:fill="CCEEFF" w:val="clear"/>
            <w:vAlign w:val="center"/>
          </w:tcPr>
          <w:p>
            <w:pPr>
              <w:pStyle w:val="TableContents"/>
              <w:bidi w:val="0"/>
              <w:spacing w:before="0" w:after="283"/>
              <w:jc w:val="left"/>
              <w:rPr/>
            </w:pPr>
            <w:r>
              <w:rPr/>
              <w:t>c/o Steel Partners Holdings L.P.</w:t>
              <w:br/>
              <w:t>590 Madison Avenue, 32nd Floor</w:t>
              <w:br/>
              <w:t>New York, NY 10022</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Executive Officers and Managers of Steel Connect LLC</w:t>
      </w:r>
    </w:p>
    <w:tbl>
      <w:tblPr>
        <w:tblW w:w="10205" w:type="dxa"/>
        <w:jc w:val="left"/>
        <w:tblInd w:w="0" w:type="dxa"/>
        <w:tblLayout w:type="fixed"/>
        <w:tblCellMar>
          <w:top w:w="0" w:type="dxa"/>
          <w:left w:w="0" w:type="dxa"/>
          <w:bottom w:w="0" w:type="dxa"/>
          <w:right w:w="0" w:type="dxa"/>
        </w:tblCellMar>
      </w:tblPr>
      <w:tblGrid>
        <w:gridCol w:w="1643"/>
        <w:gridCol w:w="6559"/>
        <w:gridCol w:w="2003"/>
      </w:tblGrid>
      <w:tr>
        <w:trPr/>
        <w:tc>
          <w:tcPr>
            <w:tcW w:w="1643" w:type="dxa"/>
            <w:tcBorders/>
            <w:vAlign w:val="center"/>
          </w:tcPr>
          <w:p>
            <w:pPr>
              <w:pStyle w:val="TableContents"/>
              <w:bidi w:val="0"/>
              <w:spacing w:before="0" w:after="283"/>
              <w:jc w:val="center"/>
              <w:rPr>
                <w:u w:val="single"/>
              </w:rPr>
            </w:pPr>
            <w:r>
              <w:rPr>
                <w:u w:val="single"/>
              </w:rPr>
              <w:t>Name and Position</w:t>
            </w:r>
          </w:p>
        </w:tc>
        <w:tc>
          <w:tcPr>
            <w:tcW w:w="6559" w:type="dxa"/>
            <w:tcBorders/>
            <w:vAlign w:val="center"/>
          </w:tcPr>
          <w:p>
            <w:pPr>
              <w:pStyle w:val="TableContents"/>
              <w:bidi w:val="0"/>
              <w:spacing w:before="0" w:after="283"/>
              <w:jc w:val="center"/>
              <w:rPr>
                <w:u w:val="single"/>
              </w:rPr>
            </w:pPr>
            <w:r>
              <w:rPr>
                <w:u w:val="single"/>
              </w:rPr>
              <w:t>Present Principal Occupation</w:t>
            </w:r>
          </w:p>
        </w:tc>
        <w:tc>
          <w:tcPr>
            <w:tcW w:w="2003" w:type="dxa"/>
            <w:tcBorders/>
            <w:vAlign w:val="center"/>
          </w:tcPr>
          <w:p>
            <w:pPr>
              <w:pStyle w:val="TableContents"/>
              <w:bidi w:val="0"/>
              <w:spacing w:before="0" w:after="283"/>
              <w:jc w:val="center"/>
              <w:rPr>
                <w:u w:val="single"/>
              </w:rPr>
            </w:pPr>
            <w:r>
              <w:rPr>
                <w:u w:val="single"/>
              </w:rPr>
              <w:t>Business Address</w:t>
            </w:r>
          </w:p>
        </w:tc>
      </w:tr>
      <w:tr>
        <w:trPr/>
        <w:tc>
          <w:tcPr>
            <w:tcW w:w="1643" w:type="dxa"/>
            <w:tcBorders/>
            <w:shd w:fill="CCEEFF" w:val="clear"/>
            <w:vAlign w:val="center"/>
          </w:tcPr>
          <w:p>
            <w:pPr>
              <w:pStyle w:val="TableContents"/>
              <w:bidi w:val="0"/>
              <w:spacing w:before="0" w:after="283"/>
              <w:jc w:val="left"/>
              <w:rPr/>
            </w:pPr>
            <w:r>
              <w:rPr/>
              <w:t>Jack L. Howard, Manager</w:t>
            </w:r>
          </w:p>
        </w:tc>
        <w:tc>
          <w:tcPr>
            <w:tcW w:w="6559" w:type="dxa"/>
            <w:tcBorders/>
            <w:shd w:fill="CCEEFF" w:val="clear"/>
            <w:vAlign w:val="center"/>
          </w:tcPr>
          <w:p>
            <w:pPr>
              <w:pStyle w:val="TableContents"/>
              <w:bidi w:val="0"/>
              <w:spacing w:before="0" w:after="283"/>
              <w:jc w:val="left"/>
              <w:rPr/>
            </w:pPr>
            <w:r>
              <w:rPr/>
              <w:t>President of Steel Partners Holdings GP Inc., the General Partner of Steel Partners Holdings L.P., a global diversified holding company</w:t>
            </w:r>
          </w:p>
        </w:tc>
        <w:tc>
          <w:tcPr>
            <w:tcW w:w="2003" w:type="dxa"/>
            <w:tcBorders/>
            <w:shd w:fill="CCEEFF" w:val="clear"/>
            <w:vAlign w:val="center"/>
          </w:tcPr>
          <w:p>
            <w:pPr>
              <w:pStyle w:val="TableContents"/>
              <w:bidi w:val="0"/>
              <w:spacing w:before="0" w:after="283"/>
              <w:jc w:val="left"/>
              <w:rPr/>
            </w:pPr>
            <w:r>
              <w:rPr/>
              <w:t>c/o Steel Partners Holdings L.P.</w:t>
              <w:br/>
              <w:t>590 Madison Avenue, 32nd Floor</w:t>
              <w:br/>
              <w:t>New York, NY 10022</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Executive Officers of SP Strategic Holdings LLC</w:t>
      </w:r>
    </w:p>
    <w:tbl>
      <w:tblPr>
        <w:tblW w:w="10205" w:type="dxa"/>
        <w:jc w:val="left"/>
        <w:tblInd w:w="0" w:type="dxa"/>
        <w:tblLayout w:type="fixed"/>
        <w:tblCellMar>
          <w:top w:w="0" w:type="dxa"/>
          <w:left w:w="0" w:type="dxa"/>
          <w:bottom w:w="0" w:type="dxa"/>
          <w:right w:w="0" w:type="dxa"/>
        </w:tblCellMar>
      </w:tblPr>
      <w:tblGrid>
        <w:gridCol w:w="1847"/>
        <w:gridCol w:w="6612"/>
        <w:gridCol w:w="1746"/>
      </w:tblGrid>
      <w:tr>
        <w:trPr/>
        <w:tc>
          <w:tcPr>
            <w:tcW w:w="1847" w:type="dxa"/>
            <w:tcBorders/>
            <w:vAlign w:val="center"/>
          </w:tcPr>
          <w:p>
            <w:pPr>
              <w:pStyle w:val="TableContents"/>
              <w:bidi w:val="0"/>
              <w:spacing w:before="0" w:after="283"/>
              <w:jc w:val="center"/>
              <w:rPr>
                <w:u w:val="single"/>
              </w:rPr>
            </w:pPr>
            <w:r>
              <w:rPr>
                <w:u w:val="single"/>
              </w:rPr>
              <w:t>Name and Position</w:t>
            </w:r>
          </w:p>
        </w:tc>
        <w:tc>
          <w:tcPr>
            <w:tcW w:w="6612" w:type="dxa"/>
            <w:tcBorders/>
            <w:vAlign w:val="center"/>
          </w:tcPr>
          <w:p>
            <w:pPr>
              <w:pStyle w:val="TableContents"/>
              <w:bidi w:val="0"/>
              <w:spacing w:before="0" w:after="283"/>
              <w:jc w:val="center"/>
              <w:rPr>
                <w:u w:val="single"/>
              </w:rPr>
            </w:pPr>
            <w:r>
              <w:rPr>
                <w:u w:val="single"/>
              </w:rPr>
              <w:t>Present Principal Occupation</w:t>
            </w:r>
          </w:p>
        </w:tc>
        <w:tc>
          <w:tcPr>
            <w:tcW w:w="1746" w:type="dxa"/>
            <w:tcBorders/>
            <w:vAlign w:val="center"/>
          </w:tcPr>
          <w:p>
            <w:pPr>
              <w:pStyle w:val="TableContents"/>
              <w:bidi w:val="0"/>
              <w:spacing w:before="0" w:after="283"/>
              <w:jc w:val="center"/>
              <w:rPr>
                <w:u w:val="single"/>
              </w:rPr>
            </w:pPr>
            <w:r>
              <w:rPr>
                <w:u w:val="single"/>
              </w:rPr>
              <w:t>Business Address</w:t>
            </w:r>
          </w:p>
        </w:tc>
      </w:tr>
      <w:tr>
        <w:trPr/>
        <w:tc>
          <w:tcPr>
            <w:tcW w:w="1847" w:type="dxa"/>
            <w:tcBorders/>
            <w:shd w:fill="CCEEFF" w:val="clear"/>
            <w:vAlign w:val="center"/>
          </w:tcPr>
          <w:p>
            <w:pPr>
              <w:pStyle w:val="TableContents"/>
              <w:bidi w:val="0"/>
              <w:spacing w:before="0" w:after="283"/>
              <w:jc w:val="left"/>
              <w:rPr/>
            </w:pPr>
            <w:r>
              <w:rPr/>
              <w:t>Jack L. Howard, President</w:t>
            </w:r>
          </w:p>
        </w:tc>
        <w:tc>
          <w:tcPr>
            <w:tcW w:w="6612" w:type="dxa"/>
            <w:tcBorders/>
            <w:shd w:fill="CCEEFF" w:val="clear"/>
            <w:vAlign w:val="center"/>
          </w:tcPr>
          <w:p>
            <w:pPr>
              <w:pStyle w:val="TableContents"/>
              <w:bidi w:val="0"/>
              <w:spacing w:before="0" w:after="283"/>
              <w:jc w:val="left"/>
              <w:rPr/>
            </w:pPr>
            <w:r>
              <w:rPr/>
              <w:t>President of Steel Partners Holdings GP Inc., the General Partner of Steel Partners Holdings L.P., a global diversified holding company</w:t>
            </w:r>
          </w:p>
        </w:tc>
        <w:tc>
          <w:tcPr>
            <w:tcW w:w="1746" w:type="dxa"/>
            <w:tcBorders/>
            <w:shd w:fill="CCEEFF" w:val="clear"/>
            <w:vAlign w:val="center"/>
          </w:tcPr>
          <w:p>
            <w:pPr>
              <w:pStyle w:val="TableContents"/>
              <w:bidi w:val="0"/>
              <w:spacing w:before="0" w:after="283"/>
              <w:jc w:val="left"/>
              <w:rPr/>
            </w:pPr>
            <w:r>
              <w:rPr/>
              <w:t>c/o Steel Partners Holdings L.P.</w:t>
              <w:br/>
              <w:t>590 Madison Avenue, 32nd Floor</w:t>
              <w:br/>
              <w:t>New York, NY 10022</w:t>
            </w:r>
          </w:p>
        </w:tc>
      </w:tr>
      <w:tr>
        <w:trPr/>
        <w:tc>
          <w:tcPr>
            <w:tcW w:w="1847" w:type="dxa"/>
            <w:tcBorders/>
            <w:shd w:fill="FFFFFF" w:val="clear"/>
            <w:vAlign w:val="center"/>
          </w:tcPr>
          <w:p>
            <w:pPr>
              <w:pStyle w:val="TableContents"/>
              <w:bidi w:val="0"/>
              <w:spacing w:before="0" w:after="283"/>
              <w:jc w:val="left"/>
              <w:rPr/>
            </w:pPr>
            <w:r>
              <w:rPr/>
              <w:t>Joseph Martin, Senior Vice President</w:t>
            </w:r>
          </w:p>
        </w:tc>
        <w:tc>
          <w:tcPr>
            <w:tcW w:w="6612" w:type="dxa"/>
            <w:tcBorders/>
            <w:shd w:fill="FFFFFF" w:val="clear"/>
            <w:vAlign w:val="center"/>
          </w:tcPr>
          <w:p>
            <w:pPr>
              <w:pStyle w:val="TableContents"/>
              <w:bidi w:val="0"/>
              <w:spacing w:before="0" w:after="283"/>
              <w:jc w:val="left"/>
              <w:rPr/>
            </w:pPr>
            <w:r>
              <w:rPr/>
              <w:t>Chief Operating Officer and Chief Legal Officer of Steel Partners Holdings GP Inc., the General Partner of Steel Partners Holdings L.P., a global diversified holding company</w:t>
            </w:r>
          </w:p>
        </w:tc>
        <w:tc>
          <w:tcPr>
            <w:tcW w:w="1746" w:type="dxa"/>
            <w:tcBorders/>
            <w:shd w:fill="FFFFFF" w:val="clear"/>
            <w:vAlign w:val="center"/>
          </w:tcPr>
          <w:p>
            <w:pPr>
              <w:pStyle w:val="TableContents"/>
              <w:bidi w:val="0"/>
              <w:spacing w:before="0" w:after="283"/>
              <w:jc w:val="left"/>
              <w:rPr/>
            </w:pPr>
            <w:r>
              <w:rPr/>
              <w:t>c/o Steel Partners Holdings L.P.</w:t>
              <w:br/>
              <w:t>590 Madison Avenue, 32nd Floor</w:t>
              <w:br/>
              <w:t>New York, NY 10022</w:t>
            </w:r>
          </w:p>
        </w:tc>
      </w:tr>
    </w:tbl>
    <w:p>
      <w:pPr>
        <w:pStyle w:val="TextBody"/>
        <w:bidi w:val="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val="false"/>
          <w:i w:val="false"/>
          <w:caps w:val="false"/>
          <w:smallCaps w:val="false"/>
          <w:sz w:val="20"/>
        </w:rPr>
      </w:pPr>
      <w:bookmarkStart w:id="40" w:name="ex2tosc13d04197klxe_09032026.htm"/>
      <w:bookmarkStart w:id="41" w:name="ksex2tosc13d04197klxe_09032026"/>
      <w:bookmarkEnd w:id="40"/>
      <w:bookmarkEnd w:id="41"/>
      <w:r>
        <w:rPr>
          <w:rFonts w:ascii="Times New Roman;Times;Serif" w:hAnsi="Times New Roman;Times;Serif"/>
          <w:b w:val="false"/>
          <w:i w:val="false"/>
          <w:caps w:val="false"/>
          <w:smallCaps w:val="false"/>
          <w:sz w:val="20"/>
        </w:rPr>
        <w:t>Exhibit 2</w:t>
      </w:r>
      <w:r>
        <w:br w:type="page"/>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Transactions in the Shares During the Past 60 Days</w:t>
      </w:r>
    </w:p>
    <w:tbl>
      <w:tblPr>
        <w:tblW w:w="3695" w:type="dxa"/>
        <w:jc w:val="left"/>
        <w:tblInd w:w="0" w:type="dxa"/>
        <w:tblLayout w:type="fixed"/>
        <w:tblCellMar>
          <w:top w:w="0" w:type="dxa"/>
          <w:left w:w="0" w:type="dxa"/>
          <w:bottom w:w="0" w:type="dxa"/>
          <w:right w:w="0" w:type="dxa"/>
        </w:tblCellMar>
      </w:tblPr>
      <w:tblGrid>
        <w:gridCol w:w="1400"/>
        <w:gridCol w:w="845"/>
        <w:gridCol w:w="695"/>
        <w:gridCol w:w="755"/>
      </w:tblGrid>
      <w:tr>
        <w:trPr/>
        <w:tc>
          <w:tcPr>
            <w:tcW w:w="14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Class of Security</w:t>
            </w:r>
          </w:p>
        </w:tc>
        <w:tc>
          <w:tcPr>
            <w:tcW w:w="84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Purchased</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Price ($)</w:t>
            </w:r>
          </w:p>
        </w:tc>
        <w:tc>
          <w:tcPr>
            <w:tcW w:w="75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w:t>
            </w:r>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SP STRATEGIC HOLDINGS LLC</w:t>
      </w:r>
    </w:p>
    <w:tbl>
      <w:tblPr>
        <w:tblW w:w="4235" w:type="dxa"/>
        <w:jc w:val="left"/>
        <w:tblInd w:w="0" w:type="dxa"/>
        <w:tblLayout w:type="fixed"/>
        <w:tblCellMar>
          <w:top w:w="0" w:type="dxa"/>
          <w:left w:w="0" w:type="dxa"/>
          <w:bottom w:w="0" w:type="dxa"/>
          <w:right w:w="0" w:type="dxa"/>
        </w:tblCellMar>
      </w:tblPr>
      <w:tblGrid>
        <w:gridCol w:w="1520"/>
        <w:gridCol w:w="800"/>
        <w:gridCol w:w="800"/>
        <w:gridCol w:w="1115"/>
      </w:tblGrid>
      <w:tr>
        <w:trPr/>
        <w:tc>
          <w:tcPr>
            <w:tcW w:w="1520" w:type="dxa"/>
            <w:tcBorders/>
            <w:shd w:fill="CCEEFF" w:val="clear"/>
            <w:vAlign w:val="center"/>
          </w:tcPr>
          <w:p>
            <w:pPr>
              <w:pStyle w:val="TableContents"/>
              <w:bidi w:val="0"/>
              <w:spacing w:before="0" w:after="283"/>
              <w:jc w:val="left"/>
              <w:rPr/>
            </w:pPr>
            <w:r>
              <w:rPr/>
              <w:t>Common Stock</w:t>
            </w:r>
          </w:p>
        </w:tc>
        <w:tc>
          <w:tcPr>
            <w:tcW w:w="800" w:type="dxa"/>
            <w:tcBorders/>
            <w:shd w:fill="CCEEFF" w:val="clear"/>
            <w:vAlign w:val="center"/>
          </w:tcPr>
          <w:p>
            <w:pPr>
              <w:pStyle w:val="TableContents"/>
              <w:bidi w:val="0"/>
              <w:spacing w:before="0" w:after="283"/>
              <w:jc w:val="center"/>
              <w:rPr/>
            </w:pPr>
            <w:r>
              <w:rPr/>
              <w:t>607,620</w:t>
            </w:r>
          </w:p>
        </w:tc>
        <w:tc>
          <w:tcPr>
            <w:tcW w:w="800" w:type="dxa"/>
            <w:tcBorders/>
            <w:shd w:fill="CCEEFF" w:val="clear"/>
            <w:vAlign w:val="center"/>
          </w:tcPr>
          <w:p>
            <w:pPr>
              <w:pStyle w:val="TableContents"/>
              <w:bidi w:val="0"/>
              <w:spacing w:before="0" w:after="283"/>
              <w:jc w:val="center"/>
              <w:rPr/>
            </w:pPr>
            <w:r>
              <w:rPr/>
              <w:t>$1.4979</w:t>
            </w:r>
          </w:p>
        </w:tc>
        <w:tc>
          <w:tcPr>
            <w:tcW w:w="1115" w:type="dxa"/>
            <w:tcBorders/>
            <w:shd w:fill="CCEEFF" w:val="clear"/>
            <w:vAlign w:val="center"/>
          </w:tcPr>
          <w:p>
            <w:pPr>
              <w:pStyle w:val="TableContents"/>
              <w:bidi w:val="0"/>
              <w:spacing w:before="0" w:after="283"/>
              <w:jc w:val="center"/>
              <w:rPr/>
            </w:pPr>
            <w:r>
              <w:rPr/>
              <w:t>08/11/2026</w:t>
            </w:r>
          </w:p>
        </w:tc>
      </w:tr>
      <w:tr>
        <w:trPr/>
        <w:tc>
          <w:tcPr>
            <w:tcW w:w="1520" w:type="dxa"/>
            <w:tcBorders/>
            <w:shd w:fill="FFFFFF" w:val="clear"/>
            <w:vAlign w:val="center"/>
          </w:tcPr>
          <w:p>
            <w:pPr>
              <w:pStyle w:val="TableContents"/>
              <w:bidi w:val="0"/>
              <w:spacing w:before="0" w:after="283"/>
              <w:jc w:val="left"/>
              <w:rPr/>
            </w:pPr>
            <w:r>
              <w:rPr/>
              <w:t>Common Stock</w:t>
            </w:r>
          </w:p>
        </w:tc>
        <w:tc>
          <w:tcPr>
            <w:tcW w:w="800" w:type="dxa"/>
            <w:tcBorders/>
            <w:shd w:fill="FFFFFF" w:val="clear"/>
            <w:vAlign w:val="center"/>
          </w:tcPr>
          <w:p>
            <w:pPr>
              <w:pStyle w:val="TableContents"/>
              <w:bidi w:val="0"/>
              <w:spacing w:before="0" w:after="283"/>
              <w:jc w:val="center"/>
              <w:rPr/>
            </w:pPr>
            <w:r>
              <w:rPr/>
              <w:t>33,061</w:t>
            </w:r>
          </w:p>
        </w:tc>
        <w:tc>
          <w:tcPr>
            <w:tcW w:w="800" w:type="dxa"/>
            <w:tcBorders/>
            <w:shd w:fill="FFFFFF" w:val="clear"/>
            <w:vAlign w:val="center"/>
          </w:tcPr>
          <w:p>
            <w:pPr>
              <w:pStyle w:val="TableContents"/>
              <w:bidi w:val="0"/>
              <w:spacing w:before="0" w:after="283"/>
              <w:jc w:val="center"/>
              <w:rPr/>
            </w:pPr>
            <w:r>
              <w:rPr/>
              <w:t>$1.5451</w:t>
            </w:r>
          </w:p>
        </w:tc>
        <w:tc>
          <w:tcPr>
            <w:tcW w:w="1115" w:type="dxa"/>
            <w:tcBorders/>
            <w:shd w:fill="FFFFFF" w:val="clear"/>
            <w:vAlign w:val="center"/>
          </w:tcPr>
          <w:p>
            <w:pPr>
              <w:pStyle w:val="TableContents"/>
              <w:bidi w:val="0"/>
              <w:spacing w:before="0" w:after="283"/>
              <w:jc w:val="center"/>
              <w:rPr/>
            </w:pPr>
            <w:r>
              <w:rPr/>
              <w:t>08/12/2026</w:t>
            </w:r>
          </w:p>
        </w:tc>
      </w:tr>
      <w:tr>
        <w:trPr/>
        <w:tc>
          <w:tcPr>
            <w:tcW w:w="1520" w:type="dxa"/>
            <w:tcBorders/>
            <w:shd w:fill="CCEEFF" w:val="clear"/>
            <w:vAlign w:val="center"/>
          </w:tcPr>
          <w:p>
            <w:pPr>
              <w:pStyle w:val="TableContents"/>
              <w:bidi w:val="0"/>
              <w:spacing w:before="0" w:after="283"/>
              <w:jc w:val="left"/>
              <w:rPr/>
            </w:pPr>
            <w:r>
              <w:rPr/>
              <w:t>Common Stock</w:t>
            </w:r>
          </w:p>
        </w:tc>
        <w:tc>
          <w:tcPr>
            <w:tcW w:w="800" w:type="dxa"/>
            <w:tcBorders/>
            <w:shd w:fill="CCEEFF" w:val="clear"/>
            <w:vAlign w:val="center"/>
          </w:tcPr>
          <w:p>
            <w:pPr>
              <w:pStyle w:val="TableContents"/>
              <w:bidi w:val="0"/>
              <w:spacing w:before="0" w:after="283"/>
              <w:jc w:val="center"/>
              <w:rPr/>
            </w:pPr>
            <w:r>
              <w:rPr/>
              <w:t>125,437</w:t>
            </w:r>
          </w:p>
        </w:tc>
        <w:tc>
          <w:tcPr>
            <w:tcW w:w="800" w:type="dxa"/>
            <w:tcBorders/>
            <w:shd w:fill="CCEEFF" w:val="clear"/>
            <w:vAlign w:val="center"/>
          </w:tcPr>
          <w:p>
            <w:pPr>
              <w:pStyle w:val="TableContents"/>
              <w:bidi w:val="0"/>
              <w:spacing w:before="0" w:after="283"/>
              <w:jc w:val="center"/>
              <w:rPr/>
            </w:pPr>
            <w:r>
              <w:rPr/>
              <w:t>$1.5059</w:t>
            </w:r>
          </w:p>
        </w:tc>
        <w:tc>
          <w:tcPr>
            <w:tcW w:w="1115" w:type="dxa"/>
            <w:tcBorders/>
            <w:shd w:fill="CCEEFF" w:val="clear"/>
            <w:vAlign w:val="center"/>
          </w:tcPr>
          <w:p>
            <w:pPr>
              <w:pStyle w:val="TableContents"/>
              <w:bidi w:val="0"/>
              <w:spacing w:before="0" w:after="283"/>
              <w:jc w:val="center"/>
              <w:rPr/>
            </w:pPr>
            <w:r>
              <w:rPr/>
              <w:t>08/24/2026</w:t>
            </w:r>
          </w:p>
        </w:tc>
      </w:tr>
      <w:tr>
        <w:trPr/>
        <w:tc>
          <w:tcPr>
            <w:tcW w:w="1520" w:type="dxa"/>
            <w:tcBorders/>
            <w:shd w:fill="FFFFFF" w:val="clear"/>
            <w:vAlign w:val="center"/>
          </w:tcPr>
          <w:p>
            <w:pPr>
              <w:pStyle w:val="TableContents"/>
              <w:bidi w:val="0"/>
              <w:spacing w:before="0" w:after="283"/>
              <w:jc w:val="left"/>
              <w:rPr/>
            </w:pPr>
            <w:r>
              <w:rPr/>
              <w:t>Common Stock</w:t>
            </w:r>
          </w:p>
        </w:tc>
        <w:tc>
          <w:tcPr>
            <w:tcW w:w="800" w:type="dxa"/>
            <w:tcBorders/>
            <w:shd w:fill="FFFFFF" w:val="clear"/>
            <w:vAlign w:val="center"/>
          </w:tcPr>
          <w:p>
            <w:pPr>
              <w:pStyle w:val="TableContents"/>
              <w:bidi w:val="0"/>
              <w:spacing w:before="0" w:after="283"/>
              <w:jc w:val="center"/>
              <w:rPr/>
            </w:pPr>
            <w:r>
              <w:rPr/>
              <w:t>100,000</w:t>
            </w:r>
          </w:p>
        </w:tc>
        <w:tc>
          <w:tcPr>
            <w:tcW w:w="800" w:type="dxa"/>
            <w:tcBorders/>
            <w:shd w:fill="FFFFFF" w:val="clear"/>
            <w:vAlign w:val="center"/>
          </w:tcPr>
          <w:p>
            <w:pPr>
              <w:pStyle w:val="TableContents"/>
              <w:bidi w:val="0"/>
              <w:spacing w:before="0" w:after="283"/>
              <w:jc w:val="center"/>
              <w:rPr/>
            </w:pPr>
            <w:r>
              <w:rPr/>
              <w:t>$1.4857</w:t>
            </w:r>
          </w:p>
        </w:tc>
        <w:tc>
          <w:tcPr>
            <w:tcW w:w="1115" w:type="dxa"/>
            <w:tcBorders/>
            <w:shd w:fill="FFFFFF" w:val="clear"/>
            <w:vAlign w:val="center"/>
          </w:tcPr>
          <w:p>
            <w:pPr>
              <w:pStyle w:val="TableContents"/>
              <w:bidi w:val="0"/>
              <w:spacing w:before="0" w:after="283"/>
              <w:jc w:val="center"/>
              <w:rPr/>
            </w:pPr>
            <w:r>
              <w:rPr/>
              <w:t>08/25/2026</w:t>
            </w:r>
          </w:p>
        </w:tc>
      </w:tr>
      <w:tr>
        <w:trPr/>
        <w:tc>
          <w:tcPr>
            <w:tcW w:w="1520" w:type="dxa"/>
            <w:tcBorders/>
            <w:shd w:fill="CCEEFF" w:val="clear"/>
            <w:vAlign w:val="center"/>
          </w:tcPr>
          <w:p>
            <w:pPr>
              <w:pStyle w:val="TableContents"/>
              <w:bidi w:val="0"/>
              <w:spacing w:before="0" w:after="283"/>
              <w:jc w:val="left"/>
              <w:rPr/>
            </w:pPr>
            <w:r>
              <w:rPr/>
              <w:t>Common Stock</w:t>
            </w:r>
          </w:p>
        </w:tc>
        <w:tc>
          <w:tcPr>
            <w:tcW w:w="800" w:type="dxa"/>
            <w:tcBorders/>
            <w:shd w:fill="CCEEFF" w:val="clear"/>
            <w:vAlign w:val="center"/>
          </w:tcPr>
          <w:p>
            <w:pPr>
              <w:pStyle w:val="TableContents"/>
              <w:bidi w:val="0"/>
              <w:spacing w:before="0" w:after="283"/>
              <w:jc w:val="center"/>
              <w:rPr/>
            </w:pPr>
            <w:r>
              <w:rPr/>
              <w:t>172,736</w:t>
            </w:r>
          </w:p>
        </w:tc>
        <w:tc>
          <w:tcPr>
            <w:tcW w:w="800" w:type="dxa"/>
            <w:tcBorders/>
            <w:shd w:fill="CCEEFF" w:val="clear"/>
            <w:vAlign w:val="center"/>
          </w:tcPr>
          <w:p>
            <w:pPr>
              <w:pStyle w:val="TableContents"/>
              <w:bidi w:val="0"/>
              <w:spacing w:before="0" w:after="283"/>
              <w:jc w:val="center"/>
              <w:rPr/>
            </w:pPr>
            <w:r>
              <w:rPr/>
              <w:t>$1.5094</w:t>
            </w:r>
          </w:p>
        </w:tc>
        <w:tc>
          <w:tcPr>
            <w:tcW w:w="1115" w:type="dxa"/>
            <w:tcBorders/>
            <w:shd w:fill="CCEEFF" w:val="clear"/>
            <w:vAlign w:val="center"/>
          </w:tcPr>
          <w:p>
            <w:pPr>
              <w:pStyle w:val="TableContents"/>
              <w:bidi w:val="0"/>
              <w:spacing w:before="0" w:after="283"/>
              <w:jc w:val="center"/>
              <w:rPr/>
            </w:pPr>
            <w:r>
              <w:rPr/>
              <w:t>08/26/2026</w:t>
            </w:r>
          </w:p>
        </w:tc>
      </w:tr>
      <w:tr>
        <w:trPr/>
        <w:tc>
          <w:tcPr>
            <w:tcW w:w="1520" w:type="dxa"/>
            <w:tcBorders/>
            <w:shd w:fill="FFFFFF" w:val="clear"/>
            <w:vAlign w:val="center"/>
          </w:tcPr>
          <w:p>
            <w:pPr>
              <w:pStyle w:val="TableContents"/>
              <w:bidi w:val="0"/>
              <w:spacing w:before="0" w:after="283"/>
              <w:jc w:val="left"/>
              <w:rPr/>
            </w:pPr>
            <w:r>
              <w:rPr/>
              <w:t>Common Stock</w:t>
            </w:r>
          </w:p>
        </w:tc>
        <w:tc>
          <w:tcPr>
            <w:tcW w:w="800" w:type="dxa"/>
            <w:tcBorders/>
            <w:shd w:fill="FFFFFF" w:val="clear"/>
            <w:vAlign w:val="center"/>
          </w:tcPr>
          <w:p>
            <w:pPr>
              <w:pStyle w:val="TableContents"/>
              <w:bidi w:val="0"/>
              <w:spacing w:before="0" w:after="283"/>
              <w:jc w:val="center"/>
              <w:rPr/>
            </w:pPr>
            <w:r>
              <w:rPr/>
              <w:t>200,000</w:t>
            </w:r>
          </w:p>
        </w:tc>
        <w:tc>
          <w:tcPr>
            <w:tcW w:w="800" w:type="dxa"/>
            <w:tcBorders/>
            <w:shd w:fill="FFFFFF" w:val="clear"/>
            <w:vAlign w:val="center"/>
          </w:tcPr>
          <w:p>
            <w:pPr>
              <w:pStyle w:val="TableContents"/>
              <w:bidi w:val="0"/>
              <w:spacing w:before="0" w:after="283"/>
              <w:jc w:val="center"/>
              <w:rPr/>
            </w:pPr>
            <w:r>
              <w:rPr/>
              <w:t>$1.5300</w:t>
            </w:r>
          </w:p>
        </w:tc>
        <w:tc>
          <w:tcPr>
            <w:tcW w:w="1115" w:type="dxa"/>
            <w:tcBorders/>
            <w:shd w:fill="FFFFFF" w:val="clear"/>
            <w:vAlign w:val="center"/>
          </w:tcPr>
          <w:p>
            <w:pPr>
              <w:pStyle w:val="TableContents"/>
              <w:bidi w:val="0"/>
              <w:spacing w:before="0" w:after="283"/>
              <w:jc w:val="center"/>
              <w:rPr/>
            </w:pPr>
            <w:r>
              <w:rPr/>
              <w:t>08/27/2026</w:t>
            </w:r>
          </w:p>
        </w:tc>
      </w:tr>
      <w:tr>
        <w:trPr/>
        <w:tc>
          <w:tcPr>
            <w:tcW w:w="1520" w:type="dxa"/>
            <w:tcBorders/>
            <w:shd w:fill="CCEEFF" w:val="clear"/>
            <w:vAlign w:val="center"/>
          </w:tcPr>
          <w:p>
            <w:pPr>
              <w:pStyle w:val="TableContents"/>
              <w:bidi w:val="0"/>
              <w:spacing w:before="0" w:after="283"/>
              <w:jc w:val="left"/>
              <w:rPr/>
            </w:pPr>
            <w:r>
              <w:rPr/>
              <w:t>Common Stock</w:t>
            </w:r>
          </w:p>
        </w:tc>
        <w:tc>
          <w:tcPr>
            <w:tcW w:w="800" w:type="dxa"/>
            <w:tcBorders/>
            <w:shd w:fill="CCEEFF" w:val="clear"/>
            <w:vAlign w:val="center"/>
          </w:tcPr>
          <w:p>
            <w:pPr>
              <w:pStyle w:val="TableContents"/>
              <w:bidi w:val="0"/>
              <w:spacing w:before="0" w:after="283"/>
              <w:jc w:val="center"/>
              <w:rPr/>
            </w:pPr>
            <w:r>
              <w:rPr/>
              <w:t>200,000</w:t>
            </w:r>
          </w:p>
        </w:tc>
        <w:tc>
          <w:tcPr>
            <w:tcW w:w="800" w:type="dxa"/>
            <w:tcBorders/>
            <w:shd w:fill="CCEEFF" w:val="clear"/>
            <w:vAlign w:val="center"/>
          </w:tcPr>
          <w:p>
            <w:pPr>
              <w:pStyle w:val="TableContents"/>
              <w:bidi w:val="0"/>
              <w:spacing w:before="0" w:after="283"/>
              <w:jc w:val="center"/>
              <w:rPr/>
            </w:pPr>
            <w:r>
              <w:rPr/>
              <w:t>$1.5275</w:t>
            </w:r>
          </w:p>
        </w:tc>
        <w:tc>
          <w:tcPr>
            <w:tcW w:w="1115" w:type="dxa"/>
            <w:tcBorders/>
            <w:shd w:fill="CCEEFF" w:val="clear"/>
            <w:vAlign w:val="center"/>
          </w:tcPr>
          <w:p>
            <w:pPr>
              <w:pStyle w:val="TableContents"/>
              <w:bidi w:val="0"/>
              <w:spacing w:before="0" w:after="283"/>
              <w:jc w:val="center"/>
              <w:rPr/>
            </w:pPr>
            <w:r>
              <w:rPr/>
              <w:t>08/28/2026</w:t>
            </w:r>
          </w:p>
        </w:tc>
      </w:tr>
      <w:tr>
        <w:trPr/>
        <w:tc>
          <w:tcPr>
            <w:tcW w:w="1520" w:type="dxa"/>
            <w:tcBorders/>
            <w:shd w:fill="FFFFFF" w:val="clear"/>
            <w:vAlign w:val="center"/>
          </w:tcPr>
          <w:p>
            <w:pPr>
              <w:pStyle w:val="TableContents"/>
              <w:bidi w:val="0"/>
              <w:spacing w:before="0" w:after="283"/>
              <w:jc w:val="left"/>
              <w:rPr/>
            </w:pPr>
            <w:r>
              <w:rPr/>
              <w:t>Common Stock</w:t>
            </w:r>
          </w:p>
        </w:tc>
        <w:tc>
          <w:tcPr>
            <w:tcW w:w="800" w:type="dxa"/>
            <w:tcBorders/>
            <w:shd w:fill="FFFFFF" w:val="clear"/>
            <w:vAlign w:val="center"/>
          </w:tcPr>
          <w:p>
            <w:pPr>
              <w:pStyle w:val="TableContents"/>
              <w:bidi w:val="0"/>
              <w:spacing w:before="0" w:after="283"/>
              <w:jc w:val="center"/>
              <w:rPr/>
            </w:pPr>
            <w:r>
              <w:rPr/>
              <w:t>200,000</w:t>
            </w:r>
          </w:p>
        </w:tc>
        <w:tc>
          <w:tcPr>
            <w:tcW w:w="800" w:type="dxa"/>
            <w:tcBorders/>
            <w:shd w:fill="FFFFFF" w:val="clear"/>
            <w:vAlign w:val="center"/>
          </w:tcPr>
          <w:p>
            <w:pPr>
              <w:pStyle w:val="TableContents"/>
              <w:bidi w:val="0"/>
              <w:spacing w:before="0" w:after="283"/>
              <w:jc w:val="center"/>
              <w:rPr/>
            </w:pPr>
            <w:r>
              <w:rPr/>
              <w:t>$1.5387</w:t>
            </w:r>
          </w:p>
        </w:tc>
        <w:tc>
          <w:tcPr>
            <w:tcW w:w="1115" w:type="dxa"/>
            <w:tcBorders/>
            <w:shd w:fill="FFFFFF" w:val="clear"/>
            <w:vAlign w:val="center"/>
          </w:tcPr>
          <w:p>
            <w:pPr>
              <w:pStyle w:val="TableContents"/>
              <w:bidi w:val="0"/>
              <w:spacing w:before="0" w:after="283"/>
              <w:jc w:val="center"/>
              <w:rPr/>
            </w:pPr>
            <w:r>
              <w:rPr/>
              <w:t>08/31/2026</w:t>
            </w:r>
          </w:p>
        </w:tc>
      </w:tr>
      <w:tr>
        <w:trPr/>
        <w:tc>
          <w:tcPr>
            <w:tcW w:w="1520" w:type="dxa"/>
            <w:tcBorders/>
            <w:shd w:fill="CCEEFF" w:val="clear"/>
            <w:vAlign w:val="center"/>
          </w:tcPr>
          <w:p>
            <w:pPr>
              <w:pStyle w:val="TableContents"/>
              <w:bidi w:val="0"/>
              <w:spacing w:before="0" w:after="283"/>
              <w:jc w:val="left"/>
              <w:rPr/>
            </w:pPr>
            <w:r>
              <w:rPr/>
              <w:t>Common Stock</w:t>
            </w:r>
          </w:p>
        </w:tc>
        <w:tc>
          <w:tcPr>
            <w:tcW w:w="800" w:type="dxa"/>
            <w:tcBorders/>
            <w:shd w:fill="CCEEFF" w:val="clear"/>
            <w:vAlign w:val="center"/>
          </w:tcPr>
          <w:p>
            <w:pPr>
              <w:pStyle w:val="TableContents"/>
              <w:bidi w:val="0"/>
              <w:spacing w:before="0" w:after="283"/>
              <w:jc w:val="center"/>
              <w:rPr/>
            </w:pPr>
            <w:r>
              <w:rPr/>
              <w:t>20,428</w:t>
            </w:r>
          </w:p>
        </w:tc>
        <w:tc>
          <w:tcPr>
            <w:tcW w:w="800" w:type="dxa"/>
            <w:tcBorders/>
            <w:shd w:fill="CCEEFF" w:val="clear"/>
            <w:vAlign w:val="center"/>
          </w:tcPr>
          <w:p>
            <w:pPr>
              <w:pStyle w:val="TableContents"/>
              <w:bidi w:val="0"/>
              <w:spacing w:before="0" w:after="283"/>
              <w:jc w:val="center"/>
              <w:rPr/>
            </w:pPr>
            <w:r>
              <w:rPr/>
              <w:t>$1.5399</w:t>
            </w:r>
          </w:p>
        </w:tc>
        <w:tc>
          <w:tcPr>
            <w:tcW w:w="1115" w:type="dxa"/>
            <w:tcBorders/>
            <w:shd w:fill="CCEEFF" w:val="clear"/>
            <w:vAlign w:val="center"/>
          </w:tcPr>
          <w:p>
            <w:pPr>
              <w:pStyle w:val="TableContents"/>
              <w:bidi w:val="0"/>
              <w:spacing w:before="0" w:after="283"/>
              <w:jc w:val="center"/>
              <w:rPr/>
            </w:pPr>
            <w:r>
              <w:rPr/>
              <w:t>09/01/2026</w:t>
            </w:r>
          </w:p>
        </w:tc>
      </w:tr>
      <w:tr>
        <w:trPr/>
        <w:tc>
          <w:tcPr>
            <w:tcW w:w="1520" w:type="dxa"/>
            <w:tcBorders/>
            <w:shd w:fill="FFFFFF" w:val="clear"/>
            <w:vAlign w:val="center"/>
          </w:tcPr>
          <w:p>
            <w:pPr>
              <w:pStyle w:val="TableContents"/>
              <w:bidi w:val="0"/>
              <w:spacing w:before="0" w:after="283"/>
              <w:jc w:val="left"/>
              <w:rPr/>
            </w:pPr>
            <w:r>
              <w:rPr/>
              <w:t>Common Stock</w:t>
            </w:r>
          </w:p>
        </w:tc>
        <w:tc>
          <w:tcPr>
            <w:tcW w:w="800" w:type="dxa"/>
            <w:tcBorders/>
            <w:shd w:fill="FFFFFF" w:val="clear"/>
            <w:vAlign w:val="center"/>
          </w:tcPr>
          <w:p>
            <w:pPr>
              <w:pStyle w:val="TableContents"/>
              <w:bidi w:val="0"/>
              <w:spacing w:before="0" w:after="283"/>
              <w:jc w:val="center"/>
              <w:rPr/>
            </w:pPr>
            <w:r>
              <w:rPr/>
              <w:t>133,010</w:t>
            </w:r>
          </w:p>
        </w:tc>
        <w:tc>
          <w:tcPr>
            <w:tcW w:w="800" w:type="dxa"/>
            <w:tcBorders/>
            <w:shd w:fill="FFFFFF" w:val="clear"/>
            <w:vAlign w:val="center"/>
          </w:tcPr>
          <w:p>
            <w:pPr>
              <w:pStyle w:val="TableContents"/>
              <w:bidi w:val="0"/>
              <w:spacing w:before="0" w:after="283"/>
              <w:jc w:val="center"/>
              <w:rPr/>
            </w:pPr>
            <w:r>
              <w:rPr/>
              <w:t>$1.5257</w:t>
            </w:r>
          </w:p>
        </w:tc>
        <w:tc>
          <w:tcPr>
            <w:tcW w:w="1115" w:type="dxa"/>
            <w:tcBorders/>
            <w:shd w:fill="FFFFFF" w:val="clear"/>
            <w:vAlign w:val="center"/>
          </w:tcPr>
          <w:p>
            <w:pPr>
              <w:pStyle w:val="TableContents"/>
              <w:bidi w:val="0"/>
              <w:spacing w:before="0" w:after="283"/>
              <w:jc w:val="center"/>
              <w:rPr/>
            </w:pPr>
            <w:r>
              <w:rPr/>
              <w:t>09/02/2026</w:t>
            </w:r>
          </w:p>
        </w:tc>
      </w:tr>
      <w:tr>
        <w:trPr/>
        <w:tc>
          <w:tcPr>
            <w:tcW w:w="1520" w:type="dxa"/>
            <w:tcBorders/>
            <w:shd w:fill="CCEEFF" w:val="clear"/>
            <w:vAlign w:val="center"/>
          </w:tcPr>
          <w:p>
            <w:pPr>
              <w:pStyle w:val="TableContents"/>
              <w:bidi w:val="0"/>
              <w:spacing w:before="0" w:after="283"/>
              <w:jc w:val="left"/>
              <w:rPr/>
            </w:pPr>
            <w:r>
              <w:rPr/>
              <w:t>Common Stock</w:t>
            </w:r>
          </w:p>
        </w:tc>
        <w:tc>
          <w:tcPr>
            <w:tcW w:w="800" w:type="dxa"/>
            <w:tcBorders/>
            <w:shd w:fill="CCEEFF" w:val="clear"/>
            <w:vAlign w:val="center"/>
          </w:tcPr>
          <w:p>
            <w:pPr>
              <w:pStyle w:val="TableContents"/>
              <w:bidi w:val="0"/>
              <w:spacing w:before="0" w:after="283"/>
              <w:jc w:val="center"/>
              <w:rPr/>
            </w:pPr>
            <w:r>
              <w:rPr/>
              <w:t>114,880</w:t>
            </w:r>
          </w:p>
        </w:tc>
        <w:tc>
          <w:tcPr>
            <w:tcW w:w="800" w:type="dxa"/>
            <w:tcBorders/>
            <w:shd w:fill="CCEEFF" w:val="clear"/>
            <w:vAlign w:val="center"/>
          </w:tcPr>
          <w:p>
            <w:pPr>
              <w:pStyle w:val="TableContents"/>
              <w:bidi w:val="0"/>
              <w:spacing w:before="0" w:after="283"/>
              <w:jc w:val="center"/>
              <w:rPr/>
            </w:pPr>
            <w:r>
              <w:rPr/>
              <w:t>$1.5253</w:t>
            </w:r>
          </w:p>
        </w:tc>
        <w:tc>
          <w:tcPr>
            <w:tcW w:w="1115" w:type="dxa"/>
            <w:tcBorders/>
            <w:shd w:fill="CCEEFF" w:val="clear"/>
            <w:vAlign w:val="center"/>
          </w:tcPr>
          <w:p>
            <w:pPr>
              <w:pStyle w:val="TableContents"/>
              <w:bidi w:val="0"/>
              <w:spacing w:before="0" w:after="283"/>
              <w:jc w:val="center"/>
              <w:rPr/>
            </w:pPr>
            <w:r>
              <w:rPr/>
              <w:t>09/03/2026</w:t>
            </w:r>
          </w:p>
        </w:tc>
      </w:tr>
    </w:tbl>
    <w:p>
      <w:pPr>
        <w:pStyle w:val="TextBody"/>
        <w:bidi w:val="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val="false"/>
          <w:i w:val="false"/>
          <w:caps w:val="false"/>
          <w:smallCaps w:val="false"/>
          <w:sz w:val="20"/>
        </w:rPr>
      </w:pPr>
      <w:bookmarkStart w:id="42" w:name="ex991to13d04197klxe_090326.htm"/>
      <w:bookmarkStart w:id="43" w:name="ksex991to13d04197klxe_090326"/>
      <w:bookmarkEnd w:id="42"/>
      <w:bookmarkEnd w:id="43"/>
      <w:r>
        <w:rPr>
          <w:rFonts w:ascii="Times New Roman;Times;Serif" w:hAnsi="Times New Roman;Times;Serif"/>
          <w:b w:val="false"/>
          <w:i w:val="false"/>
          <w:caps w:val="false"/>
          <w:smallCaps w:val="false"/>
          <w:sz w:val="20"/>
        </w:rPr>
        <w:t>Exhibit 99.1</w:t>
      </w:r>
      <w:r>
        <w:br w:type="page"/>
      </w:r>
    </w:p>
    <w:p>
      <w:pPr>
        <w:pStyle w:val="TextBody"/>
        <w:bidi w:val="0"/>
        <w:spacing w:before="0" w:after="24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JOINT FILING AGREEMENT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13d-1(k)(1)(iii) under the Securities Exchange Act of 1934, as amended, the persons named below agree to the joint filing on behalf of each of them of a Statement on Schedule 13D (including amendments thereto) with respect to the Common Stock, $0.0001 par value, of KLX Energy Services Holdings, Inc. This Joint Filing Agreement shall be filed as an Exhibit to such Statement.</w:t>
      </w:r>
    </w:p>
    <w:tbl>
      <w:tblPr>
        <w:tblW w:w="6984" w:type="dxa"/>
        <w:jc w:val="left"/>
        <w:tblInd w:w="0" w:type="dxa"/>
        <w:tblLayout w:type="fixed"/>
        <w:tblCellMar>
          <w:top w:w="0" w:type="dxa"/>
          <w:left w:w="0" w:type="dxa"/>
          <w:bottom w:w="0" w:type="dxa"/>
          <w:right w:w="0" w:type="dxa"/>
        </w:tblCellMar>
      </w:tblPr>
      <w:tblGrid>
        <w:gridCol w:w="815"/>
        <w:gridCol w:w="5808"/>
        <w:gridCol w:w="361"/>
      </w:tblGrid>
      <w:tr>
        <w:trPr/>
        <w:tc>
          <w:tcPr>
            <w:tcW w:w="698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STEEL PARTNERS HOLDINGS L.P.</w:t>
            </w:r>
          </w:p>
        </w:tc>
      </w:tr>
      <w:tr>
        <w:trPr/>
        <w:tc>
          <w:tcPr>
            <w:tcW w:w="698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808"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Maria Reda</w:t>
            </w:r>
          </w:p>
        </w:tc>
        <w:tc>
          <w:tcPr>
            <w:tcW w:w="36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61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Maria Reda, Secretary of Steel Partners Holdings GP Inc., its General Partner</w:t>
            </w:r>
          </w:p>
        </w:tc>
      </w:tr>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1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09/03/2026</w:t>
            </w:r>
          </w:p>
        </w:tc>
      </w:tr>
    </w:tbl>
    <w:p>
      <w:pPr>
        <w:pStyle w:val="TextBody"/>
        <w:bidi w:val="0"/>
        <w:jc w:val="left"/>
        <w:rPr>
          <w:caps w:val="false"/>
          <w:smallCaps w:val="false"/>
        </w:rPr>
      </w:pPr>
      <w:r>
        <w:rPr>
          <w:caps w:val="false"/>
          <w:smallCaps w:val="false"/>
        </w:rPr>
        <w:t> </w:t>
      </w:r>
    </w:p>
    <w:tbl>
      <w:tblPr>
        <w:tblW w:w="3064" w:type="dxa"/>
        <w:jc w:val="left"/>
        <w:tblInd w:w="0" w:type="dxa"/>
        <w:tblLayout w:type="fixed"/>
        <w:tblCellMar>
          <w:top w:w="0" w:type="dxa"/>
          <w:left w:w="0" w:type="dxa"/>
          <w:bottom w:w="0" w:type="dxa"/>
          <w:right w:w="0" w:type="dxa"/>
        </w:tblCellMar>
      </w:tblPr>
      <w:tblGrid>
        <w:gridCol w:w="915"/>
        <w:gridCol w:w="2024"/>
        <w:gridCol w:w="125"/>
      </w:tblGrid>
      <w:tr>
        <w:trPr/>
        <w:tc>
          <w:tcPr>
            <w:tcW w:w="3064" w:type="dxa"/>
            <w:gridSpan w:val="3"/>
            <w:tcBorders/>
            <w:vAlign w:val="center"/>
          </w:tcPr>
          <w:p>
            <w:pPr>
              <w:pStyle w:val="TableContents"/>
              <w:bidi w:val="0"/>
              <w:spacing w:before="0" w:after="283"/>
              <w:jc w:val="left"/>
              <w:rPr/>
            </w:pPr>
            <w:r>
              <w:rPr/>
              <w:t>Steel Partners Holdings GP Inc.</w:t>
            </w:r>
          </w:p>
        </w:tc>
      </w:tr>
      <w:tr>
        <w:trPr/>
        <w:tc>
          <w:tcPr>
            <w:tcW w:w="3064" w:type="dxa"/>
            <w:gridSpan w:val="3"/>
            <w:tcBorders/>
            <w:vAlign w:val="center"/>
          </w:tcPr>
          <w:p>
            <w:pPr>
              <w:pStyle w:val="TableContents"/>
              <w:bidi w:val="0"/>
              <w:spacing w:before="0" w:after="283"/>
              <w:jc w:val="left"/>
              <w:rPr/>
            </w:pPr>
            <w:r>
              <w:rPr/>
              <w:t> </w:t>
            </w:r>
          </w:p>
        </w:tc>
      </w:tr>
      <w:tr>
        <w:trPr/>
        <w:tc>
          <w:tcPr>
            <w:tcW w:w="915" w:type="dxa"/>
            <w:tcBorders/>
            <w:vAlign w:val="center"/>
          </w:tcPr>
          <w:p>
            <w:pPr>
              <w:pStyle w:val="TableContents"/>
              <w:bidi w:val="0"/>
              <w:spacing w:before="0" w:after="283"/>
              <w:jc w:val="left"/>
              <w:rPr/>
            </w:pPr>
            <w:r>
              <w:rPr/>
              <w:t>By:</w:t>
            </w:r>
          </w:p>
        </w:tc>
        <w:tc>
          <w:tcPr>
            <w:tcW w:w="2024"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Maria Reda</w:t>
            </w:r>
          </w:p>
        </w:tc>
        <w:tc>
          <w:tcPr>
            <w:tcW w:w="125" w:type="dxa"/>
            <w:tcBorders/>
            <w:vAlign w:val="center"/>
          </w:tcPr>
          <w:p>
            <w:pPr>
              <w:pStyle w:val="TableContents"/>
              <w:bidi w:val="0"/>
              <w:spacing w:before="0" w:after="283"/>
              <w:jc w:val="left"/>
              <w:rPr/>
            </w:pPr>
            <w:r>
              <w:rPr/>
              <w:t> </w:t>
            </w:r>
          </w:p>
        </w:tc>
      </w:tr>
      <w:tr>
        <w:trPr/>
        <w:tc>
          <w:tcPr>
            <w:tcW w:w="915" w:type="dxa"/>
            <w:tcBorders/>
            <w:vAlign w:val="center"/>
          </w:tcPr>
          <w:p>
            <w:pPr>
              <w:pStyle w:val="TableContents"/>
              <w:bidi w:val="0"/>
              <w:spacing w:before="0" w:after="283"/>
              <w:jc w:val="left"/>
              <w:rPr/>
            </w:pPr>
            <w:r>
              <w:rPr/>
              <w:t> </w:t>
            </w:r>
          </w:p>
        </w:tc>
        <w:tc>
          <w:tcPr>
            <w:tcW w:w="2149" w:type="dxa"/>
            <w:gridSpan w:val="2"/>
            <w:tcBorders/>
            <w:vAlign w:val="center"/>
          </w:tcPr>
          <w:p>
            <w:pPr>
              <w:pStyle w:val="TableContents"/>
              <w:bidi w:val="0"/>
              <w:spacing w:before="0" w:after="283"/>
              <w:jc w:val="left"/>
              <w:rPr/>
            </w:pPr>
            <w:r>
              <w:rPr/>
              <w:t>Maria Reda, Secretary</w:t>
            </w:r>
          </w:p>
        </w:tc>
      </w:tr>
      <w:tr>
        <w:trPr/>
        <w:tc>
          <w:tcPr>
            <w:tcW w:w="915" w:type="dxa"/>
            <w:tcBorders/>
            <w:vAlign w:val="center"/>
          </w:tcPr>
          <w:p>
            <w:pPr>
              <w:pStyle w:val="TableContents"/>
              <w:bidi w:val="0"/>
              <w:spacing w:before="0" w:after="283"/>
              <w:jc w:val="left"/>
              <w:rPr/>
            </w:pPr>
            <w:r>
              <w:rPr/>
              <w:t>Date:</w:t>
            </w:r>
          </w:p>
        </w:tc>
        <w:tc>
          <w:tcPr>
            <w:tcW w:w="2149" w:type="dxa"/>
            <w:gridSpan w:val="2"/>
            <w:tcBorders/>
            <w:vAlign w:val="center"/>
          </w:tcPr>
          <w:p>
            <w:pPr>
              <w:pStyle w:val="TableContents"/>
              <w:bidi w:val="0"/>
              <w:spacing w:before="0" w:after="283"/>
              <w:jc w:val="left"/>
              <w:rPr/>
            </w:pPr>
            <w:r>
              <w:rPr/>
              <w:t>09/03/2026</w:t>
            </w:r>
          </w:p>
        </w:tc>
      </w:tr>
    </w:tbl>
    <w:p>
      <w:pPr>
        <w:pStyle w:val="TextBody"/>
        <w:bidi w:val="0"/>
        <w:jc w:val="left"/>
        <w:rPr>
          <w:caps w:val="false"/>
          <w:smallCaps w:val="false"/>
        </w:rPr>
      </w:pPr>
      <w:r>
        <w:rPr>
          <w:caps w:val="false"/>
          <w:smallCaps w:val="false"/>
        </w:rPr>
        <w:t> </w:t>
      </w:r>
    </w:p>
    <w:tbl>
      <w:tblPr>
        <w:tblW w:w="8229" w:type="dxa"/>
        <w:jc w:val="left"/>
        <w:tblInd w:w="0" w:type="dxa"/>
        <w:tblLayout w:type="fixed"/>
        <w:tblCellMar>
          <w:top w:w="0" w:type="dxa"/>
          <w:left w:w="0" w:type="dxa"/>
          <w:bottom w:w="0" w:type="dxa"/>
          <w:right w:w="0" w:type="dxa"/>
        </w:tblCellMar>
      </w:tblPr>
      <w:tblGrid>
        <w:gridCol w:w="545"/>
        <w:gridCol w:w="7234"/>
        <w:gridCol w:w="450"/>
      </w:tblGrid>
      <w:tr>
        <w:trPr/>
        <w:tc>
          <w:tcPr>
            <w:tcW w:w="8229" w:type="dxa"/>
            <w:gridSpan w:val="3"/>
            <w:tcBorders/>
            <w:vAlign w:val="center"/>
          </w:tcPr>
          <w:p>
            <w:pPr>
              <w:pStyle w:val="TableContents"/>
              <w:bidi w:val="0"/>
              <w:spacing w:before="0" w:after="283"/>
              <w:jc w:val="left"/>
              <w:rPr/>
            </w:pPr>
            <w:r>
              <w:rPr/>
              <w:t>SPH Group LLC</w:t>
            </w:r>
          </w:p>
        </w:tc>
      </w:tr>
      <w:tr>
        <w:trPr/>
        <w:tc>
          <w:tcPr>
            <w:tcW w:w="8229"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7234"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Maria Reda</w:t>
            </w:r>
          </w:p>
        </w:tc>
        <w:tc>
          <w:tcPr>
            <w:tcW w:w="450"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7684" w:type="dxa"/>
            <w:gridSpan w:val="2"/>
            <w:tcBorders/>
            <w:vAlign w:val="center"/>
          </w:tcPr>
          <w:p>
            <w:pPr>
              <w:pStyle w:val="TableContents"/>
              <w:bidi w:val="0"/>
              <w:spacing w:before="0" w:after="283"/>
              <w:jc w:val="left"/>
              <w:rPr/>
            </w:pPr>
            <w:r>
              <w:rPr/>
              <w:t>Maria Reda, Secretary of Steel Partners Holdings GP Inc., its Managing Member</w:t>
            </w:r>
          </w:p>
        </w:tc>
      </w:tr>
      <w:tr>
        <w:trPr/>
        <w:tc>
          <w:tcPr>
            <w:tcW w:w="545" w:type="dxa"/>
            <w:tcBorders/>
            <w:vAlign w:val="center"/>
          </w:tcPr>
          <w:p>
            <w:pPr>
              <w:pStyle w:val="TableContents"/>
              <w:bidi w:val="0"/>
              <w:spacing w:before="0" w:after="283"/>
              <w:jc w:val="left"/>
              <w:rPr/>
            </w:pPr>
            <w:r>
              <w:rPr/>
              <w:t>Date:</w:t>
            </w:r>
          </w:p>
        </w:tc>
        <w:tc>
          <w:tcPr>
            <w:tcW w:w="7684" w:type="dxa"/>
            <w:gridSpan w:val="2"/>
            <w:tcBorders/>
            <w:vAlign w:val="center"/>
          </w:tcPr>
          <w:p>
            <w:pPr>
              <w:pStyle w:val="TableContents"/>
              <w:bidi w:val="0"/>
              <w:spacing w:before="0" w:after="283"/>
              <w:jc w:val="left"/>
              <w:rPr/>
            </w:pPr>
            <w:r>
              <w:rPr/>
              <w:t>09/03/2026</w:t>
            </w:r>
          </w:p>
        </w:tc>
      </w:tr>
    </w:tbl>
    <w:p>
      <w:pPr>
        <w:pStyle w:val="TextBody"/>
        <w:bidi w:val="0"/>
        <w:jc w:val="left"/>
        <w:rPr>
          <w:caps w:val="false"/>
          <w:smallCaps w:val="false"/>
        </w:rPr>
      </w:pPr>
      <w:r>
        <w:rPr>
          <w:caps w:val="false"/>
          <w:smallCaps w:val="false"/>
        </w:rPr>
        <w:t> </w:t>
      </w:r>
    </w:p>
    <w:tbl>
      <w:tblPr>
        <w:tblW w:w="7494" w:type="dxa"/>
        <w:jc w:val="left"/>
        <w:tblInd w:w="0" w:type="dxa"/>
        <w:tblLayout w:type="fixed"/>
        <w:tblCellMar>
          <w:top w:w="0" w:type="dxa"/>
          <w:left w:w="0" w:type="dxa"/>
          <w:bottom w:w="0" w:type="dxa"/>
          <w:right w:w="0" w:type="dxa"/>
        </w:tblCellMar>
      </w:tblPr>
      <w:tblGrid>
        <w:gridCol w:w="785"/>
        <w:gridCol w:w="6317"/>
        <w:gridCol w:w="392"/>
      </w:tblGrid>
      <w:tr>
        <w:trPr/>
        <w:tc>
          <w:tcPr>
            <w:tcW w:w="7494" w:type="dxa"/>
            <w:gridSpan w:val="3"/>
            <w:tcBorders/>
            <w:vAlign w:val="center"/>
          </w:tcPr>
          <w:p>
            <w:pPr>
              <w:pStyle w:val="TableContents"/>
              <w:bidi w:val="0"/>
              <w:spacing w:before="0" w:after="283"/>
              <w:jc w:val="left"/>
              <w:rPr/>
            </w:pPr>
            <w:r>
              <w:rPr/>
              <w:t>SPH Group Holdings LLC</w:t>
            </w:r>
          </w:p>
        </w:tc>
      </w:tr>
      <w:tr>
        <w:trPr/>
        <w:tc>
          <w:tcPr>
            <w:tcW w:w="7494" w:type="dxa"/>
            <w:gridSpan w:val="3"/>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By:</w:t>
            </w:r>
          </w:p>
        </w:tc>
        <w:tc>
          <w:tcPr>
            <w:tcW w:w="6317"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Maria Reda</w:t>
            </w:r>
          </w:p>
        </w:tc>
        <w:tc>
          <w:tcPr>
            <w:tcW w:w="392"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 </w:t>
            </w:r>
          </w:p>
        </w:tc>
        <w:tc>
          <w:tcPr>
            <w:tcW w:w="6709" w:type="dxa"/>
            <w:gridSpan w:val="2"/>
            <w:tcBorders/>
            <w:vAlign w:val="center"/>
          </w:tcPr>
          <w:p>
            <w:pPr>
              <w:pStyle w:val="TableContents"/>
              <w:bidi w:val="0"/>
              <w:spacing w:before="0" w:after="283"/>
              <w:jc w:val="left"/>
              <w:rPr/>
            </w:pPr>
            <w:r>
              <w:rPr/>
              <w:t>Maria Reda, Secretary of Steel Partners Holdings GP Inc., its Manager</w:t>
            </w:r>
          </w:p>
        </w:tc>
      </w:tr>
      <w:tr>
        <w:trPr/>
        <w:tc>
          <w:tcPr>
            <w:tcW w:w="785" w:type="dxa"/>
            <w:tcBorders/>
            <w:vAlign w:val="center"/>
          </w:tcPr>
          <w:p>
            <w:pPr>
              <w:pStyle w:val="TableContents"/>
              <w:bidi w:val="0"/>
              <w:spacing w:before="0" w:after="283"/>
              <w:jc w:val="left"/>
              <w:rPr/>
            </w:pPr>
            <w:r>
              <w:rPr/>
              <w:t>Date:</w:t>
            </w:r>
          </w:p>
        </w:tc>
        <w:tc>
          <w:tcPr>
            <w:tcW w:w="6709" w:type="dxa"/>
            <w:gridSpan w:val="2"/>
            <w:tcBorders/>
            <w:vAlign w:val="center"/>
          </w:tcPr>
          <w:p>
            <w:pPr>
              <w:pStyle w:val="TableContents"/>
              <w:bidi w:val="0"/>
              <w:spacing w:before="0" w:after="283"/>
              <w:jc w:val="left"/>
              <w:rPr/>
            </w:pPr>
            <w:r>
              <w:rPr/>
              <w:t>09/03/2026</w:t>
            </w:r>
          </w:p>
        </w:tc>
      </w:tr>
    </w:tbl>
    <w:p>
      <w:pPr>
        <w:pStyle w:val="TextBody"/>
        <w:bidi w:val="0"/>
        <w:jc w:val="left"/>
        <w:rPr>
          <w:caps w:val="false"/>
          <w:smallCaps w:val="false"/>
        </w:rPr>
      </w:pPr>
      <w:r>
        <w:rPr>
          <w:caps w:val="false"/>
          <w:smallCaps w:val="false"/>
        </w:rPr>
        <w:t> </w:t>
      </w:r>
    </w:p>
    <w:tbl>
      <w:tblPr>
        <w:tblW w:w="2694" w:type="dxa"/>
        <w:jc w:val="left"/>
        <w:tblInd w:w="0" w:type="dxa"/>
        <w:tblLayout w:type="fixed"/>
        <w:tblCellMar>
          <w:top w:w="0" w:type="dxa"/>
          <w:left w:w="0" w:type="dxa"/>
          <w:bottom w:w="0" w:type="dxa"/>
          <w:right w:w="0" w:type="dxa"/>
        </w:tblCellMar>
      </w:tblPr>
      <w:tblGrid>
        <w:gridCol w:w="545"/>
        <w:gridCol w:w="2024"/>
        <w:gridCol w:w="125"/>
      </w:tblGrid>
      <w:tr>
        <w:trPr/>
        <w:tc>
          <w:tcPr>
            <w:tcW w:w="2694" w:type="dxa"/>
            <w:gridSpan w:val="3"/>
            <w:tcBorders/>
            <w:vAlign w:val="center"/>
          </w:tcPr>
          <w:p>
            <w:pPr>
              <w:pStyle w:val="TableContents"/>
              <w:bidi w:val="0"/>
              <w:spacing w:before="0" w:after="283"/>
              <w:jc w:val="left"/>
              <w:rPr/>
            </w:pPr>
            <w:r>
              <w:rPr/>
              <w:t>Steel Excel Inc.</w:t>
            </w:r>
          </w:p>
        </w:tc>
      </w:tr>
      <w:tr>
        <w:trPr/>
        <w:tc>
          <w:tcPr>
            <w:tcW w:w="2694"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2024"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Maria Reda</w:t>
            </w:r>
          </w:p>
        </w:tc>
        <w:tc>
          <w:tcPr>
            <w:tcW w:w="12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2149" w:type="dxa"/>
            <w:gridSpan w:val="2"/>
            <w:tcBorders/>
            <w:vAlign w:val="center"/>
          </w:tcPr>
          <w:p>
            <w:pPr>
              <w:pStyle w:val="TableContents"/>
              <w:bidi w:val="0"/>
              <w:spacing w:before="0" w:after="283"/>
              <w:jc w:val="left"/>
              <w:rPr/>
            </w:pPr>
            <w:r>
              <w:rPr/>
              <w:t>Maria Reda, Secretary</w:t>
            </w:r>
          </w:p>
        </w:tc>
      </w:tr>
      <w:tr>
        <w:trPr/>
        <w:tc>
          <w:tcPr>
            <w:tcW w:w="545" w:type="dxa"/>
            <w:tcBorders/>
            <w:vAlign w:val="center"/>
          </w:tcPr>
          <w:p>
            <w:pPr>
              <w:pStyle w:val="TableContents"/>
              <w:bidi w:val="0"/>
              <w:spacing w:before="0" w:after="283"/>
              <w:jc w:val="left"/>
              <w:rPr/>
            </w:pPr>
            <w:r>
              <w:rPr/>
              <w:t>Date:</w:t>
            </w:r>
          </w:p>
        </w:tc>
        <w:tc>
          <w:tcPr>
            <w:tcW w:w="2149" w:type="dxa"/>
            <w:gridSpan w:val="2"/>
            <w:tcBorders/>
            <w:vAlign w:val="center"/>
          </w:tcPr>
          <w:p>
            <w:pPr>
              <w:pStyle w:val="TableContents"/>
              <w:bidi w:val="0"/>
              <w:spacing w:before="0" w:after="283"/>
              <w:jc w:val="left"/>
              <w:rPr/>
            </w:pPr>
            <w:r>
              <w:rPr/>
              <w:t>09/03/2026</w:t>
            </w:r>
          </w:p>
        </w:tc>
      </w:tr>
    </w:tbl>
    <w:p>
      <w:pPr>
        <w:pStyle w:val="TextBody"/>
        <w:bidi w:val="0"/>
        <w:jc w:val="left"/>
        <w:rPr>
          <w:caps w:val="false"/>
          <w:smallCaps w:val="false"/>
        </w:rPr>
      </w:pPr>
      <w:r>
        <w:rPr>
          <w:caps w:val="false"/>
          <w:smallCaps w:val="false"/>
        </w:rPr>
        <w:t> </w:t>
      </w:r>
    </w:p>
    <w:tbl>
      <w:tblPr>
        <w:tblW w:w="2714" w:type="dxa"/>
        <w:jc w:val="left"/>
        <w:tblInd w:w="0" w:type="dxa"/>
        <w:tblLayout w:type="fixed"/>
        <w:tblCellMar>
          <w:top w:w="0" w:type="dxa"/>
          <w:left w:w="0" w:type="dxa"/>
          <w:bottom w:w="0" w:type="dxa"/>
          <w:right w:w="0" w:type="dxa"/>
        </w:tblCellMar>
      </w:tblPr>
      <w:tblGrid>
        <w:gridCol w:w="565"/>
        <w:gridCol w:w="2025"/>
        <w:gridCol w:w="124"/>
      </w:tblGrid>
      <w:tr>
        <w:trPr/>
        <w:tc>
          <w:tcPr>
            <w:tcW w:w="2714" w:type="dxa"/>
            <w:gridSpan w:val="3"/>
            <w:tcBorders/>
            <w:vAlign w:val="center"/>
          </w:tcPr>
          <w:p>
            <w:pPr>
              <w:pStyle w:val="TableContents"/>
              <w:bidi w:val="0"/>
              <w:spacing w:before="0" w:after="283"/>
              <w:jc w:val="left"/>
              <w:rPr/>
            </w:pPr>
            <w:r>
              <w:rPr/>
              <w:t>Steel Connect LLC</w:t>
            </w:r>
          </w:p>
        </w:tc>
      </w:tr>
      <w:tr>
        <w:trPr/>
        <w:tc>
          <w:tcPr>
            <w:tcW w:w="2714" w:type="dxa"/>
            <w:gridSpan w:val="3"/>
            <w:tcBorders/>
            <w:vAlign w:val="center"/>
          </w:tcPr>
          <w:p>
            <w:pPr>
              <w:pStyle w:val="TableContents"/>
              <w:bidi w:val="0"/>
              <w:spacing w:before="0" w:after="283"/>
              <w:jc w:val="left"/>
              <w:rPr/>
            </w:pPr>
            <w:r>
              <w:rPr/>
              <w:t> </w:t>
            </w:r>
          </w:p>
        </w:tc>
      </w:tr>
      <w:tr>
        <w:trPr/>
        <w:tc>
          <w:tcPr>
            <w:tcW w:w="565" w:type="dxa"/>
            <w:tcBorders/>
            <w:vAlign w:val="center"/>
          </w:tcPr>
          <w:p>
            <w:pPr>
              <w:pStyle w:val="TableContents"/>
              <w:bidi w:val="0"/>
              <w:spacing w:before="0" w:after="283"/>
              <w:jc w:val="left"/>
              <w:rPr/>
            </w:pPr>
            <w:r>
              <w:rPr/>
              <w:t>By:</w:t>
            </w:r>
          </w:p>
        </w:tc>
        <w:tc>
          <w:tcPr>
            <w:tcW w:w="2025"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Maria Reda</w:t>
            </w:r>
          </w:p>
        </w:tc>
        <w:tc>
          <w:tcPr>
            <w:tcW w:w="124" w:type="dxa"/>
            <w:tcBorders/>
            <w:vAlign w:val="center"/>
          </w:tcPr>
          <w:p>
            <w:pPr>
              <w:pStyle w:val="TableContents"/>
              <w:bidi w:val="0"/>
              <w:spacing w:before="0" w:after="283"/>
              <w:jc w:val="left"/>
              <w:rPr/>
            </w:pPr>
            <w:r>
              <w:rPr/>
              <w:t> </w:t>
            </w:r>
          </w:p>
        </w:tc>
      </w:tr>
      <w:tr>
        <w:trPr/>
        <w:tc>
          <w:tcPr>
            <w:tcW w:w="565" w:type="dxa"/>
            <w:tcBorders/>
            <w:vAlign w:val="center"/>
          </w:tcPr>
          <w:p>
            <w:pPr>
              <w:pStyle w:val="TableContents"/>
              <w:bidi w:val="0"/>
              <w:spacing w:before="0" w:after="283"/>
              <w:jc w:val="left"/>
              <w:rPr/>
            </w:pPr>
            <w:r>
              <w:rPr/>
              <w:t> </w:t>
            </w:r>
          </w:p>
        </w:tc>
        <w:tc>
          <w:tcPr>
            <w:tcW w:w="2149" w:type="dxa"/>
            <w:gridSpan w:val="2"/>
            <w:tcBorders/>
            <w:vAlign w:val="center"/>
          </w:tcPr>
          <w:p>
            <w:pPr>
              <w:pStyle w:val="TableContents"/>
              <w:bidi w:val="0"/>
              <w:spacing w:before="0" w:after="283"/>
              <w:jc w:val="left"/>
              <w:rPr/>
            </w:pPr>
            <w:r>
              <w:rPr/>
              <w:t>Maria Reda, Secretary</w:t>
            </w:r>
          </w:p>
        </w:tc>
      </w:tr>
      <w:tr>
        <w:trPr/>
        <w:tc>
          <w:tcPr>
            <w:tcW w:w="565" w:type="dxa"/>
            <w:tcBorders/>
            <w:vAlign w:val="center"/>
          </w:tcPr>
          <w:p>
            <w:pPr>
              <w:pStyle w:val="TableContents"/>
              <w:bidi w:val="0"/>
              <w:spacing w:before="0" w:after="283"/>
              <w:jc w:val="left"/>
              <w:rPr/>
            </w:pPr>
            <w:r>
              <w:rPr/>
              <w:t>Date:</w:t>
            </w:r>
          </w:p>
        </w:tc>
        <w:tc>
          <w:tcPr>
            <w:tcW w:w="2149" w:type="dxa"/>
            <w:gridSpan w:val="2"/>
            <w:tcBorders/>
            <w:vAlign w:val="center"/>
          </w:tcPr>
          <w:p>
            <w:pPr>
              <w:pStyle w:val="TableContents"/>
              <w:bidi w:val="0"/>
              <w:spacing w:before="0" w:after="283"/>
              <w:jc w:val="left"/>
              <w:rPr/>
            </w:pPr>
            <w:r>
              <w:rPr/>
              <w:t>09/03/2026</w:t>
            </w:r>
          </w:p>
        </w:tc>
      </w:tr>
    </w:tbl>
    <w:p>
      <w:pPr>
        <w:pStyle w:val="TextBody"/>
        <w:bidi w:val="0"/>
        <w:jc w:val="left"/>
        <w:rPr>
          <w:caps w:val="false"/>
          <w:smallCaps w:val="false"/>
        </w:rPr>
      </w:pPr>
      <w:r>
        <w:rPr>
          <w:caps w:val="false"/>
          <w:smallCaps w:val="false"/>
        </w:rPr>
        <w:t> </w:t>
      </w:r>
    </w:p>
    <w:tbl>
      <w:tblPr>
        <w:tblW w:w="2943" w:type="dxa"/>
        <w:jc w:val="left"/>
        <w:tblInd w:w="0" w:type="dxa"/>
        <w:tblLayout w:type="fixed"/>
        <w:tblCellMar>
          <w:top w:w="0" w:type="dxa"/>
          <w:left w:w="0" w:type="dxa"/>
          <w:bottom w:w="0" w:type="dxa"/>
          <w:right w:w="0" w:type="dxa"/>
        </w:tblCellMar>
      </w:tblPr>
      <w:tblGrid>
        <w:gridCol w:w="794"/>
        <w:gridCol w:w="2024"/>
        <w:gridCol w:w="125"/>
      </w:tblGrid>
      <w:tr>
        <w:trPr/>
        <w:tc>
          <w:tcPr>
            <w:tcW w:w="2943" w:type="dxa"/>
            <w:gridSpan w:val="3"/>
            <w:tcBorders/>
            <w:vAlign w:val="center"/>
          </w:tcPr>
          <w:p>
            <w:pPr>
              <w:pStyle w:val="TableContents"/>
              <w:bidi w:val="0"/>
              <w:spacing w:before="0" w:after="283"/>
              <w:jc w:val="left"/>
              <w:rPr/>
            </w:pPr>
            <w:r>
              <w:rPr/>
              <w:t>SP Strategic Holdings LLC</w:t>
            </w:r>
          </w:p>
        </w:tc>
      </w:tr>
      <w:tr>
        <w:trPr/>
        <w:tc>
          <w:tcPr>
            <w:tcW w:w="2943" w:type="dxa"/>
            <w:gridSpan w:val="3"/>
            <w:tcBorders/>
            <w:vAlign w:val="center"/>
          </w:tcPr>
          <w:p>
            <w:pPr>
              <w:pStyle w:val="TableContents"/>
              <w:bidi w:val="0"/>
              <w:spacing w:before="0" w:after="283"/>
              <w:jc w:val="left"/>
              <w:rPr/>
            </w:pPr>
            <w:r>
              <w:rPr/>
              <w:t> </w:t>
            </w:r>
          </w:p>
        </w:tc>
      </w:tr>
      <w:tr>
        <w:trPr/>
        <w:tc>
          <w:tcPr>
            <w:tcW w:w="794" w:type="dxa"/>
            <w:tcBorders/>
            <w:vAlign w:val="center"/>
          </w:tcPr>
          <w:p>
            <w:pPr>
              <w:pStyle w:val="TableContents"/>
              <w:bidi w:val="0"/>
              <w:spacing w:before="0" w:after="283"/>
              <w:jc w:val="left"/>
              <w:rPr/>
            </w:pPr>
            <w:r>
              <w:rPr/>
              <w:t>By:</w:t>
            </w:r>
          </w:p>
        </w:tc>
        <w:tc>
          <w:tcPr>
            <w:tcW w:w="2024"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Maria Reda</w:t>
            </w:r>
          </w:p>
        </w:tc>
        <w:tc>
          <w:tcPr>
            <w:tcW w:w="125" w:type="dxa"/>
            <w:tcBorders/>
            <w:vAlign w:val="center"/>
          </w:tcPr>
          <w:p>
            <w:pPr>
              <w:pStyle w:val="TableContents"/>
              <w:bidi w:val="0"/>
              <w:spacing w:before="0" w:after="283"/>
              <w:jc w:val="left"/>
              <w:rPr/>
            </w:pPr>
            <w:r>
              <w:rPr/>
              <w:t> </w:t>
            </w:r>
          </w:p>
        </w:tc>
      </w:tr>
      <w:tr>
        <w:trPr/>
        <w:tc>
          <w:tcPr>
            <w:tcW w:w="794" w:type="dxa"/>
            <w:tcBorders/>
            <w:vAlign w:val="center"/>
          </w:tcPr>
          <w:p>
            <w:pPr>
              <w:pStyle w:val="TableContents"/>
              <w:bidi w:val="0"/>
              <w:spacing w:before="0" w:after="283"/>
              <w:jc w:val="left"/>
              <w:rPr/>
            </w:pPr>
            <w:r>
              <w:rPr/>
              <w:t> </w:t>
            </w:r>
          </w:p>
        </w:tc>
        <w:tc>
          <w:tcPr>
            <w:tcW w:w="2149" w:type="dxa"/>
            <w:gridSpan w:val="2"/>
            <w:tcBorders/>
            <w:vAlign w:val="center"/>
          </w:tcPr>
          <w:p>
            <w:pPr>
              <w:pStyle w:val="TableContents"/>
              <w:bidi w:val="0"/>
              <w:spacing w:before="0" w:after="283"/>
              <w:jc w:val="left"/>
              <w:rPr/>
            </w:pPr>
            <w:r>
              <w:rPr/>
              <w:t>Maria Reda, Secretary</w:t>
            </w:r>
          </w:p>
        </w:tc>
      </w:tr>
      <w:tr>
        <w:trPr/>
        <w:tc>
          <w:tcPr>
            <w:tcW w:w="794" w:type="dxa"/>
            <w:tcBorders/>
            <w:vAlign w:val="center"/>
          </w:tcPr>
          <w:p>
            <w:pPr>
              <w:pStyle w:val="TableContents"/>
              <w:bidi w:val="0"/>
              <w:spacing w:before="0" w:after="283"/>
              <w:jc w:val="left"/>
              <w:rPr/>
            </w:pPr>
            <w:r>
              <w:rPr/>
              <w:t>Date:</w:t>
            </w:r>
          </w:p>
        </w:tc>
        <w:tc>
          <w:tcPr>
            <w:tcW w:w="2149" w:type="dxa"/>
            <w:gridSpan w:val="2"/>
            <w:tcBorders/>
            <w:vAlign w:val="center"/>
          </w:tcPr>
          <w:p>
            <w:pPr>
              <w:pStyle w:val="TableContents"/>
              <w:bidi w:val="0"/>
              <w:spacing w:before="0" w:after="283"/>
              <w:jc w:val="left"/>
              <w:rPr/>
            </w:pPr>
            <w:r>
              <w:rPr/>
              <w:t>09/03/2026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3802</Words>
  <Characters>20298</Characters>
  <CharactersWithSpaces>23799</CharactersWithSpaces>
  <Paragraphs>617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