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before="0" w:after="0"/>
        <w:jc w:val="center"/>
        <w:rPr/>
      </w:pPr>
      <w:r>
        <w:rPr/>
      </w:r>
    </w:p>
    <w:tbl>
      <w:tblPr>
        <w:tblW w:w="2363" w:type="dxa"/>
        <w:jc w:val="center"/>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August 10,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42"/>
        </w:rPr>
        <w:t>KLX ENER</w:t>
      </w:r>
      <w:r>
        <w:rPr>
          <w:rFonts w:ascii="Times New Roman;serif" w:hAnsi="Times New Roman;serif"/>
          <w:b/>
          <w:color w:val="000000"/>
          <w:sz w:val="43"/>
        </w:rPr>
        <w:t>G</w:t>
      </w:r>
      <w:r>
        <w:rPr>
          <w:rFonts w:ascii="Times New Roman;serif" w:hAnsi="Times New Roman;serif"/>
          <w:b/>
          <w:color w:val="000000"/>
          <w:sz w:val="42"/>
        </w:rPr>
        <w:t>Y SERVICES HOLDINGS,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Charter)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w:t>
      </w:r>
    </w:p>
    <w:p>
      <w:pPr>
        <w:pStyle w:val="TextBody"/>
        <w:bidi w:val="0"/>
        <w:spacing w:before="0" w:after="0"/>
        <w:jc w:val="center"/>
        <w:rPr/>
      </w:pPr>
      <w:r>
        <w:rPr/>
      </w:r>
    </w:p>
    <w:tbl>
      <w:tblPr>
        <w:tblW w:w="8429" w:type="dxa"/>
        <w:jc w:val="center"/>
        <w:tblInd w:w="0" w:type="dxa"/>
        <w:tblLayout w:type="fixed"/>
        <w:tblCellMar>
          <w:top w:w="28" w:type="dxa"/>
          <w:left w:w="28" w:type="dxa"/>
          <w:bottom w:w="28" w:type="dxa"/>
          <w:right w:w="28" w:type="dxa"/>
        </w:tblCellMar>
      </w:tblPr>
      <w:tblGrid>
        <w:gridCol w:w="1031"/>
        <w:gridCol w:w="905"/>
        <w:gridCol w:w="914"/>
        <w:gridCol w:w="1105"/>
        <w:gridCol w:w="1105"/>
        <w:gridCol w:w="1120"/>
        <w:gridCol w:w="657"/>
        <w:gridCol w:w="657"/>
        <w:gridCol w:w="935"/>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Delaware</w:t>
            </w:r>
          </w:p>
        </w:tc>
        <w:tc>
          <w:tcPr>
            <w:tcW w:w="33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001-38609</w:t>
            </w:r>
          </w:p>
        </w:tc>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36-4904146</w:t>
            </w:r>
          </w:p>
        </w:tc>
      </w:tr>
      <w:tr>
        <w:trPr/>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 Incorporation)</w:t>
            </w:r>
          </w:p>
        </w:tc>
        <w:tc>
          <w:tcPr>
            <w:tcW w:w="33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(Commission File Number)</w:t>
            </w:r>
          </w:p>
        </w:tc>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(I.R.S. Employer Identification No.)</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3040 Post Oak Boulevard, 15th Floor</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Houston, Texas 77056</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(Address of Principal Executive Offices, and Zip Code)</w:t>
            </w:r>
          </w:p>
        </w:tc>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(832) 844-1015</w:t>
            </w:r>
          </w:p>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(Registrant’s Telephone Number, Including Area Code)</w:t>
            </w:r>
          </w:p>
        </w:tc>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(Former address, if changed since last report)</w:t>
            </w:r>
          </w:p>
        </w:tc>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326"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4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c>
      </w:tr>
    </w:tbl>
    <w:p>
      <w:pPr>
        <w:pStyle w:val="TextBody"/>
        <w:bidi w:val="0"/>
        <w:spacing w:before="0" w:after="0"/>
        <w:ind w:left="0" w:right="0" w:hanging="64"/>
        <w:jc w:val="left"/>
        <w:rPr/>
      </w:pPr>
      <w:r>
        <w:rPr/>
      </w:r>
    </w:p>
    <w:tbl>
      <w:tblPr>
        <w:tblW w:w="6713" w:type="dxa"/>
        <w:jc w:val="center"/>
        <w:tblInd w:w="0" w:type="dxa"/>
        <w:tblLayout w:type="fixed"/>
        <w:tblCellMar>
          <w:top w:w="28" w:type="dxa"/>
          <w:left w:w="28" w:type="dxa"/>
          <w:bottom w:w="28" w:type="dxa"/>
          <w:right w:w="28" w:type="dxa"/>
        </w:tblCellMar>
      </w:tblPr>
      <w:tblGrid>
        <w:gridCol w:w="948"/>
        <w:gridCol w:w="835"/>
        <w:gridCol w:w="842"/>
        <w:gridCol w:w="109"/>
        <w:gridCol w:w="109"/>
        <w:gridCol w:w="109"/>
        <w:gridCol w:w="229"/>
        <w:gridCol w:w="229"/>
        <w:gridCol w:w="231"/>
        <w:gridCol w:w="109"/>
        <w:gridCol w:w="109"/>
        <w:gridCol w:w="109"/>
        <w:gridCol w:w="801"/>
        <w:gridCol w:w="801"/>
        <w:gridCol w:w="1143"/>
      </w:tblGrid>
      <w:tr>
        <w:trPr/>
        <w:tc>
          <w:tcPr>
            <w:tcW w:w="94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Trading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Name of each exchange</w:t>
            </w:r>
          </w:p>
        </w:tc>
      </w:tr>
      <w:tr>
        <w:trPr/>
        <w:tc>
          <w:tcPr>
            <w:tcW w:w="26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on which registered</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KLXE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The Nasdaq Global Select Market</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w:t>
      </w:r>
    </w:p>
    <w:p>
      <w:pPr>
        <w:pStyle w:val="TextBody"/>
        <w:bidi w:val="0"/>
        <w:spacing w:before="0" w:after="0"/>
        <w:jc w:val="center"/>
        <w:rPr/>
      </w:pPr>
      <w:r>
        <w:rPr/>
      </w:r>
    </w:p>
    <w:p>
      <w:pPr>
        <w:pStyle w:val="TextBody"/>
        <w:bidi w:val="0"/>
        <w:spacing w:lineRule="auto" w:line="326"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tbl>
      <w:tblPr>
        <w:tblW w:w="2427" w:type="dxa"/>
        <w:jc w:val="left"/>
        <w:tblInd w:w="0" w:type="dxa"/>
        <w:tblLayout w:type="fixed"/>
        <w:tblCellMar>
          <w:top w:w="28" w:type="dxa"/>
          <w:left w:w="28" w:type="dxa"/>
          <w:bottom w:w="28" w:type="dxa"/>
          <w:right w:w="28" w:type="dxa"/>
        </w:tblCellMar>
      </w:tblPr>
      <w:tblGrid>
        <w:gridCol w:w="124"/>
        <w:gridCol w:w="109"/>
        <w:gridCol w:w="109"/>
        <w:gridCol w:w="610"/>
        <w:gridCol w:w="610"/>
        <w:gridCol w:w="8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4"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2.02 Results of Operations and Financial Condition.</w:t>
      </w:r>
    </w:p>
    <w:p>
      <w:pPr>
        <w:pStyle w:val="TextBody"/>
        <w:bidi w:val="0"/>
        <w:spacing w:before="0" w:after="0"/>
        <w:jc w:val="left"/>
        <w:rPr/>
      </w:pPr>
      <w:r>
        <w:rPr/>
      </w:r>
    </w:p>
    <w:p>
      <w:pPr>
        <w:pStyle w:val="TextBody"/>
        <w:bidi w:val="0"/>
        <w:spacing w:lineRule="auto" w:line="360" w:before="0" w:after="0"/>
        <w:jc w:val="both"/>
        <w:rPr>
          <w:rFonts w:ascii="Times New Roman;serif" w:hAnsi="Times New Roman;serif"/>
          <w:b w:val="false"/>
          <w:color w:val="000000"/>
          <w:sz w:val="18"/>
        </w:rPr>
      </w:pPr>
      <w:r>
        <w:rPr>
          <w:rFonts w:ascii="Times New Roman;serif" w:hAnsi="Times New Roman;serif"/>
          <w:b w:val="false"/>
          <w:color w:val="000000"/>
          <w:sz w:val="18"/>
        </w:rPr>
        <w:t>On August 10, 2026, KLX Energy Services Holdings, Inc. (“KLXE” or the “Company”) issued a press release (the “Press Release”) to report its financial results for the second quarter ended June 30, 2026. KLXE is hereby furnishing the Press Release, which is included as Exhibit 99.1 hereto, pursuant to Item 2.02 of Form 8-K.</w:t>
      </w:r>
    </w:p>
    <w:p>
      <w:pPr>
        <w:pStyle w:val="TextBody"/>
        <w:bidi w:val="0"/>
        <w:spacing w:before="0" w:after="0"/>
        <w:jc w:val="left"/>
        <w:rPr/>
      </w:pPr>
      <w:r>
        <w:rPr/>
      </w:r>
    </w:p>
    <w:p>
      <w:pPr>
        <w:pStyle w:val="TextBody"/>
        <w:bidi w:val="0"/>
        <w:spacing w:lineRule="auto" w:line="360" w:before="0" w:after="0"/>
        <w:jc w:val="both"/>
        <w:rPr>
          <w:rFonts w:ascii="Times New Roman;serif" w:hAnsi="Times New Roman;serif"/>
          <w:b w:val="false"/>
          <w:color w:val="000000"/>
          <w:sz w:val="18"/>
        </w:rPr>
      </w:pPr>
      <w:r>
        <w:rPr>
          <w:rFonts w:ascii="Times New Roman;serif" w:hAnsi="Times New Roman;serif"/>
          <w:b w:val="false"/>
          <w:color w:val="000000"/>
          <w:sz w:val="18"/>
        </w:rPr>
        <w:t>In accordance with General Instruction B.2 of Form 8-K, the information furnished pursuant to this Item 2.02, and including Exhibit 99.1 furnished herewith, shall not be deemed “filed” for purposes of Section 18 of the Exchange Act, nor shall it be deemed incorporated by reference in any filing under the Securities Act or the Exchange Act, except as shall be expressly set forth by specific reference in such a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7.01. Regulation FD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information set forth under Item 2.02 above is incorporated by reference into this Item 7.01.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9.01 Financial Statements and Exhibits.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 Exhibits</w:t>
      </w:r>
    </w:p>
    <w:p>
      <w:pPr>
        <w:pStyle w:val="TextBody"/>
        <w:bidi w:val="0"/>
        <w:spacing w:before="0" w:after="0"/>
        <w:jc w:val="left"/>
        <w:rPr/>
      </w:pPr>
      <w:r>
        <w:rPr/>
      </w:r>
    </w:p>
    <w:tbl>
      <w:tblPr>
        <w:tblW w:w="9027"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340"/>
        <w:gridCol w:w="2340"/>
        <w:gridCol w:w="331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331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Description</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klxeq22026earningsreleasee.htm">
              <w:r>
                <w:rPr>
                  <w:rStyle w:val="InternetLink"/>
                  <w:rFonts w:ascii="Times New Roman;serif" w:hAnsi="Times New Roman;serif"/>
                  <w:b w:val="false"/>
                  <w:color w:val="0000FF"/>
                  <w:sz w:val="18"/>
                  <w:u w:val="single"/>
                </w:rPr>
                <w:t>Press Release, dated August 10, 2026</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 the cover page iXBRL tags are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SIGNATURE</w:t>
      </w:r>
    </w:p>
    <w:p>
      <w:pPr>
        <w:pStyle w:val="TextBody"/>
        <w:bidi w:val="0"/>
        <w:spacing w:before="0" w:after="0"/>
        <w:jc w:val="left"/>
        <w:rPr/>
      </w:pPr>
      <w:r>
        <w:rPr/>
      </w:r>
    </w:p>
    <w:p>
      <w:pPr>
        <w:pStyle w:val="TextBody"/>
        <w:bidi w:val="0"/>
        <w:spacing w:lineRule="auto" w:line="326" w:before="0" w:after="0"/>
        <w:jc w:val="both"/>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as amended, the registrant has duly caused this report to be signed on its behalf by the undersigned, thereunto duly authorized.</w:t>
      </w:r>
    </w:p>
    <w:p>
      <w:pPr>
        <w:pStyle w:val="TextBody"/>
        <w:bidi w:val="0"/>
        <w:spacing w:before="0" w:after="0"/>
        <w:jc w:val="left"/>
        <w:rPr/>
      </w:pPr>
      <w:r>
        <w:rPr/>
      </w:r>
    </w:p>
    <w:tbl>
      <w:tblPr>
        <w:tblW w:w="7776" w:type="dxa"/>
        <w:jc w:val="left"/>
        <w:tblInd w:w="0" w:type="dxa"/>
        <w:tblLayout w:type="fixed"/>
        <w:tblCellMar>
          <w:top w:w="28" w:type="dxa"/>
          <w:left w:w="28" w:type="dxa"/>
          <w:bottom w:w="28" w:type="dxa"/>
          <w:right w:w="28" w:type="dxa"/>
        </w:tblCellMar>
      </w:tblPr>
      <w:tblGrid>
        <w:gridCol w:w="124"/>
        <w:gridCol w:w="109"/>
        <w:gridCol w:w="109"/>
        <w:gridCol w:w="433"/>
        <w:gridCol w:w="433"/>
        <w:gridCol w:w="433"/>
        <w:gridCol w:w="1784"/>
        <w:gridCol w:w="1784"/>
        <w:gridCol w:w="25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25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KLX Energy Services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6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 Geoffrey C. Stanford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6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Geoffrey C. Stanford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6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Senior Vice President, Interim Chief Financial Officer and Chief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Date:</w:t>
            </w:r>
          </w:p>
        </w:tc>
        <w:tc>
          <w:tcPr>
            <w:tcW w:w="6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August 10,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left"/>
        <w:rPr>
          <w:rFonts w:ascii="Times New Roman;serif" w:hAnsi="Times New Roman;serif"/>
          <w:b/>
          <w:i/>
          <w:color w:val="000000"/>
          <w:sz w:val="56"/>
        </w:rPr>
      </w:pPr>
      <w:r>
        <w:rPr>
          <w:rFonts w:ascii="Times New Roman;serif" w:hAnsi="Times New Roman;serif"/>
          <w:b/>
          <w:i/>
          <w:color w:val="000000"/>
          <w:sz w:val="56"/>
        </w:rPr>
        <w:t>NEWS RELEASE</w:t>
      </w:r>
    </w:p>
    <w:p>
      <w:pPr>
        <w:pStyle w:val="TextBody"/>
        <w:bidi w:val="0"/>
        <w:spacing w:lineRule="auto" w:line="288" w:before="0" w:after="0"/>
        <w:jc w:val="left"/>
        <w:rPr/>
      </w:pPr>
      <w:r>
        <w:rPr>
          <w:rFonts w:ascii="Times New Roman;serif" w:hAnsi="Times New Roman;serif"/>
          <w:b w:val="false"/>
          <w:color w:val="000000"/>
          <w:sz w:val="18"/>
        </w:rPr>
        <w:t>Contacts:</w:t>
      </w:r>
      <w:r>
        <w:rPr>
          <w:color w:val="000000"/>
        </w:rPr>
        <w:t>    </w:t>
      </w:r>
      <w:r>
        <w:rPr>
          <w:rFonts w:ascii="Times New Roman;serif" w:hAnsi="Times New Roman;serif"/>
          <w:b w:val="false"/>
          <w:color w:val="000000"/>
          <w:sz w:val="18"/>
        </w:rPr>
        <w:t>KLX Energy Services Holdings, Inc.</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Geoffrey C. Stanford, SVP, Interim CFO &amp; CAO</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832-930-8066</w:t>
      </w:r>
    </w:p>
    <w:p>
      <w:pPr>
        <w:pStyle w:val="TextBody"/>
        <w:bidi w:val="0"/>
        <w:spacing w:lineRule="auto" w:line="288" w:before="0" w:after="0"/>
        <w:jc w:val="left"/>
        <w:rPr>
          <w:rFonts w:ascii="Times New Roman;serif" w:hAnsi="Times New Roman;serif"/>
          <w:b w:val="false"/>
          <w:color w:val="0000FF"/>
          <w:sz w:val="18"/>
          <w:u w:val="single"/>
        </w:rPr>
      </w:pPr>
      <w:r>
        <w:rPr>
          <w:rFonts w:ascii="Times New Roman;serif" w:hAnsi="Times New Roman;serif"/>
          <w:b w:val="false"/>
          <w:color w:val="0000FF"/>
          <w:sz w:val="18"/>
          <w:u w:val="single"/>
        </w:rPr>
        <w:t>IR@klx.com</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Dennard Lascar Investor Relations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Ken Dennard / Natalie Hairston</w:t>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713-529-6600</w:t>
      </w:r>
    </w:p>
    <w:p>
      <w:pPr>
        <w:pStyle w:val="TextBody"/>
        <w:bidi w:val="0"/>
        <w:spacing w:lineRule="auto" w:line="288" w:before="0" w:after="0"/>
        <w:jc w:val="left"/>
        <w:rPr>
          <w:rFonts w:ascii="Times New Roman;serif" w:hAnsi="Times New Roman;serif"/>
          <w:b w:val="false"/>
          <w:color w:val="0000FF"/>
          <w:sz w:val="18"/>
          <w:u w:val="single"/>
        </w:rPr>
      </w:pPr>
      <w:r>
        <w:rPr>
          <w:rFonts w:ascii="Times New Roman;serif" w:hAnsi="Times New Roman;serif"/>
          <w:b w:val="false"/>
          <w:color w:val="0000FF"/>
          <w:sz w:val="18"/>
          <w:u w:val="single"/>
        </w:rPr>
        <w:t>KLXE@dennardlascar.com</w:t>
      </w:r>
    </w:p>
    <w:p>
      <w:pPr>
        <w:pStyle w:val="TextBody"/>
        <w:bidi w:val="0"/>
        <w:spacing w:before="0" w:after="0"/>
        <w:jc w:val="left"/>
        <w:rPr/>
      </w:pPr>
      <w:r>
        <w:rPr/>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KLX ENERGY SERVICES HOLDINGS, INC. REPORTS SECOND QUARTER 2026 RESULTS</w:t>
      </w:r>
    </w:p>
    <w:p>
      <w:pPr>
        <w:pStyle w:val="TextBody"/>
        <w:bidi w:val="0"/>
        <w:spacing w:before="0" w:after="0"/>
        <w:jc w:val="center"/>
        <w:rPr/>
      </w:pPr>
      <w:r>
        <w:rPr/>
      </w:r>
    </w:p>
    <w:p>
      <w:pPr>
        <w:pStyle w:val="TextBody"/>
        <w:bidi w:val="0"/>
        <w:spacing w:lineRule="auto" w:line="417" w:before="0" w:after="0"/>
        <w:jc w:val="both"/>
        <w:rPr/>
      </w:pPr>
      <w:r>
        <w:rPr>
          <w:rFonts w:ascii="Times New Roman;serif" w:hAnsi="Times New Roman;serif"/>
          <w:b/>
          <w:color w:val="000000"/>
          <w:sz w:val="20"/>
        </w:rPr>
        <w:t xml:space="preserve">HOUSTON, TX - August 10, 2026 - KLX Energy Services Holdings, Inc. (Nasdaq: KLXE) </w:t>
      </w:r>
      <w:r>
        <w:rPr>
          <w:rFonts w:ascii="Times New Roman;serif" w:hAnsi="Times New Roman;serif"/>
          <w:b w:val="false"/>
          <w:color w:val="000000"/>
          <w:sz w:val="20"/>
        </w:rPr>
        <w:t>(“KLX”, the “Company”, “we”, “us” or “our”) today reported financial results for the second quarter ended June 30, 2026.</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Second Quarter 2026 Financial and Operational Highlights</w:t>
      </w:r>
    </w:p>
    <w:p>
      <w:pPr>
        <w:pStyle w:val="TextBody"/>
        <w:bidi w:val="0"/>
        <w:spacing w:before="0" w:after="0"/>
        <w:jc w:val="both"/>
        <w:rPr/>
      </w:pPr>
      <w:r>
        <w:rPr/>
      </w:r>
    </w:p>
    <w:p>
      <w:pPr>
        <w:pStyle w:val="TextBody"/>
        <w:bidi w:val="0"/>
        <w:spacing w:lineRule="auto" w:line="417" w:before="0" w:after="0"/>
        <w:ind w:left="0" w:right="0" w:hanging="360"/>
        <w:jc w:val="left"/>
        <w:rPr/>
      </w:pPr>
      <w:r>
        <w:rPr>
          <w:color w:val="000000"/>
        </w:rPr>
        <w:t>•</w:t>
      </w:r>
      <w:r>
        <w:rPr>
          <w:rFonts w:ascii="Times New Roman;serif" w:hAnsi="Times New Roman;serif"/>
          <w:b w:val="false"/>
          <w:color w:val="000000"/>
          <w:sz w:val="20"/>
        </w:rPr>
        <w:t>Revenue of $167 million, a 16% increase over first quarter 2026</w:t>
      </w:r>
    </w:p>
    <w:p>
      <w:pPr>
        <w:pStyle w:val="TextBody"/>
        <w:bidi w:val="0"/>
        <w:spacing w:lineRule="auto" w:line="417" w:before="0" w:after="0"/>
        <w:ind w:left="0" w:right="0" w:hanging="360"/>
        <w:jc w:val="left"/>
        <w:rPr/>
      </w:pPr>
      <w:r>
        <w:rPr>
          <w:color w:val="000000"/>
        </w:rPr>
        <w:t>•</w:t>
      </w:r>
      <w:r>
        <w:rPr>
          <w:rFonts w:ascii="Times New Roman;serif" w:hAnsi="Times New Roman;serif"/>
          <w:b w:val="false"/>
          <w:color w:val="000000"/>
          <w:sz w:val="20"/>
        </w:rPr>
        <w:t>Net loss of $(8) million and diluted loss per share of $(0.41), improved 65% and 67% over first quarter 2026, respectively</w:t>
      </w:r>
    </w:p>
    <w:p>
      <w:pPr>
        <w:pStyle w:val="TextBody"/>
        <w:bidi w:val="0"/>
        <w:spacing w:lineRule="auto" w:line="417" w:before="0" w:after="0"/>
        <w:ind w:left="0" w:right="0" w:hanging="360"/>
        <w:jc w:val="left"/>
        <w:rPr/>
      </w:pPr>
      <w:r>
        <w:rPr>
          <w:color w:val="000000"/>
        </w:rPr>
        <w:t>•</w:t>
      </w:r>
      <w:r>
        <w:rPr>
          <w:rFonts w:ascii="Times New Roman;serif" w:hAnsi="Times New Roman;serif"/>
          <w:b w:val="false"/>
          <w:color w:val="000000"/>
          <w:sz w:val="20"/>
        </w:rPr>
        <w:t>Adjusted EBITDA of $19 million, a 68% increase over first quarter 2026</w:t>
      </w:r>
    </w:p>
    <w:p>
      <w:pPr>
        <w:pStyle w:val="TextBody"/>
        <w:bidi w:val="0"/>
        <w:spacing w:lineRule="auto" w:line="417" w:before="0" w:after="0"/>
        <w:ind w:left="0" w:right="0" w:hanging="360"/>
        <w:jc w:val="left"/>
        <w:rPr/>
      </w:pPr>
      <w:r>
        <w:rPr>
          <w:color w:val="000000"/>
        </w:rPr>
        <w:t>•</w:t>
      </w:r>
      <w:r>
        <w:rPr>
          <w:rFonts w:ascii="Times New Roman;serif" w:hAnsi="Times New Roman;serif"/>
          <w:b w:val="false"/>
          <w:color w:val="000000"/>
          <w:sz w:val="20"/>
        </w:rPr>
        <w:t>Net loss margin of (5)%, an improvement of 70% over first quarter 2026</w:t>
      </w:r>
    </w:p>
    <w:p>
      <w:pPr>
        <w:pStyle w:val="TextBody"/>
        <w:bidi w:val="0"/>
        <w:spacing w:lineRule="auto" w:line="417" w:before="0" w:after="0"/>
        <w:ind w:left="0" w:right="0" w:hanging="360"/>
        <w:jc w:val="left"/>
        <w:rPr/>
      </w:pPr>
      <w:r>
        <w:rPr>
          <w:color w:val="000000"/>
        </w:rPr>
        <w:t>•</w:t>
      </w:r>
      <w:r>
        <w:rPr>
          <w:rFonts w:ascii="Times New Roman;serif" w:hAnsi="Times New Roman;serif"/>
          <w:b w:val="false"/>
          <w:color w:val="000000"/>
          <w:sz w:val="20"/>
        </w:rPr>
        <w:t>Adjusted EBITDA margin of 11%, a 46% increase over first quarter 2026</w:t>
      </w:r>
    </w:p>
    <w:p>
      <w:pPr>
        <w:pStyle w:val="TextBody"/>
        <w:bidi w:val="0"/>
        <w:spacing w:lineRule="auto" w:line="417" w:before="0" w:after="0"/>
        <w:ind w:left="0" w:right="0" w:hanging="360"/>
        <w:jc w:val="left"/>
        <w:rPr/>
      </w:pPr>
      <w:r>
        <w:rPr>
          <w:color w:val="000000"/>
        </w:rPr>
        <w:t>•</w:t>
      </w:r>
      <w:r>
        <w:rPr>
          <w:rFonts w:ascii="Times New Roman;serif" w:hAnsi="Times New Roman;serif"/>
          <w:b w:val="false"/>
          <w:color w:val="000000"/>
          <w:sz w:val="20"/>
        </w:rPr>
        <w:t>Total liquidity of $53 million, consisting of approximately $8 million of cash and cash equivalents</w:t>
      </w:r>
    </w:p>
    <w:p>
      <w:pPr>
        <w:pStyle w:val="TextBody"/>
        <w:bidi w:val="0"/>
        <w:spacing w:lineRule="auto" w:line="417" w:before="0" w:after="0"/>
        <w:ind w:left="0" w:right="0" w:hanging="360"/>
        <w:jc w:val="left"/>
        <w:rPr/>
      </w:pPr>
      <w:r>
        <w:rPr>
          <w:color w:val="000000"/>
        </w:rPr>
        <w:t>•</w:t>
      </w:r>
      <w:r>
        <w:rPr>
          <w:rFonts w:ascii="Times New Roman;serif" w:hAnsi="Times New Roman;serif"/>
          <w:b w:val="false"/>
          <w:color w:val="000000"/>
          <w:sz w:val="20"/>
        </w:rPr>
        <w:t>On June 2, 2026, closed the acquisition of Wolf Pack Rentals, LLC (the “Wolf Pack Acquisition”) and recorded a related bargain purchase gain of $6.5 million</w:t>
      </w:r>
    </w:p>
    <w:p>
      <w:pPr>
        <w:pStyle w:val="TextBody"/>
        <w:bidi w:val="0"/>
        <w:spacing w:before="0" w:after="0"/>
        <w:jc w:val="left"/>
        <w:rPr/>
      </w:pPr>
      <w:r>
        <w:rPr/>
      </w:r>
    </w:p>
    <w:p>
      <w:pPr>
        <w:pStyle w:val="TextBody"/>
        <w:bidi w:val="0"/>
        <w:spacing w:lineRule="auto" w:line="417" w:before="0" w:after="0"/>
        <w:jc w:val="both"/>
        <w:rPr>
          <w:rFonts w:ascii="Times New Roman;serif" w:hAnsi="Times New Roman;serif"/>
          <w:b w:val="false"/>
          <w:i/>
          <w:color w:val="000000"/>
          <w:sz w:val="20"/>
        </w:rPr>
      </w:pPr>
      <w:r>
        <w:rPr>
          <w:rFonts w:ascii="Times New Roman;serif" w:hAnsi="Times New Roman;serif"/>
          <w:b w:val="false"/>
          <w:i/>
          <w:color w:val="000000"/>
          <w:sz w:val="20"/>
        </w:rPr>
        <w:t>See “Non-GAAP Financial Measures” at the end of this release for a discussion of Adjusted EBITDA, Adjusted EBITDA margin, Adjusted Net Loss, Adjusted Diluted Loss per share, Unlevered and Levered Free Cash Flow, Net Working Capital, Net Debt and their reconciliations to the most directly comparable financial measure calculated and presented in accordance with U.S. generally accepted accounting principles (“GAAP”). We have not provided reconciliations of our future expectations as to Adjusted EBITDA or Adjusted EBITDA margin as such reconciliations are not available without unreasonable efforts.</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Chris Baker, KLX President and Chief Executive Officer, stated, “Our second quarter results were in line with our expectations. Revenue was $167 million, essentially at the midpoint of our guidance and up $23 million, or 16%, from the first quarter, inclusive of one month of contribution from the Wolf Pack Acquisition. Adjusted EBITDA was $19 million, up 68% sequentially, with margins improving to 11%. That step-up was driven by higher activity levels and better absorption of our cost structure, and Adjusted EBITDA also tracked with what we expected coming into the quarter.</w:t>
      </w:r>
    </w:p>
    <w:p>
      <w:pPr>
        <w:pStyle w:val="TextBody"/>
        <w:bidi w:val="0"/>
        <w:spacing w:before="0" w:after="0"/>
        <w:jc w:val="left"/>
        <w:rPr/>
      </w:pPr>
      <w:r>
        <w:rPr/>
      </w:r>
    </w:p>
    <w:p>
      <w:pPr>
        <w:pStyle w:val="TextBody"/>
        <w:bidi w:val="0"/>
        <w:spacing w:lineRule="auto" w:line="417"/>
        <w:jc w:val="both"/>
        <w:rPr>
          <w:color w:val="000000"/>
        </w:rPr>
      </w:pPr>
      <w:r>
        <w:rPr>
          <w:color w:val="000000"/>
        </w:rPr>
        <w:t>“</w:t>
      </w:r>
      <w:r>
        <w:rPr>
          <w:rFonts w:ascii="Times New Roman;serif" w:hAnsi="Times New Roman;serif"/>
          <w:b w:val="false"/>
          <w:color w:val="000000"/>
          <w:sz w:val="20"/>
        </w:rPr>
        <w:t xml:space="preserve">Wolf Pack contributed $3.4 million of revenue in June, implying a current annual revenue run-rate of $41 million, comparing favorably to their full year 2025 result. Integration has proceeded swiftly and seamlessly to date with numerous cross-selling opportunities driven by the combined team being realized. Our full-year synergy estimate has now increased to approximately $2.5 million. Excluding Wolf Pack, the base business grew more than 13% sequentially, outpacing the 5.8% increase in U.S. Land Rig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504190"/>
                <wp:effectExtent l="0" t="0" r="0" b="0"/>
                <wp:wrapNone/>
                <wp:docPr id="4" name="Frame4"/>
                <a:graphic xmlns:a="http://schemas.openxmlformats.org/drawingml/2006/main">
                  <a:graphicData uri="http://schemas.microsoft.com/office/word/2010/wordprocessingShape">
                    <wps:wsp>
                      <wps:cNvSpPr txBox="1"/>
                      <wps:spPr>
                        <a:xfrm>
                          <a:off x="0" y="0"/>
                          <a:ext cx="6480175" cy="504190"/>
                        </a:xfrm>
                        <a:prstGeom prst="rect"/>
                        <a:solidFill>
                          <a:srgbClr val="FFFFFF"/>
                        </a:solidFill>
                      </wps:spPr>
                      <wps:txbx>
                        <w:txbxContent>
                          <w:p>
                            <w:pPr>
                              <w:pStyle w:val="TextBody"/>
                              <w:bidi w:val="0"/>
                              <w:spacing w:lineRule="auto" w:line="331" w:before="0" w:after="200"/>
                              <w:jc w:val="right"/>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jc w:val="right"/>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Count, which reflects steady demand and solid execution across the portfolio led by sequential revenue growth in coiled tubing, directional drilling, technical services and accommodations.</w:t>
      </w:r>
    </w:p>
    <w:p>
      <w:pPr>
        <w:pStyle w:val="TextBody"/>
        <w:bidi w:val="0"/>
        <w:spacing w:before="0" w:after="0"/>
        <w:jc w:val="both"/>
        <w:rPr/>
      </w:pPr>
      <w:r>
        <w:rPr/>
      </w:r>
    </w:p>
    <w:p>
      <w:pPr>
        <w:pStyle w:val="TextBody"/>
        <w:bidi w:val="0"/>
        <w:spacing w:lineRule="auto" w:line="417" w:before="0" w:after="0"/>
        <w:jc w:val="both"/>
        <w:rPr>
          <w:color w:val="000000"/>
        </w:rPr>
      </w:pPr>
      <w:r>
        <w:rPr>
          <w:color w:val="000000"/>
        </w:rPr>
        <w:t>“</w:t>
      </w:r>
      <w:r>
        <w:rPr>
          <w:rFonts w:ascii="Times New Roman;serif" w:hAnsi="Times New Roman;serif"/>
          <w:b w:val="false"/>
          <w:color w:val="000000"/>
          <w:sz w:val="20"/>
        </w:rPr>
        <w:t>Looking ahead to the third quarter, we expect revenue in the range of $176 to $188 million, with a midpoint of $182 million, which is $15 million higher than the second quarter. Excluding Wolf Pack from both periods, the midpoint implies mid-single-digit sequential growth in the base business at a time when broader expectations are for flat activity. We expect margins to continue to increase as activity builds, driving better fixed cost absorption,” concluded Baker.</w:t>
      </w:r>
    </w:p>
    <w:p>
      <w:pPr>
        <w:pStyle w:val="TextBody"/>
        <w:bidi w:val="0"/>
        <w:spacing w:before="0" w:after="0"/>
        <w:jc w:val="left"/>
        <w:rPr/>
      </w:pPr>
      <w:r>
        <w:rPr/>
      </w: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Second Quarter 2026 Financial Results</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Revenue for the second quarter of 2026 totaled $167.3 million, an increase of 15.6% compared to the first quarter of 2026 revenue of $144.7 million. The increase in revenue reflects a seasonal market activity increase. On a product line basis, completion, drilling, production and intervention services contributed approximately 52%, 23%, 16% and 9%, respectively, to revenue for the second quarter of 2026.</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Net loss for the second quarter of 2026 was $(8.4) million, compared to the first quarter of 2026 net loss of $(24.0) million. Adjusted net loss for the second quarter of 2026 was $(13.2) million, compared to the first quarter of 2026 adjusted net loss of $(23.0) million. Adjusted EBITDA for the second quarter of 2026 was $18.7 million, compared to the first quarter of 2026 Adjusted EBITDA of $11.1 million. Adjusted EBITDA margin for the second quarter of 2026 was 11.2%, compared to the first quarter of 2026 Adjusted EBITDA margin of 7.7%.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Second Quarter 2026 Segment Results</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reports revenue, operating (loss) income and Adjusted EBITDA through three geographic business segments: Rocky Mountains, Southwest and Northeast/Mid-Con. The Company reports operating activities not attributable to an individual geographic business segment through the Corporate and other segment. Segment results are reported after inter-segment eliminations.</w:t>
      </w:r>
    </w:p>
    <w:p>
      <w:pPr>
        <w:pStyle w:val="TextBody"/>
        <w:bidi w:val="0"/>
        <w:spacing w:before="0" w:after="0"/>
        <w:jc w:val="both"/>
        <w:rPr/>
      </w:pPr>
      <w:r>
        <w:rPr/>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u w:val="single"/>
        </w:rPr>
        <w:t>Rocky Mountains</w:t>
      </w:r>
      <w:r>
        <w:rPr>
          <w:rFonts w:ascii="Times New Roman;serif" w:hAnsi="Times New Roman;serif"/>
          <w:b w:val="false"/>
          <w:color w:val="000000"/>
          <w:sz w:val="20"/>
        </w:rPr>
        <w:t>: Revenue, operating income and Adjusted EBITDA for the Rocky Mountains segment was $50.8 million, $0.3 million and $6.3 million, respectively, for the second quarter of 2026. Second quarter revenue represents a 31.6% sequential increase over the first quarter of 2026, driven by coiled tubing, tech services and wireline. Segment operating income increased sequentially and segment Adjusted EBITDA increased 200.0% sequentially. This quarter-over-quarter improvement in income and margin was a function of higher utilization in the second quarter of 2026 as compared to the first quarter of 2026.</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u w:val="single"/>
        </w:rPr>
        <w:t>Southwest</w:t>
      </w:r>
      <w:r>
        <w:rPr>
          <w:rFonts w:ascii="Times New Roman;serif" w:hAnsi="Times New Roman;serif"/>
          <w:b w:val="false"/>
          <w:color w:val="000000"/>
          <w:sz w:val="20"/>
        </w:rPr>
        <w:t>: Revenue, operating income and Adjusted EBITDA for the Southwest segment, which includes the Permian and South Texas, was $64.5 million, $0.1 million and $7.6 million, respectively, for the second quarter of 2026. Second quarter revenue represents a 20.3% sequential increase over the first quarter of 2026, driven by coiled tubing, directional drilling and accommodations. Segment operating income increased sequentially and segment Adjusted EBITDA increased 65.2% sequentially due to higher utilization in the second quarter of 2026 as compared to the first quarter of 2026.</w:t>
      </w:r>
    </w:p>
    <w:p>
      <w:pPr>
        <w:pStyle w:val="TextBody"/>
        <w:bidi w:val="0"/>
        <w:spacing w:lineRule="auto" w:line="417"/>
        <w:ind w:left="0" w:right="0" w:hanging="360"/>
        <w:jc w:val="both"/>
        <w:rPr/>
      </w:pPr>
      <w:r>
        <w:rPr>
          <w:color w:val="000000"/>
        </w:rPr>
        <w:t>•</w:t>
      </w:r>
      <w:r>
        <w:rPr>
          <w:rFonts w:ascii="Times New Roman;serif" w:hAnsi="Times New Roman;serif"/>
          <w:b w:val="false"/>
          <w:color w:val="000000"/>
          <w:sz w:val="20"/>
          <w:u w:val="single"/>
        </w:rPr>
        <w:t>Northeast/Mid-Con</w:t>
      </w:r>
      <w:r>
        <w:rPr>
          <w:rFonts w:ascii="Times New Roman;serif" w:hAnsi="Times New Roman;serif"/>
          <w:b w:val="false"/>
          <w:color w:val="000000"/>
          <w:sz w:val="20"/>
        </w:rPr>
        <w:t xml:space="preserve">: Revenue, operating income and Adjusted EBITDA for the Northeast/Mid-Con segment was $52.0 million, $5.1 million and $12.5 million, respectively, for the second quarter of 2026. Second quarter revenue represents a 1.0% sequential decrease over the first quarter of 2026, driven by a decrease in flowback, offset by increases in directional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04190"/>
                <wp:effectExtent l="0" t="0" r="0" b="0"/>
                <wp:wrapNone/>
                <wp:docPr id="5" name="Frame5"/>
                <a:graphic xmlns:a="http://schemas.openxmlformats.org/drawingml/2006/main">
                  <a:graphicData uri="http://schemas.microsoft.com/office/word/2010/wordprocessingShape">
                    <wps:wsp>
                      <wps:cNvSpPr txBox="1"/>
                      <wps:spPr>
                        <a:xfrm>
                          <a:off x="0" y="0"/>
                          <a:ext cx="6480175" cy="504190"/>
                        </a:xfrm>
                        <a:prstGeom prst="rect"/>
                        <a:solidFill>
                          <a:srgbClr val="FFFFFF"/>
                        </a:solidFill>
                      </wps:spPr>
                      <wps:txbx>
                        <w:txbxContent>
                          <w:p>
                            <w:pPr>
                              <w:pStyle w:val="TextBody"/>
                              <w:bidi w:val="0"/>
                              <w:spacing w:lineRule="auto" w:line="331" w:before="0" w:after="200"/>
                              <w:jc w:val="right"/>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jc w:val="right"/>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drilling and accommodations. Segment operating income increased by 70.0% and segment Adjusted EBITDA increased 14.7% as compared to the first quarter of 2026 due to improved utilization and decreased white space.</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u w:val="single"/>
        </w:rPr>
        <w:t>Corporate and other</w:t>
      </w:r>
      <w:r>
        <w:rPr>
          <w:rFonts w:ascii="Times New Roman;serif" w:hAnsi="Times New Roman;serif"/>
          <w:b w:val="false"/>
          <w:color w:val="000000"/>
          <w:sz w:val="20"/>
        </w:rPr>
        <w:t>: Operating loss and Adjusted EBITDA loss for the Corporate and other segment were $(3.4) million and $(7.7) million, respectively, for the second quarter of 2026. Segment operating loss decreased due to the $6.5 bargain purchase gain recognized in relation to the Wolf Pack Acquisition, and Adjusted EBITDA loss increased slightly to include higher fixed costs in the current quarter.</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is a tabular summary of revenue, operating income (loss) and Adjusted EBITDA (loss) for the second quarter ended June 30, 2026, the first quarter ended March 31, 2026 and the second quarter ended June 30, 2025 ($ in millions).</w:t>
      </w:r>
    </w:p>
    <w:tbl>
      <w:tblPr>
        <w:tblW w:w="7240" w:type="dxa"/>
        <w:jc w:val="center"/>
        <w:tblInd w:w="0" w:type="dxa"/>
        <w:tblLayout w:type="fixed"/>
        <w:tblCellMar>
          <w:top w:w="28" w:type="dxa"/>
          <w:left w:w="28" w:type="dxa"/>
          <w:bottom w:w="28" w:type="dxa"/>
          <w:right w:w="28" w:type="dxa"/>
        </w:tblCellMar>
      </w:tblPr>
      <w:tblGrid>
        <w:gridCol w:w="725"/>
        <w:gridCol w:w="639"/>
        <w:gridCol w:w="645"/>
        <w:gridCol w:w="109"/>
        <w:gridCol w:w="109"/>
        <w:gridCol w:w="109"/>
        <w:gridCol w:w="287"/>
        <w:gridCol w:w="839"/>
        <w:gridCol w:w="148"/>
        <w:gridCol w:w="109"/>
        <w:gridCol w:w="109"/>
        <w:gridCol w:w="109"/>
        <w:gridCol w:w="324"/>
        <w:gridCol w:w="948"/>
        <w:gridCol w:w="167"/>
        <w:gridCol w:w="109"/>
        <w:gridCol w:w="109"/>
        <w:gridCol w:w="109"/>
        <w:gridCol w:w="287"/>
        <w:gridCol w:w="839"/>
        <w:gridCol w:w="148"/>
        <w:gridCol w:w="109"/>
        <w:gridCol w:w="154"/>
      </w:tblGrid>
      <w:tr>
        <w:trPr/>
        <w:tc>
          <w:tcPr>
            <w:tcW w:w="72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Rocky Mountains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Southwest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Northeast/Mid-Con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7737" w:type="dxa"/>
        <w:jc w:val="center"/>
        <w:tblInd w:w="0" w:type="dxa"/>
        <w:tblLayout w:type="fixed"/>
        <w:tblCellMar>
          <w:top w:w="28" w:type="dxa"/>
          <w:left w:w="28" w:type="dxa"/>
          <w:bottom w:w="28" w:type="dxa"/>
          <w:right w:w="28" w:type="dxa"/>
        </w:tblCellMar>
      </w:tblPr>
      <w:tblGrid>
        <w:gridCol w:w="907"/>
        <w:gridCol w:w="796"/>
        <w:gridCol w:w="801"/>
        <w:gridCol w:w="109"/>
        <w:gridCol w:w="109"/>
        <w:gridCol w:w="109"/>
        <w:gridCol w:w="370"/>
        <w:gridCol w:w="713"/>
        <w:gridCol w:w="191"/>
        <w:gridCol w:w="109"/>
        <w:gridCol w:w="109"/>
        <w:gridCol w:w="109"/>
        <w:gridCol w:w="335"/>
        <w:gridCol w:w="932"/>
        <w:gridCol w:w="173"/>
        <w:gridCol w:w="109"/>
        <w:gridCol w:w="109"/>
        <w:gridCol w:w="109"/>
        <w:gridCol w:w="336"/>
        <w:gridCol w:w="766"/>
        <w:gridCol w:w="173"/>
        <w:gridCol w:w="109"/>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Rocky Mountains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Southwest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Northeast/Mid-Con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482" w:type="dxa"/>
        <w:jc w:val="center"/>
        <w:tblInd w:w="0" w:type="dxa"/>
        <w:tblLayout w:type="fixed"/>
        <w:tblCellMar>
          <w:top w:w="28" w:type="dxa"/>
          <w:left w:w="28" w:type="dxa"/>
          <w:bottom w:w="28" w:type="dxa"/>
          <w:right w:w="28" w:type="dxa"/>
        </w:tblCellMar>
      </w:tblPr>
      <w:tblGrid>
        <w:gridCol w:w="814"/>
        <w:gridCol w:w="715"/>
        <w:gridCol w:w="721"/>
        <w:gridCol w:w="109"/>
        <w:gridCol w:w="109"/>
        <w:gridCol w:w="109"/>
        <w:gridCol w:w="323"/>
        <w:gridCol w:w="784"/>
        <w:gridCol w:w="167"/>
        <w:gridCol w:w="109"/>
        <w:gridCol w:w="109"/>
        <w:gridCol w:w="109"/>
        <w:gridCol w:w="365"/>
        <w:gridCol w:w="886"/>
        <w:gridCol w:w="189"/>
        <w:gridCol w:w="109"/>
        <w:gridCol w:w="109"/>
        <w:gridCol w:w="109"/>
        <w:gridCol w:w="323"/>
        <w:gridCol w:w="784"/>
        <w:gridCol w:w="167"/>
        <w:gridCol w:w="109"/>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Rocky Mountains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Southwest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Northeast/Mid-Con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Segment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Corporate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Adjusted EBITDA</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Excludes one-time costs, as defined in the Reconciliation of Consolidated Net Loss to Adjusted EBITDA table below, non-cash compensation expense and non-cash asset impairment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Balance Sheet and Liquidity</w:t>
      </w:r>
    </w:p>
    <w:p>
      <w:pPr>
        <w:pStyle w:val="TextBody"/>
        <w:bidi w:val="0"/>
        <w:spacing w:before="0" w:after="0"/>
        <w:jc w:val="left"/>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cash and cash equivalents totaled $7.9 million and the Company had availability of $45.4 million under the asset-based revolving credit facility (the “ABL Facility”) borrowing base certificate, including availability on an undrawn first-in-last-out facility, resulting in a total liquidity position of $53.3 million.</w:t>
      </w:r>
    </w:p>
    <w:p>
      <w:pPr>
        <w:pStyle w:val="TextBody"/>
        <w:bidi w:val="0"/>
        <w:spacing w:before="0" w:after="0"/>
        <w:jc w:val="both"/>
        <w:rPr/>
      </w:pPr>
      <w:r>
        <w:rPr/>
      </w:r>
    </w:p>
    <w:p>
      <w:pPr>
        <w:pStyle w:val="TextBody"/>
        <w:bidi w:val="0"/>
        <w:spacing w:lineRule="auto" w:line="417"/>
        <w:jc w:val="both"/>
        <w:rPr>
          <w:rFonts w:ascii="Times New Roman;serif" w:hAnsi="Times New Roman;serif"/>
          <w:b w:val="false"/>
          <w:color w:val="000000"/>
          <w:sz w:val="20"/>
        </w:rPr>
      </w:pPr>
      <w:r>
        <w:rPr>
          <w:rFonts w:ascii="Times New Roman;serif" w:hAnsi="Times New Roman;serif"/>
          <w:b w:val="false"/>
          <w:color w:val="000000"/>
          <w:sz w:val="20"/>
        </w:rPr>
        <w:t xml:space="preserve">Net Working Capital as of June 30, 2026 was $46.0 million, a (15)% decrease from March 31, 2026 driven by additional liabilities included on the balance sheet as part of the Wolf Pack Acquisition, as well as timing of payrolls. We expect to operate with a lower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04190"/>
                <wp:effectExtent l="0" t="0" r="0" b="0"/>
                <wp:wrapNone/>
                <wp:docPr id="6" name="Frame6"/>
                <a:graphic xmlns:a="http://schemas.openxmlformats.org/drawingml/2006/main">
                  <a:graphicData uri="http://schemas.microsoft.com/office/word/2010/wordprocessingShape">
                    <wps:wsp>
                      <wps:cNvSpPr txBox="1"/>
                      <wps:spPr>
                        <a:xfrm>
                          <a:off x="0" y="0"/>
                          <a:ext cx="6480175" cy="504190"/>
                        </a:xfrm>
                        <a:prstGeom prst="rect"/>
                        <a:solidFill>
                          <a:srgbClr val="FFFFFF"/>
                        </a:solidFill>
                      </wps:spPr>
                      <wps:txbx>
                        <w:txbxContent>
                          <w:p>
                            <w:pPr>
                              <w:pStyle w:val="TextBody"/>
                              <w:bidi w:val="0"/>
                              <w:spacing w:lineRule="auto" w:line="331" w:before="0" w:after="200"/>
                              <w:jc w:val="right"/>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jc w:val="right"/>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cash balance than in prior years due to the flexibility provided by the new ABL Facility, a management strategy of minimizing interest expense, and we expect to incur an additional working capital build to support an expected increase in activity in the third quarter of 2026.</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Other Financial Information</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Capital expenditures were $8.6 million during the second quarter of 2026, a decrease of $0.1 million or (1)% compared to capital expenditures of $8.7 million in the first quarter of 2026. Capital expenditures net of asset sales were $6.4 million during the second quarter of 2026, an increase of $1.1 million or 21% compared to capital expenditures net of asset sales of $5.3 million in the first quarter of 2026. Capital spending during the second quarter was driven primarily by maintenance capital expenditures across our segments.</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we had $1.0 million of assets held for sale related to one facility and other equipment.</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Conference Call Information</w:t>
      </w:r>
    </w:p>
    <w:p>
      <w:pPr>
        <w:pStyle w:val="TextBody"/>
        <w:bidi w:val="0"/>
        <w:spacing w:before="0" w:after="0"/>
        <w:jc w:val="left"/>
        <w:rPr/>
      </w:pPr>
      <w:r>
        <w:rPr/>
      </w:r>
    </w:p>
    <w:p>
      <w:pPr>
        <w:pStyle w:val="TextBody"/>
        <w:bidi w:val="0"/>
        <w:spacing w:lineRule="auto" w:line="417" w:before="0" w:after="0"/>
        <w:jc w:val="both"/>
        <w:rPr/>
      </w:pPr>
      <w:r>
        <w:rPr>
          <w:rFonts w:ascii="Times New Roman;serif" w:hAnsi="Times New Roman;serif"/>
          <w:b w:val="false"/>
          <w:color w:val="000000"/>
          <w:sz w:val="20"/>
        </w:rPr>
        <w:t xml:space="preserve">KLX will conduct its second quarter 2026 conference call, which can be accessed via dial-in or webcast, on Tuesday, August 11, 2026 at 10:00 a.m. Eastern Time (9:00 a.m. Central Time) by dialing 1-201-389-0867 and asking for the KLX conference call at least 10 minutes prior to the start time, or by logging onto the webcast at </w:t>
      </w:r>
      <w:r>
        <w:rPr>
          <w:rFonts w:ascii="Times New Roman;serif" w:hAnsi="Times New Roman;serif"/>
          <w:b w:val="false"/>
          <w:color w:val="0000FF"/>
          <w:sz w:val="20"/>
          <w:u w:val="single"/>
        </w:rPr>
        <w:t>https://investor.klx.com/events-and-presentations/events.</w:t>
      </w:r>
      <w:r>
        <w:rPr>
          <w:color w:val="000000"/>
        </w:rPr>
        <w:t xml:space="preserve"> </w:t>
      </w:r>
      <w:r>
        <w:rPr>
          <w:rFonts w:ascii="Times New Roman;serif" w:hAnsi="Times New Roman;serif"/>
          <w:b w:val="false"/>
          <w:color w:val="000000"/>
          <w:sz w:val="20"/>
        </w:rPr>
        <w:t xml:space="preserve">For those who cannot listen to the live call, a replay will be available through August 25, 2026, and may be accessed by dialing 1-201-612-7415 and using passcode 13761897#. Also, an archive of the webcast will be available shortly after the call at </w:t>
      </w:r>
      <w:r>
        <w:rPr>
          <w:rFonts w:ascii="Times New Roman;serif" w:hAnsi="Times New Roman;serif"/>
          <w:b w:val="false"/>
          <w:color w:val="0000FF"/>
          <w:sz w:val="20"/>
          <w:u w:val="single"/>
        </w:rPr>
        <w:t>https://investor.klx.com/events-and-presentations/events</w:t>
      </w:r>
      <w:r>
        <w:rPr>
          <w:color w:val="000000"/>
        </w:rPr>
        <w:t xml:space="preserve"> </w:t>
      </w:r>
      <w:r>
        <w:rPr>
          <w:rFonts w:ascii="Times New Roman;serif" w:hAnsi="Times New Roman;serif"/>
          <w:b w:val="false"/>
          <w:color w:val="000000"/>
          <w:sz w:val="20"/>
        </w:rPr>
        <w:t xml:space="preserve">for 90 days. Please submit any questions for management prior to the call via email to </w:t>
      </w:r>
      <w:r>
        <w:rPr>
          <w:rFonts w:ascii="Times New Roman;serif" w:hAnsi="Times New Roman;serif"/>
          <w:b w:val="false"/>
          <w:color w:val="0000FF"/>
          <w:sz w:val="20"/>
          <w:u w:val="single"/>
        </w:rPr>
        <w:t>KLXE@dennardlascar.com</w:t>
      </w:r>
      <w:r>
        <w:rPr>
          <w:rFonts w:ascii="Times New Roman;serif" w:hAnsi="Times New Roman;serif"/>
          <w:b w:val="false"/>
          <w:color w:val="000000"/>
          <w:sz w:val="20"/>
        </w:rPr>
        <w:t xml:space="preserve">. Management intends to discuss the previously announced $125 million backstopped rights offering (the “Rights Offering”) during the second quarter 2026 conference call. An investor presentation, including information regarding the Rights Offering, will be available in advance of the conference call at </w:t>
      </w:r>
      <w:r>
        <w:rPr>
          <w:rFonts w:ascii="Times New Roman;serif" w:hAnsi="Times New Roman;serif"/>
          <w:b w:val="false"/>
          <w:color w:val="0000FF"/>
          <w:sz w:val="20"/>
          <w:u w:val="single"/>
        </w:rPr>
        <w:t>https://investor.klx.com/events-and-presentations/events.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KLX Energy Services Holdings, Inc.</w:t>
      </w:r>
    </w:p>
    <w:p>
      <w:pPr>
        <w:pStyle w:val="TextBody"/>
        <w:bidi w:val="0"/>
        <w:spacing w:before="0" w:after="0"/>
        <w:jc w:val="left"/>
        <w:rPr/>
      </w:pPr>
      <w:r>
        <w:rPr/>
      </w:r>
    </w:p>
    <w:p>
      <w:pPr>
        <w:pStyle w:val="TextBody"/>
        <w:bidi w:val="0"/>
        <w:spacing w:lineRule="auto" w:line="417" w:before="0" w:after="0"/>
        <w:jc w:val="both"/>
        <w:rPr/>
      </w:pPr>
      <w:r>
        <w:rPr>
          <w:rFonts w:ascii="Times New Roman;serif" w:hAnsi="Times New Roman;serif"/>
          <w:b w:val="false"/>
          <w:color w:val="000000"/>
          <w:sz w:val="20"/>
        </w:rPr>
        <w:t xml:space="preserve">KLX is a growth-oriented provider of diversified oilfield services to leading onshore oil and natural gas exploration and production companies operating in both conventional and unconventional plays in all of the active major basins throughout the United States. The Company delivers mission critical oilfield services focused on drilling, completion, production, and intervention activities for technically demanding wells from over 60 service and support facilities located throughout the United States. KLX’s complementary suite of proprietary products and specialized services is supported by technically skilled personnel and a broad portfolio of innovative in-house manufacturing, repair and maintenance capabilities. More information is available at </w:t>
      </w:r>
      <w:r>
        <w:rPr>
          <w:rFonts w:ascii="Times New Roman;serif" w:hAnsi="Times New Roman;serif"/>
          <w:b w:val="false"/>
          <w:color w:val="0000FF"/>
          <w:sz w:val="20"/>
          <w:u w:val="single"/>
        </w:rPr>
        <w:t>www.klx.com</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Forward-Looking Statements and Cautionary Statements</w:t>
      </w:r>
    </w:p>
    <w:p>
      <w:pPr>
        <w:pStyle w:val="TextBody"/>
        <w:bidi w:val="0"/>
        <w:spacing w:before="0" w:after="0"/>
        <w:jc w:val="left"/>
        <w:rPr/>
      </w:pPr>
      <w:r>
        <w:rPr/>
      </w:r>
    </w:p>
    <w:p>
      <w:pPr>
        <w:pStyle w:val="TextBody"/>
        <w:bidi w:val="0"/>
        <w:spacing w:lineRule="auto" w:line="417"/>
        <w:jc w:val="both"/>
        <w:rPr>
          <w:rFonts w:ascii="Times New Roman;serif" w:hAnsi="Times New Roman;serif"/>
          <w:b w:val="false"/>
          <w:color w:val="000000"/>
          <w:sz w:val="20"/>
        </w:rPr>
      </w:pPr>
      <w:r>
        <w:rPr>
          <w:rFonts w:ascii="Times New Roman;serif" w:hAnsi="Times New Roman;serif"/>
          <w:b w:val="false"/>
          <w:color w:val="000000"/>
          <w:sz w:val="20"/>
        </w:rPr>
        <w:t xml:space="preserve">The Private Securities Litigation Reform Act of 1995 provides a “safe harbor” for forward-looking statements to encourage companies to provide prospective information to investors. This news release (and any oral statements made regarding the subjects of this release, including on the conference call announced herein) includes forward-looking statements that reflect our current expectations and projections about our future results, performance and prospects. Forward-looking statements include all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04190"/>
                <wp:effectExtent l="0" t="0" r="0" b="0"/>
                <wp:wrapNone/>
                <wp:docPr id="7" name="Frame7"/>
                <a:graphic xmlns:a="http://schemas.openxmlformats.org/drawingml/2006/main">
                  <a:graphicData uri="http://schemas.microsoft.com/office/word/2010/wordprocessingShape">
                    <wps:wsp>
                      <wps:cNvSpPr txBox="1"/>
                      <wps:spPr>
                        <a:xfrm>
                          <a:off x="0" y="0"/>
                          <a:ext cx="6480175" cy="504190"/>
                        </a:xfrm>
                        <a:prstGeom prst="rect"/>
                        <a:solidFill>
                          <a:srgbClr val="FFFFFF"/>
                        </a:solidFill>
                      </wps:spPr>
                      <wps:txbx>
                        <w:txbxContent>
                          <w:p>
                            <w:pPr>
                              <w:pStyle w:val="TextBody"/>
                              <w:bidi w:val="0"/>
                              <w:spacing w:lineRule="auto" w:line="331" w:before="0" w:after="200"/>
                              <w:jc w:val="right"/>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jc w:val="right"/>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statements that are not historical in nature and are not current facts. When used in this news release (and any oral statements made regarding the subjects of this release, including on the conference call announced herein), the words “believe,” “expect,” “plan,” “intend,” “anticipate,” “estimate,” “predict,” “potential,” “continue,” “may,” “might,” “should,” “could,” “will” or the negative of these terms or similar expressions are intended to identify forward-looking statements, although not all forward-looking statements contain such identifying words. These forward-looking statements are based on our current expectations and assumptions about future events and are based on currently available information as to the outcome and timing of future events with respect to, among other things: our operating cash flows; the availability of capital and our liquidity; our future revenue, income and operating performance; our ability to sustain and improve our utilization, revenue and margins; our ability to maintain acceptable pricing for our services; future capital expenditures; our ability to finance equipment, working capital and capital expenditures; our ability to execute our long-term growth strategy and to integrate our acquisitions; our ability to successfully develop our research and technology capabilities and implement technological developments and enhancements; and the timing and success of strategic initiatives and special projects.</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not assurances of future performance and actual results could differ materially from our historical experience and our present expectations or projections. These forward-looking statements are based on management’s current expectations and beliefs, forecasts for our existing operations, experience, expectations and perception of historical trends, current conditions, anticipated future developments and their effect on us and other factors believed to be appropriate. Although management believes the expectations and assumptions reflected in these forward-looking statements are reasonable as and when made, no assurance can be given that these assumptions are accurate or that any of these expectations will be achieved (in full or at all). Our forward-looking statements involve significant risks, contingencies and uncertainties, most of which are difficult to predict and many of which are beyond our control. Known material factors that could cause actual results to differ materially from those in the forward-looking statements include, but are not limited to, risks associated with the following: a decline in demand for our services, including due to overcapacity and other competitive factors affecting our industry; the cyclical nature and volatility of the oil and gas industry, which impacts the level of exploration, production and development activity and spending patterns by oil and natural gas exploration and production companies; a decline in, or substantial volatility of, crude oil and gas commodity prices, which generally leads to decreased spending by our customers and negatively impacts drilling, completion and production activity; inflation; changes in interest rates; the ongoing war in Ukraine and its continuing effects on global trade; the ongoing conflict and tensions in the Middle East, including the conflict with Iran; supply chain issues; general economic, financial and political conditions, including market volatility and the impact of the imposition of increased, new and retaliatory tariffs; and other risks and uncertainties listed in our filings with the U.S. Securities and Exchange Commission, including our Current Reports on Form 8-K that we file from time to time, Quarterly Reports on Form 10-Q and Annual Report on Form 10-K. Readers are cautioned not to place undue reliance on forward-looking statements, which speak only as of the date hereof. We undertake no obligation to publicly update or revise any forward-looking statements after the date they are made, whether as a result of new information, future events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04190"/>
                <wp:effectExtent l="0" t="0" r="0" b="0"/>
                <wp:wrapNone/>
                <wp:docPr id="8" name="Frame8"/>
                <a:graphic xmlns:a="http://schemas.openxmlformats.org/drawingml/2006/main">
                  <a:graphicData uri="http://schemas.microsoft.com/office/word/2010/wordprocessingShape">
                    <wps:wsp>
                      <wps:cNvSpPr txBox="1"/>
                      <wps:spPr>
                        <a:xfrm>
                          <a:off x="0" y="0"/>
                          <a:ext cx="6480175" cy="504190"/>
                        </a:xfrm>
                        <a:prstGeom prst="rect"/>
                        <a:solidFill>
                          <a:srgbClr val="FFFFFF"/>
                        </a:solidFill>
                      </wps:spPr>
                      <wps:txbx>
                        <w:txbxContent>
                          <w:p>
                            <w:pPr>
                              <w:pStyle w:val="TextBody"/>
                              <w:bidi w:val="0"/>
                              <w:spacing w:lineRule="auto" w:line="331" w:before="0" w:after="200"/>
                              <w:jc w:val="right"/>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jc w:val="right"/>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KLX Energy Services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millions of U.S. dollars and shares, except per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7027" w:type="dxa"/>
        <w:jc w:val="center"/>
        <w:tblInd w:w="0" w:type="dxa"/>
        <w:tblLayout w:type="fixed"/>
        <w:tblCellMar>
          <w:top w:w="28" w:type="dxa"/>
          <w:left w:w="28" w:type="dxa"/>
          <w:bottom w:w="28" w:type="dxa"/>
          <w:right w:w="28" w:type="dxa"/>
        </w:tblCellMar>
      </w:tblPr>
      <w:tblGrid>
        <w:gridCol w:w="988"/>
        <w:gridCol w:w="867"/>
        <w:gridCol w:w="874"/>
        <w:gridCol w:w="263"/>
        <w:gridCol w:w="746"/>
        <w:gridCol w:w="146"/>
        <w:gridCol w:w="109"/>
        <w:gridCol w:w="109"/>
        <w:gridCol w:w="109"/>
        <w:gridCol w:w="293"/>
        <w:gridCol w:w="833"/>
        <w:gridCol w:w="163"/>
        <w:gridCol w:w="109"/>
        <w:gridCol w:w="109"/>
        <w:gridCol w:w="109"/>
        <w:gridCol w:w="259"/>
        <w:gridCol w:w="737"/>
        <w:gridCol w:w="204"/>
      </w:tblGrid>
      <w:tr>
        <w:trPr/>
        <w:tc>
          <w:tcPr>
            <w:tcW w:w="988"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Cost of sales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Depreciation and amortization</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Selling, general and administrative</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Research and development costs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Impairment and other charges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Bargain purchase gain</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Non-operating expense:</w:t>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Interest income</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Interest expense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Gain on debt extinguishment</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before income tax</w:t>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Income tax (benefit) expense</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common share:</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Basic</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Diluted</w:t>
            </w:r>
          </w:p>
        </w:tc>
        <w:tc>
          <w:tcPr>
            <w:tcW w:w="26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(0.41)</w:t>
            </w:r>
          </w:p>
        </w:tc>
        <w:tc>
          <w:tcPr>
            <w:tcW w:w="14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1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20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Basic</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Diluted</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76" w:before="0" w:after="0"/>
        <w:jc w:val="both"/>
        <w:rPr>
          <w:color w:val="000000"/>
        </w:rPr>
      </w:pPr>
      <w:r>
        <w:rPr>
          <w:color w:val="000000"/>
        </w:rPr>
        <w:t>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1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04190"/>
                <wp:effectExtent l="0" t="0" r="0" b="0"/>
                <wp:wrapNone/>
                <wp:docPr id="9" name="Frame9"/>
                <a:graphic xmlns:a="http://schemas.openxmlformats.org/drawingml/2006/main">
                  <a:graphicData uri="http://schemas.microsoft.com/office/word/2010/wordprocessingShape">
                    <wps:wsp>
                      <wps:cNvSpPr txBox="1"/>
                      <wps:spPr>
                        <a:xfrm>
                          <a:off x="0" y="0"/>
                          <a:ext cx="6480175" cy="504190"/>
                        </a:xfrm>
                        <a:prstGeom prst="rect"/>
                        <a:solidFill>
                          <a:srgbClr val="FFFFFF"/>
                        </a:solidFill>
                      </wps:spPr>
                      <wps:txbx>
                        <w:txbxContent>
                          <w:p>
                            <w:pPr>
                              <w:pStyle w:val="TextBody"/>
                              <w:bidi w:val="0"/>
                              <w:spacing w:lineRule="auto" w:line="331" w:before="0" w:after="200"/>
                              <w:jc w:val="right"/>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jc w:val="right"/>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KLX Energy Services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millions of U.S. dollars and shares, except per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tbl>
      <w:tblPr>
        <w:tblW w:w="9744" w:type="dxa"/>
        <w:jc w:val="center"/>
        <w:tblInd w:w="0" w:type="dxa"/>
        <w:tblLayout w:type="fixed"/>
        <w:tblCellMar>
          <w:top w:w="28" w:type="dxa"/>
          <w:left w:w="28" w:type="dxa"/>
          <w:bottom w:w="28" w:type="dxa"/>
          <w:right w:w="28" w:type="dxa"/>
        </w:tblCellMar>
      </w:tblPr>
      <w:tblGrid>
        <w:gridCol w:w="2306"/>
        <w:gridCol w:w="2027"/>
        <w:gridCol w:w="2041"/>
        <w:gridCol w:w="287"/>
        <w:gridCol w:w="839"/>
        <w:gridCol w:w="148"/>
        <w:gridCol w:w="109"/>
        <w:gridCol w:w="109"/>
        <w:gridCol w:w="109"/>
        <w:gridCol w:w="380"/>
        <w:gridCol w:w="1110"/>
        <w:gridCol w:w="279"/>
      </w:tblGrid>
      <w:tr>
        <w:trPr/>
        <w:tc>
          <w:tcPr>
            <w:tcW w:w="2306"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receivable–trade, net of allowance for credit losses of $1.9 and $1.7</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Property and equipment, net</w:t>
            </w:r>
            <w:r>
              <w:rPr>
                <w:rFonts w:ascii="Times New Roman;serif" w:hAnsi="Times New Roman;serif"/>
                <w:b w:val="false"/>
                <w:color w:val="000000"/>
                <w:sz w:val="13"/>
              </w:rPr>
              <w:t>(1)</w:t>
            </w:r>
            <w:r>
              <w:rPr>
                <w:color w:val="000000"/>
              </w:rPr>
              <w:t xml:space="preserve"> </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371.9 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74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finance lease liabilities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w:t>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finance lease liabilities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contingencies and off-balance sheet arrangements</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$0.01 par value; 110.0 authorized; 21.6 and 18.9 issued </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Treasury stock, at cost, 0.6 shares and 0.5 shares </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(671.9)</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(639.5)</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deficit</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371.9 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hanging="45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right-of-use assets - finance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04190"/>
                <wp:effectExtent l="0" t="0" r="0" b="0"/>
                <wp:wrapNone/>
                <wp:docPr id="10" name="Frame10"/>
                <a:graphic xmlns:a="http://schemas.openxmlformats.org/drawingml/2006/main">
                  <a:graphicData uri="http://schemas.microsoft.com/office/word/2010/wordprocessingShape">
                    <wps:wsp>
                      <wps:cNvSpPr txBox="1"/>
                      <wps:spPr>
                        <a:xfrm>
                          <a:off x="0" y="0"/>
                          <a:ext cx="6480175" cy="504190"/>
                        </a:xfrm>
                        <a:prstGeom prst="rect"/>
                        <a:solidFill>
                          <a:srgbClr val="FFFFFF"/>
                        </a:solidFill>
                      </wps:spPr>
                      <wps:txbx>
                        <w:txbxContent>
                          <w:p>
                            <w:pPr>
                              <w:pStyle w:val="TextBody"/>
                              <w:bidi w:val="0"/>
                              <w:spacing w:lineRule="auto" w:line="331" w:before="0" w:after="200"/>
                              <w:jc w:val="right"/>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jc w:val="right"/>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KLX Energy Services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Additional Selected Operating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Non-GAAP Financial Measures</w:t>
      </w:r>
    </w:p>
    <w:p>
      <w:pPr>
        <w:pStyle w:val="TextBody"/>
        <w:bidi w:val="0"/>
        <w:spacing w:before="0" w:after="0"/>
        <w:jc w:val="left"/>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This release includes Adjusted EBITDA, Adjusted EBITDA margin, Adjusted Net Loss, Adjusted Diluted Loss per share, Unlevered and Levered Free Cash Flow, Net Working Capital and Net Debt measures. Each of the metrics are “non-GAAP financial measures” as defined in Regulation G of the Securities Exchange Act of 1934.</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is a supplemental non-GAAP financial measure that is used by management and external users of our financial statements, such as industry analysts, investors, lenders and rating agencies. Adjusted EBITDA is not a measure of net earnings or cash flows as determined by GAAP. We define Adjusted EBITDA as net loss before interest, taxes, depreciation and amortization, further adjusted for (i) goodwill and/or long-lived asset impairment charges, (ii) stock-based compensation expense, (iii) restructuring charges, (iv) transaction and integration costs related to acquisitions and (v) other expenses or charges to exclude certain items that we believe are not reflective of the ongoing performance of our business. Adjusted EBITDA is used to calculate the Company’s leverage ratio, consistent with the terms of the Company’s ABL Facility.</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Adjusted EBITDA is useful because it allows us to supplement the GAAP measures in order to more effectively evaluate our operating performance and compare the results of our operations from period to period without regard to our financing methods or capital structure. We exclude the items listed above in arriving at Adjusted EBITDA because these amounts can vary substantially from company to company within our industry depending upon accounting methods and book values of assets, capital structures and the method by which the assets were acquired. Adjusted EBITDA should not be considered as an alternative to, or more meaningful than, net loss as determined in accordance with GAAP, or as an indicator of our operating performance or liquidity.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 Our computations of Adjusted EBITDA may not be comparable to other similarly titled measures of other companies.</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margin is a supplemental non-GAAP financial measure that is used by management and external users of our financial statements, such as industry analysts, investors, lenders and rating agencies. Adjusted EBITDA margin is not a measure of net earnings or cash flows as determined by GAAP. Adjusted EBITDA margin is defined as the quotient of Adjusted EBITDA and total revenue. We believe Adjusted EBITDA margin is useful because it allows us to supplement the GAAP measures in order to more effectively evaluate our operating performance and compare the results of our operations from period to period without regard to our financing methods or capital structure, as a percentage of revenues.</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We define Consolidated Net Loss margin as the quotient of consolidated net loss and total revenue. We define Segment operating income (loss) margin as the quotient of segment operating income (loss) and segment revenue. We believe that Consolidated Net Loss margin and Segment operating income (loss) margin provide useful information to investors to understand and evaluate core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performance and trends across fiscal periods.</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417"/>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Adjusted Net Loss as consolidated net loss adjusted for (i) goodwill and/or long-lived asset impairment charges, (ii) restructuring charges, (iii) transaction and integration costs related to acquisitions and (iv) other expenses or charges to exclude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04190"/>
                <wp:effectExtent l="0" t="0" r="0" b="0"/>
                <wp:wrapNone/>
                <wp:docPr id="11" name="Frame11"/>
                <a:graphic xmlns:a="http://schemas.openxmlformats.org/drawingml/2006/main">
                  <a:graphicData uri="http://schemas.microsoft.com/office/word/2010/wordprocessingShape">
                    <wps:wsp>
                      <wps:cNvSpPr txBox="1"/>
                      <wps:spPr>
                        <a:xfrm>
                          <a:off x="0" y="0"/>
                          <a:ext cx="6480175" cy="504190"/>
                        </a:xfrm>
                        <a:prstGeom prst="rect"/>
                        <a:solidFill>
                          <a:srgbClr val="FFFFFF"/>
                        </a:solidFill>
                      </wps:spPr>
                      <wps:txbx>
                        <w:txbxContent>
                          <w:p>
                            <w:pPr>
                              <w:pStyle w:val="TextBody"/>
                              <w:bidi w:val="0"/>
                              <w:spacing w:lineRule="auto" w:line="331" w:before="0" w:after="200"/>
                              <w:jc w:val="right"/>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jc w:val="right"/>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certain items that we believe are not reflective of the ongoing performance of our business. We believe Adjusted Net Loss is useful because it allows us to exclude non-recurring items in evaluating our operating performance.</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We define Adjusted Diluted Loss per share as the quotient of Adjusted Net Loss and diluted weighted average common shares. We believe that Adjusted Diluted Loss per share provides useful information to investors because it allows us to exclude non-recurring items in evaluating our operating performance on a diluted per share basis.</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We define Unlevered Free Cash Flow as net cash provided by operating activities less capital expenditures and proceeds from sale of property and equipment plus cash interest expense. We define Levered Free Cash Flow as net cash provided by operating activities less capital expenditures and proceeds from sale of property and equipment. Our management uses Unlevered and Levered Free Cash Flow to assess the Company’s liquidity and ability to repay maturing debt, fund operations and make additional investments. We believe that each of Unlevered and Levered Free Cash Flow provide useful information to investors because it is an important indicator of the Company’s liquidity, including our ability to reduce Net Debt and make strategic investments.</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Net Working Capital is calculated as current assets, excluding cash, less current liabilities, excluding current portion of long-term debt, accrued interest, operating lease obligations and finance lease obligations. We believe that Net Working Capital provides useful information to investors because it is an important indicator of the Company’s liquidity.</w:t>
      </w:r>
    </w:p>
    <w:p>
      <w:pPr>
        <w:pStyle w:val="TextBody"/>
        <w:bidi w:val="0"/>
        <w:spacing w:before="0" w:after="0"/>
        <w:jc w:val="both"/>
        <w:rPr/>
      </w:pPr>
      <w:r>
        <w:rPr/>
      </w:r>
    </w:p>
    <w:p>
      <w:pPr>
        <w:pStyle w:val="TextBody"/>
        <w:bidi w:val="0"/>
        <w:spacing w:lineRule="auto" w:line="417"/>
        <w:jc w:val="both"/>
        <w:rPr>
          <w:rFonts w:ascii="Times New Roman;serif" w:hAnsi="Times New Roman;serif"/>
          <w:b w:val="false"/>
          <w:color w:val="000000"/>
          <w:sz w:val="20"/>
        </w:rPr>
      </w:pPr>
      <w:r>
        <w:rPr>
          <w:rFonts w:ascii="Times New Roman;serif" w:hAnsi="Times New Roman;serif"/>
          <w:b w:val="false"/>
          <w:color w:val="000000"/>
          <w:sz w:val="20"/>
        </w:rPr>
        <w:t>We define Net Debt as total debt less cash and cash equivalents and restricted cash. We believe that Net Debt provides useful information to investors because it is an important indicator of the Company’s indebtedness.</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04190"/>
                <wp:effectExtent l="0" t="0" r="0" b="0"/>
                <wp:wrapNone/>
                <wp:docPr id="12" name="Frame12"/>
                <a:graphic xmlns:a="http://schemas.openxmlformats.org/drawingml/2006/main">
                  <a:graphicData uri="http://schemas.microsoft.com/office/word/2010/wordprocessingShape">
                    <wps:wsp>
                      <wps:cNvSpPr txBox="1"/>
                      <wps:spPr>
                        <a:xfrm>
                          <a:off x="0" y="0"/>
                          <a:ext cx="6480175" cy="504190"/>
                        </a:xfrm>
                        <a:prstGeom prst="rect"/>
                        <a:solidFill>
                          <a:srgbClr val="FFFFFF"/>
                        </a:solidFill>
                      </wps:spPr>
                      <wps:txbx>
                        <w:txbxContent>
                          <w:p>
                            <w:pPr>
                              <w:pStyle w:val="TextBody"/>
                              <w:bidi w:val="0"/>
                              <w:spacing w:lineRule="auto" w:line="331" w:before="0" w:after="200"/>
                              <w:jc w:val="right"/>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jc w:val="right"/>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a reconciliation of non-GAAP financial measures to the most directly comparable GAAP financial measures for the periods indicated:</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KLX Energy Services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Consolidated Net Loss to Adjusted EBITDA*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millions of U.S. dollars)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7148" w:type="dxa"/>
        <w:jc w:val="center"/>
        <w:tblInd w:w="0" w:type="dxa"/>
        <w:tblLayout w:type="fixed"/>
        <w:tblCellMar>
          <w:top w:w="28" w:type="dxa"/>
          <w:left w:w="28" w:type="dxa"/>
          <w:bottom w:w="28" w:type="dxa"/>
          <w:right w:w="28" w:type="dxa"/>
        </w:tblCellMar>
      </w:tblPr>
      <w:tblGrid>
        <w:gridCol w:w="876"/>
        <w:gridCol w:w="767"/>
        <w:gridCol w:w="772"/>
        <w:gridCol w:w="293"/>
        <w:gridCol w:w="698"/>
        <w:gridCol w:w="163"/>
        <w:gridCol w:w="109"/>
        <w:gridCol w:w="109"/>
        <w:gridCol w:w="109"/>
        <w:gridCol w:w="299"/>
        <w:gridCol w:w="825"/>
        <w:gridCol w:w="166"/>
        <w:gridCol w:w="109"/>
        <w:gridCol w:w="109"/>
        <w:gridCol w:w="109"/>
        <w:gridCol w:w="267"/>
        <w:gridCol w:w="739"/>
        <w:gridCol w:w="148"/>
        <w:gridCol w:w="109"/>
        <w:gridCol w:w="109"/>
        <w:gridCol w:w="109"/>
        <w:gridCol w:w="154"/>
      </w:tblGrid>
      <w:tr>
        <w:trPr/>
        <w:tc>
          <w:tcPr>
            <w:tcW w:w="87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loss</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Income tax (benefit) expense</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Interest expense, net </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Gain on debt extinguishment</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Bargain purchase gain</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Impairment and other charges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8"/>
              </w:rPr>
              <w:t xml:space="preserve">One-time net costs </w:t>
            </w:r>
            <w:r>
              <w:rPr>
                <w:rFonts w:ascii="Times New Roman;serif" w:hAnsi="Times New Roman;serif"/>
                <w:b w:val="false"/>
                <w:color w:val="000000"/>
                <w:sz w:val="12"/>
              </w:rPr>
              <w:t>(1)</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loss</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Depreciation and amortization</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Non-cash compensation</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*Previously announced quarterly numbers may not sum to the year-end total due to rounding. </w:t>
      </w:r>
    </w:p>
    <w:p>
      <w:pPr>
        <w:pStyle w:val="TextBody"/>
        <w:bidi w:val="0"/>
        <w:spacing w:lineRule="auto" w:line="276"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The one-time costs during the second quarter of 2026 relate mainly to legal costs, facility costs and other.</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KLX Energy Services Holdings, Inc.</w:t>
      </w:r>
    </w:p>
    <w:p>
      <w:pPr>
        <w:pStyle w:val="TextBody"/>
        <w:bidi w:val="0"/>
        <w:spacing w:lineRule="auto" w:line="288" w:before="0" w:after="0"/>
        <w:jc w:val="center"/>
        <w:rPr/>
      </w:pPr>
      <w:r>
        <w:rPr>
          <w:rFonts w:ascii="Times New Roman;serif" w:hAnsi="Times New Roman;serif"/>
          <w:b/>
          <w:color w:val="000000"/>
          <w:sz w:val="20"/>
        </w:rPr>
        <w:t>Consolidated Net Loss Margin</w:t>
      </w:r>
      <w:r>
        <w:rPr>
          <w:rFonts w:ascii="Times New Roman;serif" w:hAnsi="Times New Roman;serif"/>
          <w:b/>
          <w:color w:val="000000"/>
          <w:sz w:val="13"/>
        </w:rPr>
        <w:t>(1)</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millions of U.S. dollars)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7266" w:type="dxa"/>
        <w:jc w:val="center"/>
        <w:tblInd w:w="0" w:type="dxa"/>
        <w:tblLayout w:type="fixed"/>
        <w:tblCellMar>
          <w:top w:w="28" w:type="dxa"/>
          <w:left w:w="28" w:type="dxa"/>
          <w:bottom w:w="28" w:type="dxa"/>
          <w:right w:w="28" w:type="dxa"/>
        </w:tblCellMar>
      </w:tblPr>
      <w:tblGrid>
        <w:gridCol w:w="1077"/>
        <w:gridCol w:w="943"/>
        <w:gridCol w:w="950"/>
        <w:gridCol w:w="250"/>
        <w:gridCol w:w="577"/>
        <w:gridCol w:w="327"/>
        <w:gridCol w:w="109"/>
        <w:gridCol w:w="109"/>
        <w:gridCol w:w="109"/>
        <w:gridCol w:w="254"/>
        <w:gridCol w:w="703"/>
        <w:gridCol w:w="332"/>
        <w:gridCol w:w="109"/>
        <w:gridCol w:w="109"/>
        <w:gridCol w:w="109"/>
        <w:gridCol w:w="226"/>
        <w:gridCol w:w="625"/>
        <w:gridCol w:w="348"/>
      </w:tblGrid>
      <w:tr>
        <w:trPr/>
        <w:tc>
          <w:tcPr>
            <w:tcW w:w="107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loss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167.3 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Consolidated net loss margin percentage</w:t>
            </w:r>
          </w:p>
        </w:tc>
        <w:tc>
          <w:tcPr>
            <w:tcW w:w="82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center"/>
        <w:rPr/>
      </w:pPr>
      <w:r>
        <w:rPr/>
      </w:r>
    </w:p>
    <w:p>
      <w:pPr>
        <w:pStyle w:val="TextBody"/>
        <w:bidi w:val="0"/>
        <w:spacing w:lineRule="auto" w:line="276"/>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Consolidated net loss margin is defined as the quotient of consolidated net loss and total revenue.</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04190"/>
                <wp:effectExtent l="0" t="0" r="0" b="0"/>
                <wp:wrapNone/>
                <wp:docPr id="13" name="Frame13"/>
                <a:graphic xmlns:a="http://schemas.openxmlformats.org/drawingml/2006/main">
                  <a:graphicData uri="http://schemas.microsoft.com/office/word/2010/wordprocessingShape">
                    <wps:wsp>
                      <wps:cNvSpPr txBox="1"/>
                      <wps:spPr>
                        <a:xfrm>
                          <a:off x="0" y="0"/>
                          <a:ext cx="6480175" cy="504190"/>
                        </a:xfrm>
                        <a:prstGeom prst="rect"/>
                        <a:solidFill>
                          <a:srgbClr val="FFFFFF"/>
                        </a:solidFill>
                      </wps:spPr>
                      <wps:txbx>
                        <w:txbxContent>
                          <w:p>
                            <w:pPr>
                              <w:pStyle w:val="TextBody"/>
                              <w:bidi w:val="0"/>
                              <w:spacing w:lineRule="auto" w:line="331" w:before="0" w:after="200"/>
                              <w:jc w:val="right"/>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jc w:val="right"/>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KLX Energy Services Holdings, Inc.</w:t>
      </w:r>
    </w:p>
    <w:p>
      <w:pPr>
        <w:pStyle w:val="TextBody"/>
        <w:bidi w:val="0"/>
        <w:spacing w:lineRule="auto" w:line="288" w:before="0" w:after="0"/>
        <w:jc w:val="center"/>
        <w:rPr/>
      </w:pPr>
      <w:r>
        <w:rPr>
          <w:rFonts w:ascii="Times New Roman;serif" w:hAnsi="Times New Roman;serif"/>
          <w:b/>
          <w:color w:val="000000"/>
          <w:sz w:val="20"/>
        </w:rPr>
        <w:t>Consolidated Adjusted EBITDA Margin</w:t>
      </w:r>
      <w:r>
        <w:rPr>
          <w:rFonts w:ascii="Times New Roman;serif" w:hAnsi="Times New Roman;serif"/>
          <w:b/>
          <w:color w:val="000000"/>
          <w:sz w:val="13"/>
        </w:rPr>
        <w:t>(1)</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millions of U.S. dollars)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7147" w:type="dxa"/>
        <w:jc w:val="center"/>
        <w:tblInd w:w="0" w:type="dxa"/>
        <w:tblLayout w:type="fixed"/>
        <w:tblCellMar>
          <w:top w:w="28" w:type="dxa"/>
          <w:left w:w="28" w:type="dxa"/>
          <w:bottom w:w="28" w:type="dxa"/>
          <w:right w:w="28" w:type="dxa"/>
        </w:tblCellMar>
      </w:tblPr>
      <w:tblGrid>
        <w:gridCol w:w="1033"/>
        <w:gridCol w:w="905"/>
        <w:gridCol w:w="911"/>
        <w:gridCol w:w="246"/>
        <w:gridCol w:w="586"/>
        <w:gridCol w:w="322"/>
        <w:gridCol w:w="109"/>
        <w:gridCol w:w="109"/>
        <w:gridCol w:w="109"/>
        <w:gridCol w:w="275"/>
        <w:gridCol w:w="655"/>
        <w:gridCol w:w="360"/>
        <w:gridCol w:w="109"/>
        <w:gridCol w:w="109"/>
        <w:gridCol w:w="109"/>
        <w:gridCol w:w="244"/>
        <w:gridCol w:w="581"/>
        <w:gridCol w:w="375"/>
      </w:tblGrid>
      <w:tr>
        <w:trPr/>
        <w:tc>
          <w:tcPr>
            <w:tcW w:w="103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167.3 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Adjusted EBITDA Margin Percentage</w:t>
            </w:r>
          </w:p>
        </w:tc>
        <w:tc>
          <w:tcPr>
            <w:tcW w:w="8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center"/>
        <w:rPr/>
      </w:pPr>
      <w:r>
        <w:rPr/>
      </w:r>
    </w:p>
    <w:p>
      <w:pPr>
        <w:pStyle w:val="TextBody"/>
        <w:bidi w:val="0"/>
        <w:spacing w:lineRule="auto" w:line="276"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Adjusted EBITDA margin is defined as the quotient of Adjusted EBITDA and total revenue. Adjusted EBITDA is net (loss) income excluding one-time costs (as defined above), depreciation and amortization expense, non-cash compensation expense and non-cash asset impairment expense.</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KLX Energy Services Holdings,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Reconciliation of Rocky Mountains Operating Income (Loss) to Adjusted EBITDA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millions of U.S. dollars)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7403" w:type="dxa"/>
        <w:jc w:val="center"/>
        <w:tblInd w:w="0" w:type="dxa"/>
        <w:tblLayout w:type="fixed"/>
        <w:tblCellMar>
          <w:top w:w="28" w:type="dxa"/>
          <w:left w:w="28" w:type="dxa"/>
          <w:bottom w:w="28" w:type="dxa"/>
          <w:right w:w="28" w:type="dxa"/>
        </w:tblCellMar>
      </w:tblPr>
      <w:tblGrid>
        <w:gridCol w:w="1125"/>
        <w:gridCol w:w="988"/>
        <w:gridCol w:w="992"/>
        <w:gridCol w:w="332"/>
        <w:gridCol w:w="638"/>
        <w:gridCol w:w="185"/>
        <w:gridCol w:w="109"/>
        <w:gridCol w:w="109"/>
        <w:gridCol w:w="109"/>
        <w:gridCol w:w="334"/>
        <w:gridCol w:w="770"/>
        <w:gridCol w:w="186"/>
        <w:gridCol w:w="109"/>
        <w:gridCol w:w="109"/>
        <w:gridCol w:w="109"/>
        <w:gridCol w:w="288"/>
        <w:gridCol w:w="685"/>
        <w:gridCol w:w="226"/>
      </w:tblGrid>
      <w:tr>
        <w:trPr/>
        <w:tc>
          <w:tcPr>
            <w:tcW w:w="112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Rocky Mountains operating income (loss)</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8"/>
              </w:rPr>
              <w:t xml:space="preserve">One-time costs </w:t>
            </w:r>
            <w:r>
              <w:rPr>
                <w:rFonts w:ascii="Times New Roman;serif" w:hAnsi="Times New Roman;serif"/>
                <w:b w:val="false"/>
                <w:color w:val="000000"/>
                <w:sz w:val="12"/>
              </w:rPr>
              <w:t>(1)</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Adjusted operating income (loss)</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Depreciation and amortization expense</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Non-cash compensation</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Rocky Mountains Adjusted EBITDA </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76"/>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One-time costs are defined in the Reconciliation of Consolidated Net Loss to Adjusted EBITDA table above. For purposes of segment reconciliation, one-time costs also include impairment and other charges.</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04190"/>
                <wp:effectExtent l="0" t="0" r="0" b="0"/>
                <wp:wrapNone/>
                <wp:docPr id="14" name="Frame14"/>
                <a:graphic xmlns:a="http://schemas.openxmlformats.org/drawingml/2006/main">
                  <a:graphicData uri="http://schemas.microsoft.com/office/word/2010/wordprocessingShape">
                    <wps:wsp>
                      <wps:cNvSpPr txBox="1"/>
                      <wps:spPr>
                        <a:xfrm>
                          <a:off x="0" y="0"/>
                          <a:ext cx="6480175" cy="504190"/>
                        </a:xfrm>
                        <a:prstGeom prst="rect"/>
                        <a:solidFill>
                          <a:srgbClr val="FFFFFF"/>
                        </a:solidFill>
                      </wps:spPr>
                      <wps:txbx>
                        <w:txbxContent>
                          <w:p>
                            <w:pPr>
                              <w:pStyle w:val="TextBody"/>
                              <w:bidi w:val="0"/>
                              <w:spacing w:lineRule="auto" w:line="331" w:before="0" w:after="200"/>
                              <w:jc w:val="right"/>
                              <w:rPr>
                                <w:rFonts w:ascii="Times New Roman;serif" w:hAnsi="Times New Roman;serif"/>
                                <w:b w:val="false"/>
                                <w:color w:val="000000"/>
                                <w:sz w:val="20"/>
                              </w:rPr>
                            </w:pPr>
                            <w:r>
                              <w:rPr>
                                <w:rFonts w:ascii="Times New Roman;serif" w:hAnsi="Times New Roman;serif"/>
                                <w:b w:val="false"/>
                                <w:color w:val="000000"/>
                                <w:sz w:val="20"/>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jc w:val="right"/>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KLX Energy Services Holdings,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Reconciliation of Southwest Operating Income (Loss) to Adjusted EBITDA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millions of U.S. dollars)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7763" w:type="dxa"/>
        <w:jc w:val="center"/>
        <w:tblInd w:w="0" w:type="dxa"/>
        <w:tblLayout w:type="fixed"/>
        <w:tblCellMar>
          <w:top w:w="28" w:type="dxa"/>
          <w:left w:w="28" w:type="dxa"/>
          <w:bottom w:w="28" w:type="dxa"/>
          <w:right w:w="28" w:type="dxa"/>
        </w:tblCellMar>
      </w:tblPr>
      <w:tblGrid>
        <w:gridCol w:w="1096"/>
        <w:gridCol w:w="963"/>
        <w:gridCol w:w="970"/>
        <w:gridCol w:w="332"/>
        <w:gridCol w:w="638"/>
        <w:gridCol w:w="185"/>
        <w:gridCol w:w="109"/>
        <w:gridCol w:w="109"/>
        <w:gridCol w:w="109"/>
        <w:gridCol w:w="334"/>
        <w:gridCol w:w="770"/>
        <w:gridCol w:w="186"/>
        <w:gridCol w:w="109"/>
        <w:gridCol w:w="109"/>
        <w:gridCol w:w="109"/>
        <w:gridCol w:w="299"/>
        <w:gridCol w:w="689"/>
        <w:gridCol w:w="166"/>
        <w:gridCol w:w="109"/>
        <w:gridCol w:w="109"/>
        <w:gridCol w:w="109"/>
        <w:gridCol w:w="154"/>
      </w:tblGrid>
      <w:tr>
        <w:trPr/>
        <w:tc>
          <w:tcPr>
            <w:tcW w:w="109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Southwest operating income (loss)</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8"/>
              </w:rPr>
              <w:t xml:space="preserve">One-time costs </w:t>
            </w:r>
            <w:r>
              <w:rPr>
                <w:rFonts w:ascii="Times New Roman;serif" w:hAnsi="Times New Roman;serif"/>
                <w:b w:val="false"/>
                <w:color w:val="000000"/>
                <w:sz w:val="12"/>
              </w:rPr>
              <w:t>(1)</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Adjusted operating income (loss)</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Depreciation and amortization expense</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Non-cash compensation</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Southwest Adjusted EBITDA</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One-time costs are defined in the Reconciliation of Consolidated Net Loss to Adjusted EBITDA table above. For purposes of segment reconciliation, one-time costs also include impairment and other charges.</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KLX Energy Services Holdings,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Reconciliation of Northeast/Mid-Con Operating Loss to Adjusted EBITDA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millions of U.S. dollars)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7958" w:type="dxa"/>
        <w:jc w:val="center"/>
        <w:tblInd w:w="0" w:type="dxa"/>
        <w:tblLayout w:type="fixed"/>
        <w:tblCellMar>
          <w:top w:w="28" w:type="dxa"/>
          <w:left w:w="28" w:type="dxa"/>
          <w:bottom w:w="28" w:type="dxa"/>
          <w:right w:w="28" w:type="dxa"/>
        </w:tblCellMar>
      </w:tblPr>
      <w:tblGrid>
        <w:gridCol w:w="1168"/>
        <w:gridCol w:w="1025"/>
        <w:gridCol w:w="1032"/>
        <w:gridCol w:w="293"/>
        <w:gridCol w:w="698"/>
        <w:gridCol w:w="163"/>
        <w:gridCol w:w="109"/>
        <w:gridCol w:w="109"/>
        <w:gridCol w:w="109"/>
        <w:gridCol w:w="328"/>
        <w:gridCol w:w="780"/>
        <w:gridCol w:w="182"/>
        <w:gridCol w:w="109"/>
        <w:gridCol w:w="109"/>
        <w:gridCol w:w="109"/>
        <w:gridCol w:w="299"/>
        <w:gridCol w:w="689"/>
        <w:gridCol w:w="166"/>
        <w:gridCol w:w="109"/>
        <w:gridCol w:w="109"/>
        <w:gridCol w:w="109"/>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Northeast/Mid-Con operating income (loss)</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8"/>
              </w:rPr>
              <w:t xml:space="preserve">One-time costs </w:t>
            </w:r>
            <w:r>
              <w:rPr>
                <w:rFonts w:ascii="Times New Roman;serif" w:hAnsi="Times New Roman;serif"/>
                <w:b w:val="false"/>
                <w:color w:val="000000"/>
                <w:sz w:val="12"/>
              </w:rPr>
              <w:t>(1)</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Adjusted operating income (loss)</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Depreciation and amortization expense</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Non-cash compensation</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Northeast/Mid-Con Adjusted EBITDA</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One-time costs are defined in the Reconciliation of Consolidated Net Loss to Adjusted EBITDA table above. For purposes of segment reconciliation, one-time costs also include impairment and other charges.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04190"/>
                <wp:effectExtent l="0" t="0" r="0" b="0"/>
                <wp:wrapNone/>
                <wp:docPr id="15" name="Frame15"/>
                <a:graphic xmlns:a="http://schemas.openxmlformats.org/drawingml/2006/main">
                  <a:graphicData uri="http://schemas.microsoft.com/office/word/2010/wordprocessingShape">
                    <wps:wsp>
                      <wps:cNvSpPr txBox="1"/>
                      <wps:spPr>
                        <a:xfrm>
                          <a:off x="0" y="0"/>
                          <a:ext cx="6480175" cy="504190"/>
                        </a:xfrm>
                        <a:prstGeom prst="rect"/>
                        <a:solidFill>
                          <a:srgbClr val="FFFFFF"/>
                        </a:solidFill>
                      </wps:spPr>
                      <wps:txbx>
                        <w:txbxContent>
                          <w:p>
                            <w:pPr>
                              <w:pStyle w:val="TextBody"/>
                              <w:bidi w:val="0"/>
                              <w:spacing w:lineRule="auto" w:line="331" w:before="0" w:after="200"/>
                              <w:jc w:val="right"/>
                              <w:rPr>
                                <w:rFonts w:ascii="Times New Roman;serif" w:hAnsi="Times New Roman;serif"/>
                                <w:b w:val="false"/>
                                <w:color w:val="000000"/>
                                <w:sz w:val="20"/>
                              </w:rPr>
                            </w:pPr>
                            <w:r>
                              <w:rPr>
                                <w:rFonts w:ascii="Times New Roman;serif" w:hAnsi="Times New Roman;serif"/>
                                <w:b w:val="false"/>
                                <w:color w:val="000000"/>
                                <w:sz w:val="20"/>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jc w:val="right"/>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KLX Energy Services Holdings,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Reconciliation of Corporate and Other Operating Loss to Adjusted EBITDA Loss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millions of U.S. dollars)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7988" w:type="dxa"/>
        <w:jc w:val="center"/>
        <w:tblInd w:w="0" w:type="dxa"/>
        <w:tblLayout w:type="fixed"/>
        <w:tblCellMar>
          <w:top w:w="28" w:type="dxa"/>
          <w:left w:w="28" w:type="dxa"/>
          <w:bottom w:w="28" w:type="dxa"/>
          <w:right w:w="28" w:type="dxa"/>
        </w:tblCellMar>
      </w:tblPr>
      <w:tblGrid>
        <w:gridCol w:w="1178"/>
        <w:gridCol w:w="1037"/>
        <w:gridCol w:w="1040"/>
        <w:gridCol w:w="299"/>
        <w:gridCol w:w="689"/>
        <w:gridCol w:w="166"/>
        <w:gridCol w:w="109"/>
        <w:gridCol w:w="109"/>
        <w:gridCol w:w="109"/>
        <w:gridCol w:w="334"/>
        <w:gridCol w:w="770"/>
        <w:gridCol w:w="186"/>
        <w:gridCol w:w="109"/>
        <w:gridCol w:w="109"/>
        <w:gridCol w:w="109"/>
        <w:gridCol w:w="299"/>
        <w:gridCol w:w="689"/>
        <w:gridCol w:w="166"/>
        <w:gridCol w:w="109"/>
        <w:gridCol w:w="109"/>
        <w:gridCol w:w="109"/>
        <w:gridCol w:w="154"/>
      </w:tblGrid>
      <w:tr>
        <w:trPr/>
        <w:tc>
          <w:tcPr>
            <w:tcW w:w="117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and other operating loss</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Bargain purchase gain</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8"/>
              </w:rPr>
              <w:t xml:space="preserve">One-time costs </w:t>
            </w:r>
            <w:r>
              <w:rPr>
                <w:rFonts w:ascii="Times New Roman;serif" w:hAnsi="Times New Roman;serif"/>
                <w:b w:val="false"/>
                <w:color w:val="000000"/>
                <w:sz w:val="12"/>
              </w:rPr>
              <w:t>(1)</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Adjusted operating loss</w:t>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Depreciation and amortization expense</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Non-cash compensation</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and other Adjusted EBITDA loss</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One-time costs are defined in the Reconciliation of Consolidated Net Loss to Adjusted EBITDA table above. For purposes of segment reconciliation, one-time costs also include impairment and other charges.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04190"/>
                <wp:effectExtent l="0" t="0" r="0" b="0"/>
                <wp:wrapNone/>
                <wp:docPr id="16" name="Frame16"/>
                <a:graphic xmlns:a="http://schemas.openxmlformats.org/drawingml/2006/main">
                  <a:graphicData uri="http://schemas.microsoft.com/office/word/2010/wordprocessingShape">
                    <wps:wsp>
                      <wps:cNvSpPr txBox="1"/>
                      <wps:spPr>
                        <a:xfrm>
                          <a:off x="0" y="0"/>
                          <a:ext cx="6480175" cy="504190"/>
                        </a:xfrm>
                        <a:prstGeom prst="rect"/>
                        <a:solidFill>
                          <a:srgbClr val="FFFFFF"/>
                        </a:solidFill>
                      </wps:spPr>
                      <wps:txbx>
                        <w:txbxContent>
                          <w:p>
                            <w:pPr>
                              <w:pStyle w:val="TextBody"/>
                              <w:bidi w:val="0"/>
                              <w:spacing w:lineRule="auto" w:line="331" w:before="0" w:after="200"/>
                              <w:jc w:val="right"/>
                              <w:rPr>
                                <w:rFonts w:ascii="Times New Roman;serif" w:hAnsi="Times New Roman;serif"/>
                                <w:b w:val="false"/>
                                <w:color w:val="000000"/>
                                <w:sz w:val="20"/>
                              </w:rPr>
                            </w:pPr>
                            <w:r>
                              <w:rPr>
                                <w:rFonts w:ascii="Times New Roman;serif" w:hAnsi="Times New Roman;serif"/>
                                <w:b w:val="false"/>
                                <w:color w:val="000000"/>
                                <w:sz w:val="20"/>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jc w:val="right"/>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KLX Energy Services Holdings, Inc.</w:t>
      </w:r>
    </w:p>
    <w:p>
      <w:pPr>
        <w:pStyle w:val="TextBody"/>
        <w:bidi w:val="0"/>
        <w:spacing w:lineRule="auto" w:line="288" w:before="0" w:after="0"/>
        <w:jc w:val="center"/>
        <w:rPr/>
      </w:pPr>
      <w:r>
        <w:rPr>
          <w:rFonts w:ascii="Times New Roman;serif" w:hAnsi="Times New Roman;serif"/>
          <w:b/>
          <w:color w:val="000000"/>
          <w:sz w:val="20"/>
        </w:rPr>
        <w:t>Segment Operating Income (Loss) Margin</w:t>
      </w:r>
      <w:r>
        <w:rPr>
          <w:rFonts w:ascii="Times New Roman;serif" w:hAnsi="Times New Roman;serif"/>
          <w:b/>
          <w:color w:val="000000"/>
          <w:sz w:val="13"/>
        </w:rPr>
        <w:t>(1)</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millions of U.S. dollars)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8076" w:type="dxa"/>
        <w:jc w:val="center"/>
        <w:tblInd w:w="0" w:type="dxa"/>
        <w:tblLayout w:type="fixed"/>
        <w:tblCellMar>
          <w:top w:w="28" w:type="dxa"/>
          <w:left w:w="28" w:type="dxa"/>
          <w:bottom w:w="28" w:type="dxa"/>
          <w:right w:w="28" w:type="dxa"/>
        </w:tblCellMar>
      </w:tblPr>
      <w:tblGrid>
        <w:gridCol w:w="1369"/>
        <w:gridCol w:w="1202"/>
        <w:gridCol w:w="1208"/>
        <w:gridCol w:w="273"/>
        <w:gridCol w:w="524"/>
        <w:gridCol w:w="357"/>
        <w:gridCol w:w="109"/>
        <w:gridCol w:w="109"/>
        <w:gridCol w:w="109"/>
        <w:gridCol w:w="280"/>
        <w:gridCol w:w="644"/>
        <w:gridCol w:w="365"/>
        <w:gridCol w:w="109"/>
        <w:gridCol w:w="109"/>
        <w:gridCol w:w="109"/>
        <w:gridCol w:w="269"/>
        <w:gridCol w:w="517"/>
        <w:gridCol w:w="414"/>
      </w:tblGrid>
      <w:tr>
        <w:trPr/>
        <w:tc>
          <w:tcPr>
            <w:tcW w:w="136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Rocky Mountains</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operating income (loss) margin percentage</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Southwest</w:t>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operating income (loss) margin percentage</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Northeast/Mid-Con</w:t>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operating income (loss) margin percentage</w:t>
            </w:r>
          </w:p>
        </w:tc>
        <w:tc>
          <w:tcPr>
            <w:tcW w:w="79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76" w:before="0" w:after="0"/>
        <w:ind w:left="0" w:right="0" w:hanging="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Segment operating income (loss) margin is defined as the quotient of segment operating income (loss) and segment revenue.</w:t>
      </w:r>
    </w:p>
    <w:p>
      <w:pPr>
        <w:pStyle w:val="TextBody"/>
        <w:bidi w:val="0"/>
        <w:spacing w:before="0" w:after="0"/>
        <w:ind w:left="0" w:right="0" w:hanging="180"/>
        <w:jc w:val="both"/>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KLX Energy Services Holdings, Inc.</w:t>
      </w:r>
    </w:p>
    <w:p>
      <w:pPr>
        <w:pStyle w:val="TextBody"/>
        <w:bidi w:val="0"/>
        <w:spacing w:lineRule="auto" w:line="288" w:before="0" w:after="0"/>
        <w:jc w:val="center"/>
        <w:rPr/>
      </w:pPr>
      <w:r>
        <w:rPr>
          <w:rFonts w:ascii="Times New Roman;serif" w:hAnsi="Times New Roman;serif"/>
          <w:b/>
          <w:color w:val="000000"/>
          <w:sz w:val="20"/>
        </w:rPr>
        <w:t>Segment Adjusted EBITDA Margin</w:t>
      </w:r>
      <w:r>
        <w:rPr>
          <w:rFonts w:ascii="Times New Roman;serif" w:hAnsi="Times New Roman;serif"/>
          <w:b/>
          <w:color w:val="000000"/>
          <w:sz w:val="13"/>
        </w:rPr>
        <w:t>(1)</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millions of U.S. dollars)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7148" w:type="dxa"/>
        <w:jc w:val="center"/>
        <w:tblInd w:w="0" w:type="dxa"/>
        <w:tblLayout w:type="fixed"/>
        <w:tblCellMar>
          <w:top w:w="28" w:type="dxa"/>
          <w:left w:w="28" w:type="dxa"/>
          <w:bottom w:w="28" w:type="dxa"/>
          <w:right w:w="28" w:type="dxa"/>
        </w:tblCellMar>
      </w:tblPr>
      <w:tblGrid>
        <w:gridCol w:w="1033"/>
        <w:gridCol w:w="907"/>
        <w:gridCol w:w="910"/>
        <w:gridCol w:w="273"/>
        <w:gridCol w:w="524"/>
        <w:gridCol w:w="357"/>
        <w:gridCol w:w="109"/>
        <w:gridCol w:w="109"/>
        <w:gridCol w:w="109"/>
        <w:gridCol w:w="305"/>
        <w:gridCol w:w="586"/>
        <w:gridCol w:w="399"/>
        <w:gridCol w:w="109"/>
        <w:gridCol w:w="109"/>
        <w:gridCol w:w="109"/>
        <w:gridCol w:w="244"/>
        <w:gridCol w:w="581"/>
        <w:gridCol w:w="375"/>
      </w:tblGrid>
      <w:tr>
        <w:trPr/>
        <w:tc>
          <w:tcPr>
            <w:tcW w:w="103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Rocky Mountains</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 xml:space="preserve">Adjusted EBITDA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Adjusted EBITDA Margin Percentage</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Southwest</w:t>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 xml:space="preserve">Adjusted EBITDA </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Adjusted EBITDA Margin Percentage</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Northeast/Mid-Con</w:t>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Adjusted EBITDA Margin Percentage</w:t>
            </w:r>
          </w:p>
        </w:tc>
        <w:tc>
          <w:tcPr>
            <w:tcW w:w="79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76" w:before="0" w:after="0"/>
        <w:ind w:left="0" w:right="0" w:hanging="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Segment Adjusted EBITDA margin is defined as the quotient of Segment Adjusted EBITDA and total segment revenue. Segment Adjusted EBITDA is segment operating (loss) income excluding one-time costs (as defined above), non-cash compensation expense and non-cash asset impairment expense.</w:t>
      </w:r>
    </w:p>
    <w:p>
      <w:pPr>
        <w:pStyle w:val="TextBody"/>
        <w:bidi w:val="0"/>
        <w:ind w:left="0" w:right="0" w:hanging="1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04190"/>
                <wp:effectExtent l="0" t="0" r="0" b="0"/>
                <wp:wrapNone/>
                <wp:docPr id="17" name="Frame17"/>
                <a:graphic xmlns:a="http://schemas.openxmlformats.org/drawingml/2006/main">
                  <a:graphicData uri="http://schemas.microsoft.com/office/word/2010/wordprocessingShape">
                    <wps:wsp>
                      <wps:cNvSpPr txBox="1"/>
                      <wps:spPr>
                        <a:xfrm>
                          <a:off x="0" y="0"/>
                          <a:ext cx="6480175" cy="504190"/>
                        </a:xfrm>
                        <a:prstGeom prst="rect"/>
                        <a:solidFill>
                          <a:srgbClr val="FFFFFF"/>
                        </a:solidFill>
                      </wps:spPr>
                      <wps:txbx>
                        <w:txbxContent>
                          <w:p>
                            <w:pPr>
                              <w:pStyle w:val="TextBody"/>
                              <w:bidi w:val="0"/>
                              <w:spacing w:lineRule="auto" w:line="331" w:before="0" w:after="200"/>
                              <w:jc w:val="right"/>
                              <w:rPr>
                                <w:rFonts w:ascii="Times New Roman;serif" w:hAnsi="Times New Roman;serif"/>
                                <w:b w:val="false"/>
                                <w:color w:val="000000"/>
                                <w:sz w:val="20"/>
                              </w:rPr>
                            </w:pPr>
                            <w:r>
                              <w:rPr>
                                <w:rFonts w:ascii="Times New Roman;serif" w:hAnsi="Times New Roman;serif"/>
                                <w:b w:val="false"/>
                                <w:color w:val="000000"/>
                                <w:sz w:val="20"/>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jc w:val="right"/>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KLX Energy Services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Reconciliation of Consolidated Net Loss to Adjusted Net Loss and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Adjusted Diluted Loss per Share</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millions of U.S. dollars and shares, except per share amounts)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7552" w:type="dxa"/>
        <w:jc w:val="center"/>
        <w:tblInd w:w="0" w:type="dxa"/>
        <w:tblLayout w:type="fixed"/>
        <w:tblCellMar>
          <w:top w:w="28" w:type="dxa"/>
          <w:left w:w="28" w:type="dxa"/>
          <w:bottom w:w="28" w:type="dxa"/>
          <w:right w:w="28" w:type="dxa"/>
        </w:tblCellMar>
      </w:tblPr>
      <w:tblGrid>
        <w:gridCol w:w="1180"/>
        <w:gridCol w:w="1032"/>
        <w:gridCol w:w="1042"/>
        <w:gridCol w:w="267"/>
        <w:gridCol w:w="739"/>
        <w:gridCol w:w="148"/>
        <w:gridCol w:w="109"/>
        <w:gridCol w:w="109"/>
        <w:gridCol w:w="109"/>
        <w:gridCol w:w="299"/>
        <w:gridCol w:w="825"/>
        <w:gridCol w:w="166"/>
        <w:gridCol w:w="109"/>
        <w:gridCol w:w="109"/>
        <w:gridCol w:w="109"/>
        <w:gridCol w:w="264"/>
        <w:gridCol w:w="729"/>
        <w:gridCol w:w="207"/>
      </w:tblGrid>
      <w:tr>
        <w:trPr/>
        <w:tc>
          <w:tcPr>
            <w:tcW w:w="1180"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loss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Bargain purchase gain</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Impairment and other charges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8"/>
              </w:rPr>
              <w:t>One-time costs</w:t>
            </w:r>
            <w:r>
              <w:rPr>
                <w:rFonts w:ascii="Times New Roman;serif" w:hAnsi="Times New Roman;serif"/>
                <w:b w:val="false"/>
                <w:color w:val="000000"/>
                <w:sz w:val="12"/>
              </w:rPr>
              <w:t>(1)</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Loss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Diluted weighted average common shares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Diluted Loss per share</w:t>
            </w:r>
            <w:r>
              <w:rPr>
                <w:rFonts w:ascii="Times New Roman;serif" w:hAnsi="Times New Roman;serif"/>
                <w:b w:val="false"/>
                <w:color w:val="000000"/>
                <w:sz w:val="12"/>
              </w:rPr>
              <w:t>(2)</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(0.88)</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*Previously announced quarterly numbers may not sum to the year-end total due to rounding. </w:t>
      </w:r>
    </w:p>
    <w:p>
      <w:pPr>
        <w:pStyle w:val="TextBody"/>
        <w:bidi w:val="0"/>
        <w:spacing w:lineRule="auto" w:line="276"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The one-time costs during the second quarter of 2026 relate mainly to legal costs, facility costs and other.</w:t>
      </w:r>
    </w:p>
    <w:p>
      <w:pPr>
        <w:pStyle w:val="TextBody"/>
        <w:bidi w:val="0"/>
        <w:spacing w:lineRule="auto" w:line="276" w:before="0" w:after="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Adjusted Diluted Loss per share is defined as the quotient of Adjusted Net Loss and diluted weighted average common shares.</w:t>
      </w:r>
    </w:p>
    <w:p>
      <w:pPr>
        <w:pStyle w:val="TextBody"/>
        <w:bidi w:val="0"/>
        <w:spacing w:before="0" w:after="0"/>
        <w:jc w:val="both"/>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KLX Energy Services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Net Cash Flow Provided by (Used In) Operating Activities to Free Cash Flow</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millions of U.S. dollars)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tbl>
      <w:tblPr>
        <w:tblW w:w="8303" w:type="dxa"/>
        <w:jc w:val="center"/>
        <w:tblInd w:w="0" w:type="dxa"/>
        <w:tblLayout w:type="fixed"/>
        <w:tblCellMar>
          <w:top w:w="28" w:type="dxa"/>
          <w:left w:w="28" w:type="dxa"/>
          <w:bottom w:w="28" w:type="dxa"/>
          <w:right w:w="28" w:type="dxa"/>
        </w:tblCellMar>
      </w:tblPr>
      <w:tblGrid>
        <w:gridCol w:w="1294"/>
        <w:gridCol w:w="1134"/>
        <w:gridCol w:w="1142"/>
        <w:gridCol w:w="293"/>
        <w:gridCol w:w="698"/>
        <w:gridCol w:w="163"/>
        <w:gridCol w:w="109"/>
        <w:gridCol w:w="109"/>
        <w:gridCol w:w="109"/>
        <w:gridCol w:w="334"/>
        <w:gridCol w:w="770"/>
        <w:gridCol w:w="186"/>
        <w:gridCol w:w="109"/>
        <w:gridCol w:w="109"/>
        <w:gridCol w:w="109"/>
        <w:gridCol w:w="293"/>
        <w:gridCol w:w="698"/>
        <w:gridCol w:w="163"/>
        <w:gridCol w:w="109"/>
        <w:gridCol w:w="109"/>
        <w:gridCol w:w="109"/>
        <w:gridCol w:w="154"/>
      </w:tblGrid>
      <w:tr>
        <w:trPr/>
        <w:tc>
          <w:tcPr>
            <w:tcW w:w="129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 provided by operating activities</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Capital expenditures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Proceeds from sale of property and equipment</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Levered Free Cash Flow</w:t>
            </w:r>
            <w:r>
              <w:rPr>
                <w:rFonts w:ascii="Times New Roman;serif" w:hAnsi="Times New Roman;serif"/>
                <w:b w:val="false"/>
                <w:color w:val="000000"/>
                <w:sz w:val="12"/>
              </w:rPr>
              <w:t>(1)</w:t>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Cash interest expense, net</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Unlevered Free Cash Flow</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76"/>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For the three months ended June 30, 2026, excludes the sources and uses of cash related to the Wolf Pack Acquisition</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04190"/>
                <wp:effectExtent l="0" t="0" r="0" b="0"/>
                <wp:wrapNone/>
                <wp:docPr id="18" name="Frame18"/>
                <a:graphic xmlns:a="http://schemas.openxmlformats.org/drawingml/2006/main">
                  <a:graphicData uri="http://schemas.microsoft.com/office/word/2010/wordprocessingShape">
                    <wps:wsp>
                      <wps:cNvSpPr txBox="1"/>
                      <wps:spPr>
                        <a:xfrm>
                          <a:off x="0" y="0"/>
                          <a:ext cx="6480175" cy="504190"/>
                        </a:xfrm>
                        <a:prstGeom prst="rect"/>
                        <a:solidFill>
                          <a:srgbClr val="FFFFFF"/>
                        </a:solidFill>
                      </wps:spPr>
                      <wps:txbx>
                        <w:txbxContent>
                          <w:p>
                            <w:pPr>
                              <w:pStyle w:val="TextBody"/>
                              <w:bidi w:val="0"/>
                              <w:spacing w:lineRule="auto" w:line="331" w:before="0" w:after="200"/>
                              <w:jc w:val="right"/>
                              <w:rPr>
                                <w:rFonts w:ascii="Times New Roman;serif" w:hAnsi="Times New Roman;serif"/>
                                <w:b w:val="false"/>
                                <w:color w:val="000000"/>
                                <w:sz w:val="20"/>
                              </w:rPr>
                            </w:pPr>
                            <w:r>
                              <w:rPr>
                                <w:rFonts w:ascii="Times New Roman;serif" w:hAnsi="Times New Roman;serif"/>
                                <w:b w:val="false"/>
                                <w:color w:val="000000"/>
                                <w:sz w:val="20"/>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jc w:val="right"/>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KLX Energy Services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Current Assets and Current Liabilities to Net Working Capital</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millions of U.S. dollars)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8874" w:type="dxa"/>
        <w:jc w:val="center"/>
        <w:tblInd w:w="0" w:type="dxa"/>
        <w:tblLayout w:type="fixed"/>
        <w:tblCellMar>
          <w:top w:w="28" w:type="dxa"/>
          <w:left w:w="28" w:type="dxa"/>
          <w:bottom w:w="28" w:type="dxa"/>
          <w:right w:w="28" w:type="dxa"/>
        </w:tblCellMar>
      </w:tblPr>
      <w:tblGrid>
        <w:gridCol w:w="1357"/>
        <w:gridCol w:w="1190"/>
        <w:gridCol w:w="1203"/>
        <w:gridCol w:w="263"/>
        <w:gridCol w:w="746"/>
        <w:gridCol w:w="146"/>
        <w:gridCol w:w="109"/>
        <w:gridCol w:w="109"/>
        <w:gridCol w:w="109"/>
        <w:gridCol w:w="293"/>
        <w:gridCol w:w="833"/>
        <w:gridCol w:w="163"/>
        <w:gridCol w:w="109"/>
        <w:gridCol w:w="109"/>
        <w:gridCol w:w="109"/>
        <w:gridCol w:w="351"/>
        <w:gridCol w:w="997"/>
        <w:gridCol w:w="197"/>
        <w:gridCol w:w="109"/>
        <w:gridCol w:w="109"/>
        <w:gridCol w:w="109"/>
        <w:gridCol w:w="154"/>
      </w:tblGrid>
      <w:tr>
        <w:trPr/>
        <w:tc>
          <w:tcPr>
            <w:tcW w:w="135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Cash and cash equivalents and restricted cash</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current assets</w:t>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portion of long-term debt</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Accrued interest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Operating lease obligations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Finance lease obligations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current liabilities</w:t>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Working Capital</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center"/>
        <w:rPr/>
      </w:pPr>
      <w:r>
        <w:rPr/>
      </w:r>
    </w:p>
    <w:p>
      <w:pPr>
        <w:pStyle w:val="TextBody"/>
        <w:bidi w:val="0"/>
        <w:spacing w:before="0" w:after="0"/>
        <w:jc w:val="center"/>
        <w:rPr/>
      </w:pPr>
      <w:r>
        <w:rPr/>
      </w:r>
    </w:p>
    <w:p>
      <w:pPr>
        <w:pStyle w:val="TextBody"/>
        <w:bidi w:val="0"/>
        <w:spacing w:lineRule="auto" w:line="345" w:before="0" w:after="0"/>
        <w:ind w:left="0" w:right="0" w:hanging="180"/>
        <w:jc w:val="center"/>
        <w:rPr>
          <w:rFonts w:ascii="Times New Roman;serif" w:hAnsi="Times New Roman;serif"/>
          <w:b/>
          <w:color w:val="000000"/>
          <w:sz w:val="20"/>
        </w:rPr>
      </w:pPr>
      <w:r>
        <w:rPr>
          <w:rFonts w:ascii="Times New Roman;serif" w:hAnsi="Times New Roman;serif"/>
          <w:b/>
          <w:color w:val="000000"/>
          <w:sz w:val="20"/>
        </w:rPr>
        <w:t>KLX Energy Services Holdings, Inc.</w:t>
      </w:r>
    </w:p>
    <w:p>
      <w:pPr>
        <w:pStyle w:val="TextBody"/>
        <w:bidi w:val="0"/>
        <w:spacing w:lineRule="auto" w:line="288" w:before="0" w:after="0"/>
        <w:jc w:val="center"/>
        <w:rPr/>
      </w:pPr>
      <w:r>
        <w:rPr>
          <w:rFonts w:ascii="Times New Roman;serif" w:hAnsi="Times New Roman;serif"/>
          <w:b/>
          <w:color w:val="000000"/>
          <w:sz w:val="20"/>
        </w:rPr>
        <w:t>Reconciliation of Net Debt</w:t>
      </w:r>
      <w:r>
        <w:rPr>
          <w:rFonts w:ascii="Times New Roman;serif" w:hAnsi="Times New Roman;serif"/>
          <w:b/>
          <w:color w:val="000000"/>
          <w:sz w:val="13"/>
        </w:rPr>
        <w:t>(1)</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millions of U.S. dollars)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8454" w:type="dxa"/>
        <w:jc w:val="center"/>
        <w:tblInd w:w="0" w:type="dxa"/>
        <w:tblLayout w:type="fixed"/>
        <w:tblCellMar>
          <w:top w:w="28" w:type="dxa"/>
          <w:left w:w="28" w:type="dxa"/>
          <w:bottom w:w="28" w:type="dxa"/>
          <w:right w:w="28" w:type="dxa"/>
        </w:tblCellMar>
      </w:tblPr>
      <w:tblGrid>
        <w:gridCol w:w="1203"/>
        <w:gridCol w:w="1058"/>
        <w:gridCol w:w="1069"/>
        <w:gridCol w:w="263"/>
        <w:gridCol w:w="746"/>
        <w:gridCol w:w="146"/>
        <w:gridCol w:w="109"/>
        <w:gridCol w:w="109"/>
        <w:gridCol w:w="109"/>
        <w:gridCol w:w="293"/>
        <w:gridCol w:w="833"/>
        <w:gridCol w:w="163"/>
        <w:gridCol w:w="109"/>
        <w:gridCol w:w="109"/>
        <w:gridCol w:w="109"/>
        <w:gridCol w:w="351"/>
        <w:gridCol w:w="997"/>
        <w:gridCol w:w="197"/>
        <w:gridCol w:w="109"/>
        <w:gridCol w:w="109"/>
        <w:gridCol w:w="109"/>
        <w:gridCol w:w="154"/>
      </w:tblGrid>
      <w:tr>
        <w:trPr/>
        <w:tc>
          <w:tcPr>
            <w:tcW w:w="120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258.3 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Debt</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270.2 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252.6 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283"/>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Net Debt is defined as total debt less cash and cash equivalents and restricted cash.</w:t>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04190"/>
                <wp:effectExtent l="0" t="0" r="0" b="0"/>
                <wp:wrapNone/>
                <wp:docPr id="19" name="Frame19"/>
                <a:graphic xmlns:a="http://schemas.openxmlformats.org/drawingml/2006/main">
                  <a:graphicData uri="http://schemas.microsoft.com/office/word/2010/wordprocessingShape">
                    <wps:wsp>
                      <wps:cNvSpPr txBox="1"/>
                      <wps:spPr>
                        <a:xfrm>
                          <a:off x="0" y="0"/>
                          <a:ext cx="6480175" cy="504190"/>
                        </a:xfrm>
                        <a:prstGeom prst="rect"/>
                        <a:solidFill>
                          <a:srgbClr val="FFFFFF"/>
                        </a:solidFill>
                      </wps:spPr>
                      <wps:txbx>
                        <w:txbxContent>
                          <w:p>
                            <w:pPr>
                              <w:pStyle w:val="TextBody"/>
                              <w:bidi w:val="0"/>
                              <w:spacing w:lineRule="auto" w:line="331" w:before="0" w:after="200"/>
                              <w:jc w:val="right"/>
                              <w:rPr>
                                <w:rFonts w:ascii="Times New Roman;serif" w:hAnsi="Times New Roman;serif"/>
                                <w:b w:val="false"/>
                                <w:color w:val="000000"/>
                                <w:sz w:val="20"/>
                              </w:rPr>
                            </w:pPr>
                            <w:r>
                              <w:rPr>
                                <w:rFonts w:ascii="Times New Roman;serif" w:hAnsi="Times New Roman;serif"/>
                                <w:b w:val="false"/>
                                <w:color w:val="000000"/>
                                <w:sz w:val="20"/>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jc w:val="right"/>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5721</Words>
  <Characters>31791</Characters>
  <CharactersWithSpaces>37070</CharactersWithSpaces>
  <Paragraphs>1020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